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REPORT OF FOREIGN PRIVATE ISSUER PURSUANT TO RULE 13a-16 OR 15d-16</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 THE SECURITIES EXCHANGE ACT OF 1934</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June 2022 No. 3</w:t>
      </w: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Commission File Number 0-24790</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39"/>
        <w:spacing w:after="0" w:line="253" w:lineRule="exact"/>
        <w:tabs>
          <w:tab w:leader="none" w:pos="40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101(b)(1):</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w:t>
      </w:r>
    </w:p>
    <w:p>
      <w:pPr>
        <w:spacing w:after="0" w:line="27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101(b)(7):</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1" w:name="page2"/>
    <w:bookmarkEnd w:id="1"/>
    <w:p>
      <w:pPr>
        <w:ind w:firstLine="648"/>
        <w:spacing w:after="0" w:line="270" w:lineRule="auto"/>
        <w:rPr>
          <w:sz w:val="20"/>
          <w:szCs w:val="20"/>
          <w:color w:val="auto"/>
        </w:rPr>
      </w:pPr>
      <w:r>
        <w:rPr>
          <w:rFonts w:ascii="Times New Roman" w:cs="Times New Roman" w:eastAsia="Times New Roman" w:hAnsi="Times New Roman"/>
          <w:sz w:val="22"/>
          <w:szCs w:val="22"/>
          <w:color w:val="auto"/>
        </w:rPr>
        <w:t>The Registrant will hold its Annual General Meeting of Shareholders on July 21, 2022 at 3 p.m. (Israel time) at the Registrant’s offices in Migdal Haemek, Israel. In connection with the meeting, on or about June 15, 2021, the Registrant will mail to shareholders (i) a Notice of Annual General Meeting and Proxy Statement and (ii) a Proxy Card.</w:t>
      </w:r>
    </w:p>
    <w:p>
      <w:pPr>
        <w:spacing w:after="0" w:line="226"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22"/>
          <w:szCs w:val="22"/>
          <w:color w:val="auto"/>
        </w:rPr>
        <w:t xml:space="preserve">Attached hereto as Exhibits </w:t>
      </w:r>
      <w:r>
        <w:rPr>
          <w:rFonts w:ascii="Times New Roman" w:cs="Times New Roman" w:eastAsia="Times New Roman" w:hAnsi="Times New Roman"/>
          <w:sz w:val="22"/>
          <w:szCs w:val="22"/>
          <w:u w:val="single" w:color="auto"/>
          <w:color w:val="0000EE"/>
        </w:rPr>
        <w:t>99.1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EE"/>
        </w:rPr>
        <w:t>99.2</w:t>
      </w:r>
      <w:r>
        <w:rPr>
          <w:rFonts w:ascii="Times New Roman" w:cs="Times New Roman" w:eastAsia="Times New Roman" w:hAnsi="Times New Roman"/>
          <w:sz w:val="22"/>
          <w:szCs w:val="22"/>
          <w:color w:val="auto"/>
        </w:rPr>
        <w:t xml:space="preserve"> are, respectively, the (i) Notice of Annual General Meeting and Proxy Statement and (ii)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69"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9, 2022</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392"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LTD.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GENERAL MEETING OF SHAREHOLDERS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Held on July 21, 2022</w:t>
      </w:r>
    </w:p>
    <w:p>
      <w:pPr>
        <w:spacing w:after="0" w:line="28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2"/>
          <w:szCs w:val="22"/>
          <w:color w:val="auto"/>
        </w:rPr>
        <w:t>Notice is hereby given that the Annual General Meeting (the “</w:t>
      </w:r>
      <w:r>
        <w:rPr>
          <w:rFonts w:ascii="Times New Roman" w:cs="Times New Roman" w:eastAsia="Times New Roman" w:hAnsi="Times New Roman"/>
          <w:sz w:val="22"/>
          <w:szCs w:val="22"/>
          <w:b w:val="1"/>
          <w:bCs w:val="1"/>
          <w:color w:val="auto"/>
        </w:rPr>
        <w:t>Meeting</w:t>
      </w:r>
      <w:r>
        <w:rPr>
          <w:rFonts w:ascii="Times New Roman" w:cs="Times New Roman" w:eastAsia="Times New Roman" w:hAnsi="Times New Roman"/>
          <w:sz w:val="22"/>
          <w:szCs w:val="22"/>
          <w:color w:val="auto"/>
        </w:rPr>
        <w:t>”) of the shareholders of Tower Semiconductor Ltd. (“</w:t>
      </w:r>
      <w:r>
        <w:rPr>
          <w:rFonts w:ascii="Times New Roman" w:cs="Times New Roman" w:eastAsia="Times New Roman" w:hAnsi="Times New Roman"/>
          <w:sz w:val="22"/>
          <w:szCs w:val="22"/>
          <w:b w:val="1"/>
          <w:bCs w:val="1"/>
          <w:color w:val="auto"/>
        </w:rPr>
        <w:t>Tower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will be held at the offices of the Company, 20 Shaul Amor Street, Ramat Gavriel Industrial Park, Migdal Haemek 2310502, Israel, on Thursday, July 21, 2022, at 3:00 p.m. (Israel time) for the following purposes:</w:t>
      </w:r>
    </w:p>
    <w:p>
      <w:pPr>
        <w:spacing w:after="0" w:line="219" w:lineRule="exact"/>
        <w:rPr>
          <w:sz w:val="20"/>
          <w:szCs w:val="20"/>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members to the Board of Directors of the Company to serve until the next annual general meeting of shareholders and until their respective successors are duly elected;</w:t>
      </w:r>
    </w:p>
    <w:p>
      <w:pPr>
        <w:spacing w:after="0" w:line="2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Mr. Amir Elstein as the Chairman of the Board of Directors and approve the terms of his compensation in such capacity, subject to approval of his election to the Board of Directors under Proposal 1;</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annual base salary of the Company’s chief executive officer, Mr. Russell Ellwanger;</w:t>
      </w:r>
    </w:p>
    <w:p>
      <w:pPr>
        <w:spacing w:after="0" w:line="2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award of equity-based compensation to the Company’s chief executive officer, Mr. Russell Ellwanger;</w:t>
      </w:r>
    </w:p>
    <w:p>
      <w:pPr>
        <w:spacing w:after="0" w:line="2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equity grant to each member of our Board of Directors (other than with respect to Mr. Amir Elstein and Mr. Russell Ellwanger whose equity compensation is addressed in Proposals 2 and 4, respectively), subject to approval of each such director’s election to the Board of Directors under Proposal 1; and</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appointment of Brightman Almagor Zohar &amp; Co., Certified Public Accountants, a firm in the Deloitte Global Network, as the independent registered public accountants of the Company for the year ending December 31, 2022 and for the period commencing January 1, 2023 and until the next annual shareholders’ meeting, and to further authorize the Audit Committee of the Board of Directors to determine the remuneration of such firm in accordance with the volume and nature of its services.</w:t>
      </w:r>
    </w:p>
    <w:p>
      <w:pPr>
        <w:spacing w:after="0" w:line="2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addition, at the Meeting, shareholders will have an opportunity to hear from representatives of the Company’s management, who will be available at the Meeting to review and discuss with shareholders the consolidated financial statements of the Company for the year ended December 31, 2021.</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are not currently aware of any other matters to be presented at the Meeting. If other matters properly come before the Meeting, it is the intention of the persons designated as proxies to vote in accordance with their judgment on such matters.</w:t>
      </w:r>
    </w:p>
    <w:p>
      <w:pPr>
        <w:spacing w:after="0" w:line="21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Shareholders of record at the close of business on June 15, 2022, are entitled to notice of, and to vote at the Meeting. All shareholders are cordially invited to attend the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Shareholders of record who do not expect to attend the Meeting in person are requested to mark, date, sign and mail the enclosed proxy as promptly as possible in the enclosed stamped envelope. 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by following the instructions on the voting instruction form to vote via Internet or telephone. Beneficial owners who hold their shares through members of the Tel Aviv Stock Exchange (“</w:t>
      </w:r>
      <w:r>
        <w:rPr>
          <w:rFonts w:ascii="Times New Roman" w:cs="Times New Roman" w:eastAsia="Times New Roman" w:hAnsi="Times New Roman"/>
          <w:sz w:val="22"/>
          <w:szCs w:val="22"/>
          <w:b w:val="1"/>
          <w:bCs w:val="1"/>
          <w:color w:val="auto"/>
        </w:rPr>
        <w:t>TASE</w:t>
      </w:r>
      <w:r>
        <w:rPr>
          <w:rFonts w:ascii="Times New Roman" w:cs="Times New Roman" w:eastAsia="Times New Roman" w:hAnsi="Times New Roman"/>
          <w:sz w:val="22"/>
          <w:szCs w:val="22"/>
          <w:color w:val="auto"/>
        </w:rPr>
        <w:t>”) may either vote their shares in person at the Meeting by presenting a certificate signed by the applicable TASE member, which complies with the Israel Companies Regulations (Proof of Ownership for Voting in General Meetings), 2000 as proof of ownership of the shares, or via proxy, by sending such certificate of ownership together with a duly executed proxy to the Company at 20 Shaul Amor Street, Ramat Gavriel Industrial Park, Post Office Box 619, Migdal Haemek 2310502, Israel, Attention: Corporate Counsel, or may vote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w:t>
      </w:r>
    </w:p>
    <w:p>
      <w:pPr>
        <w:spacing w:after="0" w:line="2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Amir Elstein</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June 9,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LTD.</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20 Shaul Amor Street, Ramat Gavriel Industrial Park</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P.O. Box 619</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Migdal Haemek 2310502, Israel</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GENERAL MEETING OF SHAREHOLDERS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To be Held on July 21, 2022</w:t>
      </w:r>
    </w:p>
    <w:p>
      <w:pPr>
        <w:spacing w:after="0" w:line="28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This proxy statement (the “</w:t>
      </w:r>
      <w:r>
        <w:rPr>
          <w:rFonts w:ascii="Times New Roman" w:cs="Times New Roman" w:eastAsia="Times New Roman" w:hAnsi="Times New Roman"/>
          <w:sz w:val="22"/>
          <w:szCs w:val="22"/>
          <w:b w:val="1"/>
          <w:bCs w:val="1"/>
          <w:color w:val="auto"/>
        </w:rPr>
        <w:t>Proxy Statement</w:t>
      </w:r>
      <w:r>
        <w:rPr>
          <w:rFonts w:ascii="Times New Roman" w:cs="Times New Roman" w:eastAsia="Times New Roman" w:hAnsi="Times New Roman"/>
          <w:sz w:val="22"/>
          <w:szCs w:val="22"/>
          <w:color w:val="auto"/>
        </w:rPr>
        <w:t>”) is being furnished to the holders of ordinary shares, par value NIS 15.00 per share (the “</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 of Tower Semiconductor Ltd.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Tower</w:t>
      </w:r>
      <w:r>
        <w:rPr>
          <w:rFonts w:ascii="Times New Roman" w:cs="Times New Roman" w:eastAsia="Times New Roman" w:hAnsi="Times New Roman"/>
          <w:sz w:val="22"/>
          <w:szCs w:val="22"/>
          <w:color w:val="auto"/>
        </w:rPr>
        <w:t>”) in connection with the solicitation of proxies by the Board of Directors of the Company (the “</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for use at the Annual General Meeting of Shareholders (the “</w:t>
      </w:r>
      <w:r>
        <w:rPr>
          <w:rFonts w:ascii="Times New Roman" w:cs="Times New Roman" w:eastAsia="Times New Roman" w:hAnsi="Times New Roman"/>
          <w:sz w:val="22"/>
          <w:szCs w:val="22"/>
          <w:b w:val="1"/>
          <w:bCs w:val="1"/>
          <w:color w:val="auto"/>
        </w:rPr>
        <w:t>Meeting</w:t>
      </w:r>
      <w:r>
        <w:rPr>
          <w:rFonts w:ascii="Times New Roman" w:cs="Times New Roman" w:eastAsia="Times New Roman" w:hAnsi="Times New Roman"/>
          <w:sz w:val="22"/>
          <w:szCs w:val="22"/>
          <w:color w:val="auto"/>
        </w:rPr>
        <w:t>”) to be held on Thursday, July 21, 2022, at 3:00 p.m. (Israel time), or at any postponement or adjournment thereof.</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You are entitled to vote at the Meeting if you are a shareholder of record at the close of business on June 15, 2022. You are also entitled to vote at the Meeting if you hold ordinary shares through a bank, broker or other nominee which is one of our shareholders of record at the close of business on June 15, 2022, or which appears in the participant listing of a securities depository on that date. You can vote your ordinary shares by attending the Meeting or by following the instructions under “Proxies” below. Our Board urges you to vote your Ordinary Shares so that they will be counted at the Meeting or at any postponements or adjournments of the Meeting.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Proxies</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Whether or not you plan to attend the Meeting, it is important that your shares be represented. Accordingly, holders of Ordinary Shares who will not attend the Meeting in person are urged to vote with respect to the proposals by means of a proxy card.</w:t>
      </w:r>
    </w:p>
    <w:p>
      <w:pPr>
        <w:spacing w:after="0" w:line="2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This Proxy Statement describing the various matters to be voted upon at the Meeting along with a proxy card enabling the shareholders to indicate their vote on each matter was furnished to the U.S. Securities and Exchange Commission (the “</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under cover of Form 6-K and is available on the Commission’s website at www.sec.gov. This Proxy Statement was also filed with the Israel Securities Authority (“</w:t>
      </w:r>
      <w:r>
        <w:rPr>
          <w:rFonts w:ascii="Times New Roman" w:cs="Times New Roman" w:eastAsia="Times New Roman" w:hAnsi="Times New Roman"/>
          <w:sz w:val="22"/>
          <w:szCs w:val="22"/>
          <w:b w:val="1"/>
          <w:bCs w:val="1"/>
          <w:color w:val="auto"/>
        </w:rPr>
        <w:t>ISA</w:t>
      </w:r>
      <w:r>
        <w:rPr>
          <w:rFonts w:ascii="Times New Roman" w:cs="Times New Roman" w:eastAsia="Times New Roman" w:hAnsi="Times New Roman"/>
          <w:sz w:val="22"/>
          <w:szCs w:val="22"/>
          <w:color w:val="auto"/>
        </w:rPr>
        <w:t>”) and the Tel Aviv Stock Exchange (“</w:t>
      </w:r>
      <w:r>
        <w:rPr>
          <w:rFonts w:ascii="Times New Roman" w:cs="Times New Roman" w:eastAsia="Times New Roman" w:hAnsi="Times New Roman"/>
          <w:sz w:val="22"/>
          <w:szCs w:val="22"/>
          <w:b w:val="1"/>
          <w:bCs w:val="1"/>
          <w:color w:val="auto"/>
        </w:rPr>
        <w:t>TASE</w:t>
      </w:r>
      <w:r>
        <w:rPr>
          <w:rFonts w:ascii="Times New Roman" w:cs="Times New Roman" w:eastAsia="Times New Roman" w:hAnsi="Times New Roman"/>
          <w:sz w:val="22"/>
          <w:szCs w:val="22"/>
          <w:color w:val="auto"/>
        </w:rPr>
        <w:t>”) and is available on the websites: www.magna.isa.gov.il and maya.tase.co.il. This Proxy Statement will also be available on our website www.towersemi.com.</w:t>
      </w:r>
    </w:p>
    <w:p>
      <w:pPr>
        <w:spacing w:after="0" w:line="2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All Ordinary Shares represented by a properly executed proxy in the form enclosed received prior to the Meeting (that is not revoked in accordance with procedures described in this Proxy Statement), will be voted in accordance with the instructions of the shareholder executing the proxy. With respect to the proposals set forth in this Proxy Statement and accompanying Notice of Meeting, a shareholder may vote in favor of, against, or may abstain from voting on, any of the proposals. Shareholders should specify their choices on the accompanying proxy card. If no specific instructions are given with respect to the matters to be acted upon, the shares represented by a properly signed proxy will be voted FOR all nominees in Proposal 1 and FOR all of the other proposals that are set forth in the accompanying Notice of Meeting.</w:t>
      </w:r>
    </w:p>
    <w:p>
      <w:pPr>
        <w:spacing w:after="0" w:line="2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by following the instructions on the voting instruction form to vote via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6" w:name="page7"/>
    <w:bookmarkEnd w:id="6"/>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 shareholder whose shares are registered with a TASE member and are not registered on the Company’s shareholder’s register is entitled to receive from the TASE member who holds the shares on the shareholder’s behalf, by e-mail, for no charge, a link to the text of the proxy card and to the position statements posted on the ISA website, unless the shareholder has given notice that he or she or it is not so interested; provided, that the notice was provided with respect to a particular securities account, prior to the record date.</w:t>
      </w:r>
    </w:p>
    <w:p>
      <w:pPr>
        <w:spacing w:after="0" w:line="23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Alternatively, shareholders who hold the Company’s ordinary shares through a TASE member may also vote electronically via the electronic voting system of the ISA (the “</w:t>
      </w:r>
      <w:r>
        <w:rPr>
          <w:rFonts w:ascii="Times New Roman" w:cs="Times New Roman" w:eastAsia="Times New Roman" w:hAnsi="Times New Roman"/>
          <w:sz w:val="22"/>
          <w:szCs w:val="22"/>
          <w:b w:val="1"/>
          <w:bCs w:val="1"/>
          <w:color w:val="auto"/>
        </w:rPr>
        <w:t>Electronic System</w:t>
      </w:r>
      <w:r>
        <w:rPr>
          <w:rFonts w:ascii="Times New Roman" w:cs="Times New Roman" w:eastAsia="Times New Roman" w:hAnsi="Times New Roman"/>
          <w:sz w:val="22"/>
          <w:szCs w:val="22"/>
          <w:color w:val="auto"/>
        </w:rPr>
        <w:t>”) after receiving a personal identifying number, an access code and additional information regarding the Meeting from the relevant member of the TASE and after carrying out a secured identification process, up to six hours before the time set for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 and Solicitation</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Board is soliciting proxies for use at the Meeting. We expect to solicit proxies by mail and to mail this Proxy Statement and the accompanying proxy card to shareholders as soon as practicable after the record date. Proxies may also be solicited in person, by telephone or electronic communication, by our directors, officers and employees.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or Revocation of Proxy</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Any shareholder of record returning the accompanying proxy may revoke such proxy at any time prior to the Meeting by:</w:t>
      </w:r>
    </w:p>
    <w:p>
      <w:pPr>
        <w:spacing w:after="0" w:line="41" w:lineRule="exact"/>
        <w:rPr>
          <w:sz w:val="20"/>
          <w:szCs w:val="20"/>
          <w:color w:val="auto"/>
        </w:rPr>
      </w:pPr>
    </w:p>
    <w:p>
      <w:pPr>
        <w:jc w:val="both"/>
        <w:ind w:firstLine="8"/>
        <w:spacing w:after="0" w:line="260" w:lineRule="auto"/>
        <w:tabs>
          <w:tab w:leader="none" w:pos="2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giving written notice to us of such revocation; (ii) voting in person at the Meeting or requesting the return of the proxy at the Meeting; or (iii) executing and delivering to us a later-dated proxy prior to the Meeting. Written revocations and later-dated proxies should be sent to the Company at 20 Shaul Amor Street, Ramat Gavriel Industrial Park, Post Office Box 619, Migdal Haemek 2310502, Israel, Attention: Corporate Counsel. Attendance at the Meeting will not cause your previously granted proxy to be revoked unless you specifically so request.</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your shares are held in “street name,” you may change your vote by submitting new voting instructions to your broker, bank, trustee or nominee or, if you have obtained a legal proxy from your broker, bank, trustee or nominee giving you the right to vote your shares, by attending the Meeting and voting in person. If you are a beneficial owner of shares registered in the name of a member of the TASE and wish to change your voting instructions, you must contact the TASE member through which you hold your shares.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Quorum</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Two or more shareholders present, in person, by proxy or voting via the Electronic System, who hold or represent together at least 33% of the voting rights of our issued share capital will constitute a quorum for the Meeting. If within half an hour from the time scheduled for the Meeting a quorum is not present, the Meeting shall stand adjourned for one week, to July 28, 2022, at the same hour and place, without it being necessary to notify the shareholders. If a quorum is not present at the adjourned date of the Meeting within half an hour of the scheduled time, the persons present (in person, by proxy or voting via the Electronic System (regardless of the voting power represented by their shares)) shall constitute a quorum.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Vote Required for Approval of the Proposals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Ordinary Share is entitled to one vote on each matter to be voted on at the Meeting.</w:t>
      </w:r>
    </w:p>
    <w:p>
      <w:pPr>
        <w:spacing w:after="0" w:line="28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affirmative vote of shareholders present at the Meeting, in person, by proxy or voting via the Electronic System, Internet or telephone, holding Ordinary Shares representing in the aggregate at least a majority of the votes actually cast with respect to each such proposal, is required to elect each of the director nominees named in Proposal 1 and to approve each of the other proposals.</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In addition, under the Israeli Companies Law, 1999 (the “</w:t>
      </w:r>
      <w:r>
        <w:rPr>
          <w:rFonts w:ascii="Times New Roman" w:cs="Times New Roman" w:eastAsia="Times New Roman" w:hAnsi="Times New Roman"/>
          <w:sz w:val="22"/>
          <w:szCs w:val="22"/>
          <w:b w:val="1"/>
          <w:bCs w:val="1"/>
          <w:color w:val="auto"/>
        </w:rPr>
        <w:t>Israeli Companies Law</w:t>
      </w:r>
      <w:r>
        <w:rPr>
          <w:rFonts w:ascii="Times New Roman" w:cs="Times New Roman" w:eastAsia="Times New Roman" w:hAnsi="Times New Roman"/>
          <w:sz w:val="22"/>
          <w:szCs w:val="22"/>
          <w:color w:val="auto"/>
        </w:rPr>
        <w:t>”) the approval of each of Proposals 3 and 4 is also subject to the fulfillment of one of the following additional voting requirements: (i) at least a majority of the voting power of the non-controlling shareholders and non-interested shareholders, present in person or by proxy or voting via the Electronic System, Internet or telephone, and voting on such proposal at the Meeting (excluding abstentions), voted in favor of the proposal; or (ii) the total votes cast in opposition to the proposal by the non-controlling shareholders and non-interested shareholders does not exceed 2% of all the voting power in the Company (the “</w:t>
      </w:r>
      <w:r>
        <w:rPr>
          <w:rFonts w:ascii="Times New Roman" w:cs="Times New Roman" w:eastAsia="Times New Roman" w:hAnsi="Times New Roman"/>
          <w:sz w:val="22"/>
          <w:szCs w:val="22"/>
          <w:b w:val="1"/>
          <w:bCs w:val="1"/>
          <w:color w:val="auto"/>
        </w:rPr>
        <w:t>Special Majority</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Shareholders are requested to notify us as to whether or not they have a “Personal Interest” in connection with each of Proposals 3 and 4. Shareholders voting by means of a proxy card, voting instruction form, Internet or telephone or via the Electronic System, are required to notify us when voting as to whether or not they have a Personal Interest with respect to each such proposal. If any shareholder casting a vote on Proposals 3 and/or 4 does not notify us as to whether or not they have a Personal Interest with respect to any of Proposals 3 and/or 4, their vote will not be counted for purposes of any such proposal(s).</w:t>
      </w:r>
    </w:p>
    <w:p>
      <w:pPr>
        <w:spacing w:after="0" w:line="22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1"/>
          <w:szCs w:val="21"/>
          <w:color w:val="auto"/>
        </w:rPr>
        <w:t>Under the Israeli Companies Law, a “Personal Interest” of a shareholder in an act or transaction of a company (i) includes a personal interest of (a) any spouse, sibling, parent, grandparent or descendant of the shareholder, any descendant, sibling or parent of a spouse of the shareholder and the spouse of any of the foregoing; and (b) a company with respect to which the shareholder (or any of the foregoing relatives of the shareholder) owns at least 5% of the outstanding shares or voting rights, serves as a director or chief executive officer or has the right to appoint one or more directors or the chief executive officer; and</w:t>
      </w:r>
    </w:p>
    <w:p>
      <w:pPr>
        <w:spacing w:after="0" w:line="4" w:lineRule="exact"/>
        <w:rPr>
          <w:sz w:val="20"/>
          <w:szCs w:val="20"/>
          <w:color w:val="auto"/>
        </w:rPr>
      </w:pPr>
    </w:p>
    <w:p>
      <w:pPr>
        <w:jc w:val="both"/>
        <w:ind w:firstLine="8"/>
        <w:spacing w:after="0" w:line="264" w:lineRule="auto"/>
        <w:tabs>
          <w:tab w:leader="none" w:pos="33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excludes a personal interest arising solely from the ownership of shares. Under the Israeli Companies Law, in the case of a person voting by proxy, “Personal Interest” includes the personal interest of either the proxy holder or the shareholder granting the proxy, whether or not the proxy holder has discretion how to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Position Statements</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In accordance with the Israeli Companies Law and regulations promulgated thereunder, any shareholder may submit to us a position statement on its behalf, expressing its position on an agenda item for the Meeting at the offices of the Company, 20 Shaul Amor Street, Ramat Gavriel Industrial Park, Migdal Haemek 2310502, Israel, Attention: Corporate Counsel, no later than, July 11, 2022, at 3:00 p.m. (Israel time).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Meeting Agenda</w:t>
      </w:r>
    </w:p>
    <w:p>
      <w:pPr>
        <w:spacing w:after="0" w:line="2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In accordance with the Israeli Companies Law and regulations promulgated thereunder, any shareholder of the Company holding at least one percent of the outstanding voting rights of the Company may submit to the Company a proposed additional agenda item for the Meeting, to the Company’s offices, 20 Shaul Amor Street, Ramat Gavriel Industrial Park, Migdal Haemek 2310502, Israel, Attention: Corporate Counsel, no later than June 16, 2022. If our Board of Directors determines that a shareholder proposal is duly and timely received and is appropriate under applicable Israeli law and our Articles of Association for inclusion on the agenda for the Meeting, the Company will publish an updated agenda and proxy card for the Meeting, no later than June 23, 2022, which will be furnished to the Commission on Form 6-K, and will be made available to the public on the Commission’s website at </w:t>
      </w:r>
      <w:r>
        <w:rPr>
          <w:rFonts w:ascii="Times New Roman" w:cs="Times New Roman" w:eastAsia="Times New Roman" w:hAnsi="Times New Roman"/>
          <w:sz w:val="22"/>
          <w:szCs w:val="22"/>
          <w:u w:val="single" w:color="auto"/>
          <w:color w:val="auto"/>
        </w:rPr>
        <w:t>www.sec.gov</w:t>
      </w:r>
      <w:r>
        <w:rPr>
          <w:rFonts w:ascii="Times New Roman" w:cs="Times New Roman" w:eastAsia="Times New Roman" w:hAnsi="Times New Roman"/>
          <w:sz w:val="22"/>
          <w:szCs w:val="22"/>
          <w:color w:val="auto"/>
        </w:rPr>
        <w:t>, as well as on the ISA's website at www.magna.isa.gov.il and the TASE's website at www.maya.tase.co.il.</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PRINCIPAL SHAREHOLDERS</w:t>
      </w:r>
    </w:p>
    <w:p>
      <w:pPr>
        <w:spacing w:after="0" w:line="2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table provides information relating to the beneficial ownership of our Ordinary Shares as of May 31, 2022 (unless otherwise indicated), by each shareholder known by us to own beneficially 5% or more of our Ordinary Shares.</w:t>
      </w:r>
    </w:p>
    <w:p>
      <w:pPr>
        <w:spacing w:after="0" w:line="21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Beneficial ownership is determined according to the rules of the Commission, and the information is not necessarily indicative of beneficial ownership for any other purpose. Under such rules, beneficial ownership includes any shares over which the individual or entity possesses sole or shared voting or investment power of that security, or the right to receive the economic benefit of ownership, as well as any shares that the individual has the right to acquire within 60 days of May 31, 2022, through the exercise of any option, warrant or other right or vesting of restricted stock units.</w:t>
      </w:r>
    </w:p>
    <w:p>
      <w:pPr>
        <w:spacing w:after="0" w:line="23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percentage of Ordinary Shares beneficially owned is calculated on the basis of 109,193,286 Ordinary Shares outstanding as of May 31, 2022. Ordinary Shares that a person has the right to acquire within 60 days of May 31, 2022 are deemed outstanding for purposes of computing the percentage ownership of the person holding such rights, but are not deemed outstanding for purposes of computing the percentage ownership of any other person.</w:t>
      </w:r>
    </w:p>
    <w:p>
      <w:pPr>
        <w:spacing w:after="0" w:line="23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Unless otherwise indicated below, the address for each beneficial owner listed is c/o Tower Semiconductor Ltd., 20 Shaul Amor Street, Ramat Gavriel Industrial Park, Migdal Haemek 2310502, Israel, Attention: Chief Legal Officer.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r>
      <w:tr>
        <w:trPr>
          <w:trHeight w:val="207"/>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30"/>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59"/>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2"/>
                <w:szCs w:val="22"/>
                <w:color w:val="auto"/>
              </w:rPr>
            </w:pPr>
          </w:p>
        </w:tc>
      </w:tr>
      <w:tr>
        <w:trPr>
          <w:trHeight w:val="229"/>
        </w:trPr>
        <w:tc>
          <w:tcPr>
            <w:tcW w:w="85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Senvest Management, LLC</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7,446,640</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r>
      <w:tr>
        <w:trPr>
          <w:trHeight w:val="240"/>
        </w:trPr>
        <w:tc>
          <w:tcPr>
            <w:tcW w:w="8640" w:type="dxa"/>
            <w:vAlign w:val="bottom"/>
            <w:gridSpan w:val="2"/>
          </w:tcPr>
          <w:p>
            <w:pPr>
              <w:spacing w:after="0" w:line="240" w:lineRule="exact"/>
              <w:rPr>
                <w:sz w:val="20"/>
                <w:szCs w:val="20"/>
                <w:color w:val="auto"/>
              </w:rPr>
            </w:pPr>
            <w:r>
              <w:rPr>
                <w:rFonts w:ascii="Times New Roman" w:cs="Times New Roman" w:eastAsia="Times New Roman" w:hAnsi="Times New Roman"/>
                <w:sz w:val="17"/>
                <w:szCs w:val="17"/>
                <w:color w:val="auto"/>
              </w:rPr>
              <w:t>Clal Insurance Enterprises Holdings Ltd.</w:t>
            </w:r>
            <w:r>
              <w:rPr>
                <w:rFonts w:ascii="Times New Roman" w:cs="Times New Roman" w:eastAsia="Times New Roman" w:hAnsi="Times New Roman"/>
                <w:sz w:val="27"/>
                <w:szCs w:val="27"/>
                <w:color w:val="auto"/>
                <w:vertAlign w:val="superscript"/>
              </w:rPr>
              <w:t>(2)</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6,626,439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r>
    </w:tbl>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5" w:lineRule="exact"/>
        <w:rPr>
          <w:sz w:val="20"/>
          <w:szCs w:val="20"/>
          <w:color w:val="auto"/>
        </w:rPr>
      </w:pPr>
    </w:p>
    <w:p>
      <w:pPr>
        <w:ind w:left="320" w:right="20" w:hanging="312"/>
        <w:spacing w:after="0" w:line="262"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Schedule 13F filed by Senvest Management, LLC with the Commission on May 13, 2022, which refers to its shareholdings as of March 31, 2022.</w:t>
      </w:r>
    </w:p>
    <w:p>
      <w:pPr>
        <w:spacing w:after="0" w:line="233"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notice provided to the Company by Clal Insurance Enterprises Holdings Ltd. dated April 3, 2022, which refers to its shareholdings as of March 31,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of Executive Officers</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Pursuant to the Israeli Companies Law, the Company is required to present information regarding the compensation of certain office holders (as defined in the Israeli Companies Law) in the year for which the consolidated audited financial statements are being presented to the Company’s shareholders, which may be by incorporation by reference to its reports filed with the Commission. Accordingly, the foregoing information is incorporated herein by reference to the Company’s annual report on Form 20-F for the year ended December 31, 2021, as filed with the Commission on April 29, 2022.</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PROPOSAL 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2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Under our articles of association, our Board of Directors shall consist of at least five and no more than 11 members. Our Board of Directors is currently comprised of nine members, all of whom were appointed as directors at the Company’s previous annual shareholder meeting. Each of our directors generally holds office until the first annual general meeting of shareholders following his or her appointment (unless the tenure of such director expires earlier, or a director is removed from office pursuant to the Israeli Companies Law).</w:t>
      </w:r>
    </w:p>
    <w:p>
      <w:pPr>
        <w:spacing w:after="0" w:line="23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At the Meeting, each of our current nine directors, Amir Elstein, Russell Ellwanger, Kalman Kaufman, Dana Gross, Ilan Flato, Yoav Chelouche, Iris Avner, Ms. Michal Vakrat Wolkin and Mr. Avi Hasson, shall be standing for re-election at the Meeting to hold office until our next annual general meeting of shareholders and until their respective successors are duly elected, subject to our articles of association and applicable law.</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Under the Nasdaq Listing Rules, a majority of the Board of Directors must be comprised of independent directors (as defined in the Nasdaq Listing Rules). After receiving all the relevant information from each of the nine director nominees, the Board has made a determination of independence under the Nasdaq Listing Rules with respect to all of the director nominees, other than Mr. Ellwanger, our Chief Executive Officer.</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size, structure, and composition of the Board is subject to continual evaluation. The recommendations and decisions with respect to appointment of board members are formulated after comprehensive review in order to ensure that the Board has the appropriate skills, knowledge and experience to operate effectively and deliver the Company’s strategy. To this end, the Corporate Governance and Nominating Committee (the “</w:t>
      </w:r>
      <w:r>
        <w:rPr>
          <w:rFonts w:ascii="Times New Roman" w:cs="Times New Roman" w:eastAsia="Times New Roman" w:hAnsi="Times New Roman"/>
          <w:sz w:val="22"/>
          <w:szCs w:val="22"/>
          <w:b w:val="1"/>
          <w:bCs w:val="1"/>
          <w:color w:val="auto"/>
        </w:rPr>
        <w:t>CGN Committee</w:t>
      </w:r>
      <w:r>
        <w:rPr>
          <w:rFonts w:ascii="Times New Roman" w:cs="Times New Roman" w:eastAsia="Times New Roman" w:hAnsi="Times New Roman"/>
          <w:sz w:val="22"/>
          <w:szCs w:val="22"/>
          <w:color w:val="auto"/>
        </w:rPr>
        <w:t>”) has discussed and evaluated the skills present within the boardroom to identify skills that the Board may benefit from further as well as to determine any gaps in skills or competencies.</w:t>
      </w:r>
    </w:p>
    <w:p>
      <w:pPr>
        <w:spacing w:after="0" w:line="23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CGN Committee is responsible for ensuring that director appointment processes are formal, rigorous and transparent. Following its annual review and taking into account each director nominee’s external commitments and their impact on the nominee’s commitment to the Company, the CGN Committee and the Board of Directors have recommended that each of the nine currently serving directors be nominated for re-election at the Meeting to serve as directors of the Company until the next annual meeting of shareholders and until their respective successors are duly elected.</w:t>
      </w:r>
    </w:p>
    <w:p>
      <w:pPr>
        <w:spacing w:after="0" w:line="23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biographical information is provided with respect to each director nominee based upon our records and information provided to us by each nominee.</w:t>
      </w:r>
    </w:p>
    <w:p>
      <w:pPr>
        <w:spacing w:after="0" w:line="20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Amir Elstein </w:t>
      </w:r>
      <w:r>
        <w:rPr>
          <w:rFonts w:ascii="Times New Roman" w:cs="Times New Roman" w:eastAsia="Times New Roman" w:hAnsi="Times New Roman"/>
          <w:sz w:val="21"/>
          <w:szCs w:val="21"/>
          <w:color w:val="auto"/>
        </w:rPr>
        <w:t>has served as the Chairman of our Board since January 2009. Mr. Elstein serves as a Director of Teva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Pharmaceutical Industries Ltd. 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thereto,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 State Physics Department of Applied Physics from the Hebrew University of Jerusalem in 1982. In 1992, Mr. Elstein received his diploma of Senior Business Management from the Hebrew University of Jerusalem.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Russell C. Ellwanger </w:t>
      </w:r>
      <w:r>
        <w:rPr>
          <w:rFonts w:ascii="Times New Roman" w:cs="Times New Roman" w:eastAsia="Times New Roman" w:hAnsi="Times New Roman"/>
          <w:sz w:val="22"/>
          <w:szCs w:val="22"/>
          <w:color w:val="auto"/>
        </w:rPr>
        <w:t>has served as our Chief Executive Officer since May 2005. Mr. Ellwanger has also served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since September 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and Tower Semiconductor San Antonio, Inc.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spacing w:after="0" w:line="24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Kalman Kaufman </w:t>
      </w:r>
      <w:r>
        <w:rPr>
          <w:rFonts w:ascii="Times New Roman" w:cs="Times New Roman" w:eastAsia="Times New Roman" w:hAnsi="Times New Roman"/>
          <w:sz w:val="22"/>
          <w:szCs w:val="22"/>
          <w:color w:val="auto"/>
        </w:rPr>
        <w:t>has served as a director since 2005 and as chairman of the CGN Committee since January 2018. Mr.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Trellis Inc, Chair of the general assembly of the Kinneret Academic College and chairman of the Tzemach Kineret Development Corporation. Mr. Kaufman holds engineering degrees from the Technion - Israel Institute of Technology.</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Dana Gross </w:t>
      </w:r>
      <w:r>
        <w:rPr>
          <w:rFonts w:ascii="Times New Roman" w:cs="Times New Roman" w:eastAsia="Times New Roman" w:hAnsi="Times New Roman"/>
          <w:sz w:val="22"/>
          <w:szCs w:val="22"/>
          <w:color w:val="auto"/>
        </w:rPr>
        <w:t>has served as a director since November 2008, as a member of the CGN Committee since January 2018,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 of the Compensation Committee since February 2013 and as Chair of the Compensation Committee since November 2020. In addition, Mrs. Gross has served as a director on the board of Tower Semiconductor Newport Beach, Inc., our wholly-owned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MEMS-based PICO projection solutions, until it was acquired by ST Microelectronic in 2012. Mrs. Gross was a Venture Partner at Viola Ventures, a leading Israeli venture capital firm, from 2018 until 2010.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serves on the board of directors of Playtika Holding Corp. since January 2022, and has previously served as a director of M-Systems Ltd., Audiocodes Ltd. and Power Dsine Ltd. Mrs. Gross holds a B.Sc. degree in industrial engineering from Tel-Aviv University and an M.A. degree in business administration from San Jose State University.</w:t>
      </w:r>
    </w:p>
    <w:p>
      <w:pPr>
        <w:spacing w:after="0" w:line="24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Ilan Flato </w:t>
      </w:r>
      <w:r>
        <w:rPr>
          <w:rFonts w:ascii="Times New Roman" w:cs="Times New Roman" w:eastAsia="Times New Roman" w:hAnsi="Times New Roman"/>
          <w:sz w:val="21"/>
          <w:szCs w:val="21"/>
          <w:color w:val="auto"/>
        </w:rPr>
        <w:t>has served as a director since February 2009 (until November 2016 as an external director, within the meaning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Companies Law). 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1" w:name="page12"/>
    <w:bookmarkEnd w:id="11"/>
    <w:p>
      <w:pPr>
        <w:jc w:val="both"/>
        <w:ind w:firstLine="648"/>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Yoav Z. Chelouche </w:t>
      </w:r>
      <w:r>
        <w:rPr>
          <w:rFonts w:ascii="Times New Roman" w:cs="Times New Roman" w:eastAsia="Times New Roman" w:hAnsi="Times New Roman"/>
          <w:sz w:val="22"/>
          <w:szCs w:val="22"/>
          <w:color w:val="auto"/>
        </w:rPr>
        <w:t>has served as a director since April 2016, as a member of the CGN Committee since January 2018,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as the Chair and member of our Audit Committee since May 2017. Mr. Chelouche is classified by the Board of Directors as an audit committee financial expert under applicable SEC rules. Mr. Chelouche serves as Managing Partner of Aviv Ventures since its inception in 2001. Between 1995 and 2001, Mr. Chelouche served as President &amp; CEO of Scitex Corp. Until 2015, Mr. Chelouche was co-chairman of Israel Advanced Technology Industries. Mr. Chelouche currently serves on the Board of Directors of the following publicly listed companies: Check Point Software Technologies, Ltd., the Tel-Aviv Stock Exchange, Ltd., Shufersal Ltd. and Malam-Team Ltd. Mr. Chelouche also previously served as Chairman of several public companies. Mr. Chelouche holds a B.A. degree in economics and statistics from Tel-Aviv University and an MBA degree from INSEAD, Fontainebleau, France.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Iris Avner </w:t>
      </w:r>
      <w:r>
        <w:rPr>
          <w:rFonts w:ascii="Times New Roman" w:cs="Times New Roman" w:eastAsia="Times New Roman" w:hAnsi="Times New Roman"/>
          <w:sz w:val="22"/>
          <w:szCs w:val="22"/>
          <w:color w:val="auto"/>
        </w:rPr>
        <w:t>has served as a director since June 2016 (until November 2016 as an external director, within the meaning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at Tel Aviv University. From 1988 until 1996, Ms. Avner held various positions at Israeli Discount Bank including Senior Credit Officer and Senior Economist. Ms. Avner has served as a member of the board of directors of Israel Discount Bank since March 2018 and Amir Marketing and Investments in Agriculture since May 2017. Ms. Avner has served as a member of the board of directors of Rotshtein Real Estate since August 2016. Ms. Avner previously served on several boards and board committees in Israel and abroad, both as director and chairperson. Ms. Avner holds a B.A. degree in accounting and economics from the Hebrew University of Jerusalem and an MBA degree from Tel Aviv University.</w:t>
      </w:r>
    </w:p>
    <w:p>
      <w:pPr>
        <w:spacing w:after="0" w:line="2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Michal Vakrat Wolkin </w:t>
      </w:r>
      <w:r>
        <w:rPr>
          <w:rFonts w:ascii="Times New Roman" w:cs="Times New Roman" w:eastAsia="Times New Roman" w:hAnsi="Times New Roman"/>
          <w:sz w:val="22"/>
          <w:szCs w:val="22"/>
          <w:color w:val="auto"/>
        </w:rPr>
        <w:t>has served as a director since September 2020, and as a member of the CGN Committee since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November 2020. Ms. Wolkin has served as a partner at GFT Ventures, a global venture capital firm since 2020 and on the Advisory Board of RACAH Nano Tech Fund of the Hebrew University of Jerusalem since 2019. Ms. Wolkin served as Managing Director of Lear Innovation Ventures from January 2017 until 2020. During 2014-2016, Ms. Wolkin served as Head of 3M R&amp;D Israel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received her B.Sc. degree in Chemical Engineering from the Technion - Israel Institute of Technology in Israel in 1996 and Ph.D. degree in Applied Physics and Materials Science from the University of Rochester, NY in 2000. In 2003 until 2004, Ms. Wolkin did her Post-doctorate at the Electronics Materials Lab at Xerox PARC.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2" w:name="page13"/>
    <w:bookmarkEnd w:id="12"/>
    <w:p>
      <w:pPr>
        <w:jc w:val="both"/>
        <w:ind w:firstLine="648"/>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Avi Hasson </w:t>
      </w:r>
      <w:r>
        <w:rPr>
          <w:rFonts w:ascii="Times New Roman" w:cs="Times New Roman" w:eastAsia="Times New Roman" w:hAnsi="Times New Roman"/>
          <w:sz w:val="21"/>
          <w:szCs w:val="21"/>
          <w:color w:val="auto"/>
        </w:rPr>
        <w:t>has served as a director since September 2020, and as a member of the Audit Committee and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since November 2020. Mr. Hasson is classified by the Board of Directors as an audit committee financial expert under applicable SEC rules. Mr. Hasson is the chief executive officer of Start-Up Nation Central, an independent non-profit that connects Israeli innovation to global partners. Mr. Hasson previously served as a partner at Emerge, a leading early 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Tel-Aviv University in 1997 and M.BA. degree from Tel Aviv University in 2002.</w:t>
      </w:r>
    </w:p>
    <w:p>
      <w:pPr>
        <w:spacing w:after="0" w:line="2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accordance with exemptions from the Israeli law requirements to have external directors serving on our Board of Directors, we comply with the director independence requirements and the audit committee and compensation committee composition requirements under U.S. laws (including applicable Nasdaq Capital Market rules) applicable to U.S. domestic issuers. In addition, the composition of our CGN Committee complies with the requirements of the Nasdaq Capital Market rules applicable to U.S. domestic issuers.</w:t>
      </w:r>
    </w:p>
    <w:p>
      <w:pPr>
        <w:spacing w:after="0" w:line="23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Board of Directors annually performs a formal evaluation of its performance and an individual Board member assessment to identify potential skills that the Board may benefit from further, as well as determine any gaps in skills or competencies. This evaluation also examines the effectiveness and efficiency of the operation of the Board and its committees as well as each director’s contribution to the boardroom discussions and commitment to the role. In conjunction with the last annual self-assessment, the Board of Directors discussed the ways in which the Board may further address risks with environmental and societal impact, as well as take a more active role in formulating the Company’s strategy and determining which opportunities to pursue.</w:t>
      </w:r>
    </w:p>
    <w:p>
      <w:pPr>
        <w:spacing w:after="0" w:line="23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Further to the Company’s adoption of an Environmental, Social and Governance (“</w:t>
      </w:r>
      <w:r>
        <w:rPr>
          <w:rFonts w:ascii="Times New Roman" w:cs="Times New Roman" w:eastAsia="Times New Roman" w:hAnsi="Times New Roman"/>
          <w:sz w:val="22"/>
          <w:szCs w:val="22"/>
          <w:b w:val="1"/>
          <w:bCs w:val="1"/>
          <w:color w:val="auto"/>
        </w:rPr>
        <w:t>ESG</w:t>
      </w:r>
      <w:r>
        <w:rPr>
          <w:rFonts w:ascii="Times New Roman" w:cs="Times New Roman" w:eastAsia="Times New Roman" w:hAnsi="Times New Roman"/>
          <w:sz w:val="22"/>
          <w:szCs w:val="22"/>
          <w:color w:val="auto"/>
        </w:rPr>
        <w:t>”) program, the Company issued a comprehensive ESG report in August 2021 describing its responsibility, sustainability and ESG strategy, implementation activities and efforts. This report is another activity as part of the Company’s continuous commitment and focus on improving and ensuring actions towards a better company and better society. The CGN Committee oversees ESG initiatives and activities, which are disclosed on the Company’s website and internally communicated, including trainings, to ensure understanding, commitment and enthusiasm corporate-wide.</w:t>
      </w:r>
    </w:p>
    <w:p>
      <w:pPr>
        <w:spacing w:after="0" w:line="2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Subject to their election at the Meeting, the directors shall receive the cash compensation as approved by our shareholders at the annual general meeting held in September 2020 (other than Mr. Amir Elstein and Mr. Russell Ellwanger, whose compensation is addressed separately below). In addition, at the Meeting, shareholders are being asked to approve the award of equity-based compensation to the foregoing directors (see Proposal 5). For the proposed equity-compensation awards to Mr. Amir Elstein and Mr. Russell Ellwanger, see Proposals 2 and 4, respectively. If elected at the Meeting, all of the directors shall continue to benefit from indemnification agreements entered into with each of them, in the form approved by the shareholders in August 2011, as well as from the Company’s directors’ and officers’ liability insurance, as in effect from time to time.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3" w:name="page14"/>
    <w:bookmarkEnd w:id="13"/>
    <w:p>
      <w:pPr>
        <w:ind w:firstLine="648"/>
        <w:spacing w:after="0" w:line="284" w:lineRule="auto"/>
        <w:rPr>
          <w:sz w:val="20"/>
          <w:szCs w:val="20"/>
          <w:color w:val="auto"/>
        </w:rPr>
      </w:pPr>
      <w:r>
        <w:rPr>
          <w:rFonts w:ascii="Times New Roman" w:cs="Times New Roman" w:eastAsia="Times New Roman" w:hAnsi="Times New Roman"/>
          <w:sz w:val="22"/>
          <w:szCs w:val="22"/>
          <w:color w:val="auto"/>
        </w:rPr>
        <w:t>In 2021, the Board held a total of eleven meetings, and average director attendance at Board and committee meetings was 100%. Individual attendance is set forth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CGN</w:t>
            </w:r>
          </w:p>
        </w:tc>
      </w:tr>
      <w:tr>
        <w:trPr>
          <w:trHeight w:val="216"/>
        </w:trPr>
        <w:tc>
          <w:tcPr>
            <w:tcW w:w="598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59"/>
        </w:trPr>
        <w:tc>
          <w:tcPr>
            <w:tcW w:w="5980" w:type="dxa"/>
            <w:vAlign w:val="bottom"/>
          </w:tcPr>
          <w:p>
            <w:pPr>
              <w:spacing w:after="0"/>
              <w:rPr>
                <w:sz w:val="22"/>
                <w:szCs w:val="22"/>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Meetings</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Amir Elstein</w:t>
            </w:r>
          </w:p>
        </w:tc>
        <w:tc>
          <w:tcPr>
            <w:tcW w:w="11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w w:val="92"/>
              </w:rPr>
              <w:t>14/14</w:t>
            </w:r>
          </w:p>
        </w:tc>
        <w:tc>
          <w:tcPr>
            <w:tcW w:w="26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Russell C. Ellwanger</w:t>
            </w: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Kalman Kaufman</w:t>
            </w: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Dana Gross</w:t>
            </w: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Ilan Flato</w:t>
            </w: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15/15</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Yoav Z. Chelouche</w:t>
            </w: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Iris Avner</w:t>
            </w: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Michal Vakrat Wolkin</w:t>
            </w: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Avi Hasson</w:t>
            </w: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15/15</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5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If a properly executed proxy card does not give specific instructions with respect to the election of the directors, the persons named as proxies therein will vote the Ordinary Shares covered thereby “FOR” the election of each of the director nominees named above. If any such nominee is unable to serve (which event is not anticipated), the persons named as proxies in the proxy will vote the Ordinary Shares for the election of such other nominees as the Board of Directors may propose.</w:t>
      </w:r>
    </w:p>
    <w:p>
      <w:pPr>
        <w:spacing w:after="0" w:line="23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Each of the director nominees named above has attested to the Board of Directors and the Company that he/she meets all the requirements for election as a director of publicly traded companies under the Israeli Companies Law and the regulations promulgated thereunder.</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election of each of the director nominees requires the affirmative vote of shareholders present at the Meeting, in person or by proxy or voting via the Electronic System, Internet or telephone, holding Ordinary Shares representing in the aggregate at least a majority of the votes actually cast with respect to the election of each such director.</w:t>
      </w:r>
    </w:p>
    <w:p>
      <w:pPr>
        <w:spacing w:after="0" w:line="22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The Board of Directors recommends that the shareholders vote “FOR” the election of each of the director nominees named above.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APPOINTMENT OF MR. AMIR ELSTEIN AS THE CHAIRMAN OF THE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 AND APPROVE HIS TERMS OF COMPENSATION</w:t>
      </w:r>
    </w:p>
    <w:p>
      <w:pPr>
        <w:spacing w:after="0" w:line="2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Pursuant to the Company's Articles of Association, our shareholders are required to appoint a member of the Board of Directors to serve as its Chairman. The CGN Committee considered the important topic of succession planning across the business. The CGN Committee has concluded that adequate succession planning is in place for the Chairman of the Board as well as the Chief Executive Officer and senior management team. The CGN Committee also monitors the length of tenure, skills and experience of the Board as a whole. The Board of Directors has nominated Mr. Amir Elstein to continue to serve as the Chairman of the Board of Directors until the next annual general meeting of shareholders and until his successor is duly appointed, subject to the approval of his election as a director at the Meeting (see Proposal 1).</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Compensation Committee and Board of Directors have determined that the terms of compensation currently provided to Mr. Elstein for service as the Chairman of the Board of Directors, which were initially approved by the Company’s shareholders in 2013 and are consistent with the Company’s Compensation Policy for Executive Officers and Directors, remain appropriate. Accordingly, the Compensation Committee and Board of Directors approved, subject to shareholder approval, that if reappointed as Chairman of the Board of Directors at the Meeting, Mr. Elstein’s compensation for services in such capacity will remain unchanged, and will continue to be $600,000 per annum. Half of Mr. Elstein’s compensation will be paid in monthly cash installments of $25,000 (gross) each and will be subject to applicable withholding taxes, and the remaining half in time-based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of which one-third shall vest each year over the three year period following the date of grant and will be subject to applicable withholding taxes. In accordance with the Company’s Compensation Policy and common practice, in the event that Mr. Elstein’s service as the Chairman of the Board of Directors is terminated for any reason other than for cause, including by way of resignation or in the event of termination due to the completion of the pending merger with Intel Corporation), prior to the third anniversary from the date of grant, since our Chairman has served on the Board of Directors for more than five years, all unvested RSUs shall be accelerated. If approved by shareholders at the Meeting, the grant date for such equity grant will be the date of approval by shareholders.</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Mr. Elstein, as the Chairman of the Board of Directors, is subject to a minimum stock ownership guideline which was adopted by our Board of Directors, under which the Chairman of the Board of Directors is required to own ordinary shares of the Company in a minimum value that equals at least 50% of the annual cash compensation paid to him, in order to further align the interests of our executives and our shareholders. Mr. Elstein has five years from the date the Board of Directors approved such minimum shareholding guideline to accumulate such minimum holdings, and during such period he must retain at least 20% of any vested time-based RSUs granted to him from the date such guideline was approved by the Board of Directors and until the minimum holding is met.</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22"/>
          <w:szCs w:val="22"/>
          <w:b w:val="1"/>
          <w:bCs w:val="1"/>
          <w:color w:val="auto"/>
        </w:rPr>
        <w:t>“RESOLVED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to appoint Mr. Amir Elstein as the Chairman of the Board of Directors to serve until the next annual meeting of shareholders and until his successor is duly appointed and approve the terms of his compensation in such capacity, as described in Proposal 2 of the Proxy Statement, subject to approval of his election as a director under Proposal 1.”</w:t>
      </w:r>
    </w:p>
    <w:p>
      <w:pPr>
        <w:spacing w:after="0" w:line="23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approval of Proposal 2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The Board of Directors recommends that the shareholders vote “FOR” the foregoing resolution.</w:t>
      </w:r>
    </w:p>
    <w:p>
      <w:pPr>
        <w:spacing w:after="0" w:line="1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PROPOSAL 3</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AN INCREASE IN THE BASE SALARY OF OUR CHIEF EXECUTIVE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 MR. RUSSELL ELLWANGER</w:t>
      </w:r>
    </w:p>
    <w:p>
      <w:pPr>
        <w:spacing w:after="0" w:line="2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Mr. Russell Ellwanger has served as the Company’s Chief Executive Officer since May 2005. Mr. Ellwanger has also served as a director since September 2016, and serves as Chairman of the Board of Directors of the Company’s subsidiaries, Tower Semiconductor USA, Inc., Tower US Holdings, Inc., Tower Semiconductor NPB Holdings, Inc., Tower Semiconductor Newport Beach, Inc., Tower Partners Semiconductor Co., Ltd., and Tower Semiconductor San Antonio, Inc. Mr. Ellwanger also served as a director of the Company between May 2005 and April 2013.</w:t>
      </w:r>
    </w:p>
    <w:p>
      <w:pPr>
        <w:spacing w:after="0" w:line="23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Under the Israeli Companies Law, the terms of service of a chief executive officer and modifications to such terms of service, require the approval of the Compensation Committee, Board of Directors and (subject to limited exceptions) shareholders of the Company by Special Majority, in that order.</w:t>
      </w:r>
    </w:p>
    <w:p>
      <w:pPr>
        <w:spacing w:after="0" w:line="22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Our Compensation Committee and Board of Directors conducted a comprehensive annual review of the compensation of Mr. Ellwanger in accordance with the Company’s Compensation Policy and in comparison to benchmark data provided by an independent consultant to ensure that his compensation components and total compensation remain aligned with the companies that the Company competes with for human capital and positioned at the appropriate benchmark compensation.</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1"/>
          <w:szCs w:val="21"/>
          <w:color w:val="auto"/>
        </w:rPr>
        <w:t>The Compensation Committee and Board of Directors are attentive to shareholders’ sensitivities by monitoring and adjusting the chief executive officer’s compensation terms to market best practice while ensuring that it maintains a competitive pay program that targets the achievement of strong performance for the Company’s shareholders. The Compensation Committee and Board of Directors target Mr. Ellwanger’s compensation level at approximately the 75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percentile relative to the Company’s peer group due to his exceptional performance and ongoing contribution to the Company’s growth and profitability.</w:t>
      </w:r>
    </w:p>
    <w:p>
      <w:pPr>
        <w:spacing w:after="0" w:line="25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Based on such review, the Compensation Committee and Board of Directors concluded that, subject to shareholder approval, Mr. Ellwanger’s annual base salary should be increased by 5% from $859,950 to $902,947.50, effective as of the date of the Meeting. Mr. Ellwanger is a U.S. resident who relocated to Israel in 2005 to take the position as Chief Executive Officer of the Company. Mr. Ellwanger’s professional experience, skills and knowledge of all aspects of the semiconductor industry, including technical know-how, operational expertise and his customer, vendor and market familiarity, make Mr. Ellwanger unique in his capabilities and have allowed the Company to compete and succeed in gaining market share and improve its financial performance since the commencement of his employment. It is the view of the Compensation Committee and the Board of Directors that Mr. Ellwanger’s compensation should be competitive with the Company’s global peer companies, many of which are located in the United States, where this proposed level of annual compensation is in line with the benchmark of the Company’s peer group companies as reflected in the benchmark data.</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RESOLVED, to approve the increase in the annual base salary of Mr. Russell Ellwanger, the Company’s Chief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Executive Officer, as described in Proposal 3 of the Proxy Statement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approval of Proposal 3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 In addition, under the Israeli Companies Law, the approval of Proposal 3 is also subject to the Special Majority.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Each shareholder voting in person at the Meeting or by means of the accompanying proxy card, voting instruction form, Internet or telephone, or through the Electronic System is requested to notify us as to whether or not he, she or it has a Personal Interest in connection with this Proposal 3 as a condition for his or her or its vote to be counted with respect to this Proposal 3. If any shareholder casting a vote in connection with this Proposal 3 does not notify us as to whether or not he, she or it has a Personal Interest with respect to this Proposal 3, his, her or its vote with respect to this Proposal 3 will be disqualified. For details regarding the meaning of “Personal Interest,” see above “Vote Required for Approval of the Proposals.”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THE AWARD OF EQUITY-BASED COMPENSATION TO OUR CHIEF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OFFICER, MR. RUSSELL ELLWANGER</w:t>
      </w:r>
    </w:p>
    <w:p>
      <w:pPr>
        <w:spacing w:after="0" w:line="2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Under the Israeli Companies Law, the terms of service of a chief executive officer, including the award of equity-based compensation, requires the approval of the Compensation Committee, Board of Directors and (subject to limited exceptions) shareholders of the Company by the Special Majority, in that order.</w:t>
      </w:r>
    </w:p>
    <w:p>
      <w:pPr>
        <w:spacing w:after="0" w:line="22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As detailed in Proposal 3, our Compensation Committee and Board of Directors conducted a comprehensive annual review of the compensation of Mr. Russell Ellwanger, our Chief Executive Officer, including his equity-based compensation, in accordance with the terms of the Company’s Compensation Policy and in comparison to the independent benchmark data (see Proposal 3).</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After their evaluation and assessment, each of the Compensation Committee and Board of Directors approved, subject to shareholder approval, an annual equity grant to Mr. Ellwanger that is equal to the value of 7.5 annual base salaries ($6,772,106 if Proposal 3 is approved at the Meeting or $6,449,625 if Proposal 3 is not approved at the Meeting), comprised of 40% RSUs with time-based vesting and 60% performance-based stock units (the “</w:t>
      </w:r>
      <w:r>
        <w:rPr>
          <w:rFonts w:ascii="Times New Roman" w:cs="Times New Roman" w:eastAsia="Times New Roman" w:hAnsi="Times New Roman"/>
          <w:sz w:val="22"/>
          <w:szCs w:val="22"/>
          <w:b w:val="1"/>
          <w:bCs w:val="1"/>
          <w:color w:val="auto"/>
        </w:rPr>
        <w:t>Initial PSUs</w:t>
      </w:r>
      <w:r>
        <w:rPr>
          <w:rFonts w:ascii="Times New Roman" w:cs="Times New Roman" w:eastAsia="Times New Roman" w:hAnsi="Times New Roman"/>
          <w:sz w:val="22"/>
          <w:szCs w:val="22"/>
          <w:color w:val="auto"/>
        </w:rPr>
        <w:t>”). The RSUs will vest over a three year period, such that one-third shall vest at the end of each year over a three-year period from the date of grant. The vesting of the Initial PSUs is subject to the attainment of certain pre-defined financial performance measures of net profit and cash from operations for the year ended December 31, 2022 (the “</w:t>
      </w:r>
      <w:r>
        <w:rPr>
          <w:rFonts w:ascii="Times New Roman" w:cs="Times New Roman" w:eastAsia="Times New Roman" w:hAnsi="Times New Roman"/>
          <w:sz w:val="22"/>
          <w:szCs w:val="22"/>
          <w:b w:val="1"/>
          <w:bCs w:val="1"/>
          <w:color w:val="auto"/>
        </w:rPr>
        <w:t>FY2022 Performance Measures</w:t>
      </w:r>
      <w:r>
        <w:rPr>
          <w:rFonts w:ascii="Times New Roman" w:cs="Times New Roman" w:eastAsia="Times New Roman" w:hAnsi="Times New Roman"/>
          <w:sz w:val="22"/>
          <w:szCs w:val="22"/>
          <w:color w:val="auto"/>
        </w:rPr>
        <w:t>”), weighted equally. These two performance measures are reported within the Company’s annual financial statements, which are prepared in accordance with U.S. GAAP, and we believe best reflect our performance results derived from our strategy to expand our served markets, increase our higher margin manufacturing mix and maintain a leading position in the specialty analog semiconductor industry. If the FY2022 Performance Measures are met, the Initial PSUs will vest over a three year period, such that one third of the Initial PSUs shall vest at the end of each year from the date of grant of the Initial PSUs over the three year period.</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addition, in accordance with the Company's Compensation Policy, each of the Compensation Committee and Board of Directors approved, subject to shareholder approval, the grant to Mr. Ellwanger of additional PSUs (“</w:t>
      </w:r>
      <w:r>
        <w:rPr>
          <w:rFonts w:ascii="Times New Roman" w:cs="Times New Roman" w:eastAsia="Times New Roman" w:hAnsi="Times New Roman"/>
          <w:sz w:val="22"/>
          <w:szCs w:val="22"/>
          <w:b w:val="1"/>
          <w:bCs w:val="1"/>
          <w:color w:val="auto"/>
        </w:rPr>
        <w:t>Upside PSUs</w:t>
      </w:r>
      <w:r>
        <w:rPr>
          <w:rFonts w:ascii="Times New Roman" w:cs="Times New Roman" w:eastAsia="Times New Roman" w:hAnsi="Times New Roman"/>
          <w:sz w:val="22"/>
          <w:szCs w:val="22"/>
          <w:color w:val="auto"/>
        </w:rPr>
        <w:t>”) with a maximum value of up to 10% of the Initial PSUs maximum target equity value (i.e., an aggregate value of up to $406,326 if Proposal 3 is approved at the Meeting or up to $386,977 if Proposal 3 is not approved at the Meeting), which shall vest subject to and only in the event that the Company’s actual financial performance in 2022 exceeds the pre-defined performance targets set forth in the FY2022 Performance Measures. Subject to exceeding such pre-defined performance targets, the portion of the Upside PSUs that shall vest shall be in proportion to the degree by which such pre-defined performance targets were exceeded in relation to a certain upside target percentage that was pre-defined by the Compensation Committee and Board of Directors, and such portion of Upside PSUs shall vest over a three-year period, such that one third of such portion of the Upside PSUs shall vest at the end of each year from the date of grant of the Initial PSUs over the three-year period. We intend to disclose information with respect to the attainment of the FY2022 Performance Measures in our annual report on Form 20-F for the year ending December 31, 2022. The date of grant for the abovementioned awards shall be the date of the shareholders’ approval at the Meeting.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 w:name="page18"/>
    <w:bookmarkEnd w:id="17"/>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The proposed equity awards to Mr. Ellwanger, as described above, are in accordance with the equity plan of the Company and are in compliance with the Company’s Compensation Policy, as they have an aggregate value that is in line with the maximum annual value of equity that may be granted to the chief executive officer and are in line with the ratio between the fixed and variable compensation components of the chief executive officer, and are consistent with the need to link the chief executive officer’s compensation and performance targets, which are aligned with the Company’s business strategy and with the responsibilities and duties to be performed by the chief executive officer. Furthermore, the aggregate amount of all outstanding equity-based compensation grants at any time to all directors and employees, including the chief executive officer, continues to be below 10% of the Company’s share capital on a fully diluted basis, as required under the Company’s Compensation Policy.</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Company’s Compensation Policy includes a stock ownership guideline under which the chief executive officer is required to own ordinary shares of the Company in a minimum value that equals at least three times his annual base salary, in order to further align the interests of our executives and our shareholders. Mr. Ellwanger has five years from the date the Board of Directors approved such minimum shareholding guideline to accumulate such minimum stock ownership, and during such period Mr. Ellwanger must retain at least 20% of any vested time-based RSUs granted to him from the date such guideline was approved by the Board of Directors and until the minimum holding is met.</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right="20"/>
        <w:spacing w:after="0" w:line="287" w:lineRule="auto"/>
        <w:rPr>
          <w:sz w:val="20"/>
          <w:szCs w:val="20"/>
          <w:color w:val="auto"/>
        </w:rPr>
      </w:pPr>
      <w:r>
        <w:rPr>
          <w:rFonts w:ascii="Times New Roman" w:cs="Times New Roman" w:eastAsia="Times New Roman" w:hAnsi="Times New Roman"/>
          <w:sz w:val="22"/>
          <w:szCs w:val="22"/>
          <w:b w:val="1"/>
          <w:bCs w:val="1"/>
          <w:color w:val="auto"/>
        </w:rPr>
        <w:t>“RESOLVED, to approve the award of equity-based compensation to Mr. Russell Ellwanger, the Company’s Chief Executive Officer, as described in Proposal 4 of the Proxy Statement.”</w:t>
      </w:r>
    </w:p>
    <w:p>
      <w:pPr>
        <w:spacing w:after="0" w:line="20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approval of Proposal 4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 In addition, under the Israeli Companies Law, the approval of Proposal 4 is also subject to the Special Majority.</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Each shareholder voting in person at the Meeting or by means of the accompanying proxy card, voting instruction form, Internet or telephone or through the Electronic System is requested to notify us as to whether or not he, she or it has a Personal Interest in connection with this Proposal 4 as a condition for his or her or its vote to be counted with respect to this Proposal 4. If any shareholder casting a vote in connection with this Proposal 4 does not notify us as to whether or not he, she or it has a Personal Interest with respect to this Proposal 4, his, her or its vote with respect to this Proposal 4 will be disqualified. For details regarding the meaning of “Personal Interest,” see above “Vote Required for Approval of the Proposals.”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The Board of Directors recommends that the shareholders vote “FOR” the foregoing resolution.</w:t>
      </w:r>
    </w:p>
    <w:p>
      <w:pPr>
        <w:spacing w:after="0" w:line="1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PROPOSAL 5</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AN EQUITY GRANT TO THE MEMBERS OF OUR BOARD OF DIRECTORS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THAN MR. AMIR ELSTEIN AND MR. RUSSELL ELLWANGER)</w:t>
      </w:r>
    </w:p>
    <w:p>
      <w:pPr>
        <w:spacing w:after="0" w:line="2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compliance with the Company’s Compensation Policy, the Company may award equity-based compensation in the form of time-based RSUs to its directors, in accordance with the Company’s equity-based compensation policies and programs in place from time to time.</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Our Compensation Committee and Board of Directors conducted an annual review of the terms of compensation of the members of our board of directors and determined that the current terms of compensation of our directors (other than the Chairman of our Board of Directors, Amir Elstein, and our Chief Executive Officer, Russell Ellwanger, whose compensation is separately addressed in Proposals 2, 3 and 4) (the “</w:t>
      </w:r>
      <w:r>
        <w:rPr>
          <w:rFonts w:ascii="Times New Roman" w:cs="Times New Roman" w:eastAsia="Times New Roman" w:hAnsi="Times New Roman"/>
          <w:sz w:val="22"/>
          <w:szCs w:val="22"/>
          <w:b w:val="1"/>
          <w:bCs w:val="1"/>
          <w:color w:val="auto"/>
        </w:rPr>
        <w:t>Named Directors</w:t>
      </w:r>
      <w:r>
        <w:rPr>
          <w:rFonts w:ascii="Times New Roman" w:cs="Times New Roman" w:eastAsia="Times New Roman" w:hAnsi="Times New Roman"/>
          <w:sz w:val="22"/>
          <w:szCs w:val="22"/>
          <w:color w:val="auto"/>
        </w:rPr>
        <w:t>”), including the annual equity grant to such directors, are consistent with the Company’s Compensation Policy and remain appropriate. Accordingly, the Compensation Committee and Board of Directors have resolved to recommend to the shareholders to approve a grant to each of the Named Directors, subject to his or her respective appointment as a director under Proposal 1 above, of time-based RSUs in a value of $125,000, which is the same annual equity award in terms of the form of equity award and total value in U.S. dollars that was granted to our directors in 2021 following the approval of our shareholders at the 2021 annual general meeting. The RSUs shall vest over a two-year period, with 50% vesting at the end of the first anniversary of the date of grant and 50% on the second anniversary of the date of grant. If approved by shareholders at the Meeting, the grant date for such RSU award to each Named Director (if elected at the Meeting) will be the date of approval by shareholders.</w:t>
      </w:r>
    </w:p>
    <w:p>
      <w:pPr>
        <w:spacing w:after="0" w:line="24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In accordance with the Company’s Compensation Policy and common practice, in the event any Named Director’s service with the Company is terminated for any reason (including by way of resignation or in the event of termination due to the completion of the pending merger with Intel Corporation), prior to the second anniversary from the date of grant, (i) if the Named Director has served on the Board of Directors for five years or more, all unvested RSUs shall be accelerated; and (ii) if the Named Director has served on the Board of Directors for less than five years, 50% of all unvested RSUs shall be accelerated.</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In accordance with the Company’s Compensation Policy, the Named Directors are required to own ordinary shares of the Company in a minimum value that equals at least 50% of his/her respective Annual Fee (as defined in the Company’s Compensation Policy commencing July 2025. The Named Directors have five years from the date the Board of Directors approved such minimum shareholding guideline to accumulate such minimum holdings, and during such period the Named Directors must retain at least 20% of any vested time-based RSUs granted to them from the date such guideline was approved by the Board of Directors and until the minimum holding is met.</w:t>
      </w:r>
    </w:p>
    <w:p>
      <w:pPr>
        <w:spacing w:after="0" w:line="2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terms of the proposed equity grants to the Named Directors are in accordance with the Company’s Compensation Policy and the applicable equity plan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22"/>
          <w:szCs w:val="22"/>
          <w:b w:val="1"/>
          <w:bCs w:val="1"/>
          <w:color w:val="auto"/>
        </w:rPr>
        <w:t>“RESOLVED, subject to his or her respective election as a director under Proposal 1, to approve the equity grant to each member of the Company’s Board of Directors (other than Amir Elstein and Russell Ellwanger), as described in Proposal 5 of the Proxy Statement.”</w:t>
      </w:r>
    </w:p>
    <w:p>
      <w:pPr>
        <w:spacing w:after="0" w:line="22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approval of Proposal 5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The Board of Directors recommends that the shareholders vote “FOR” the foregoing resolution.</w:t>
      </w:r>
    </w:p>
    <w:p>
      <w:pPr>
        <w:spacing w:after="0" w:line="1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PROPOSAL 6</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THE APPOINTMENT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INDEPENDENT REGISTERED PUBLIC ACCOUNTANT</w:t>
      </w:r>
    </w:p>
    <w:p>
      <w:pPr>
        <w:spacing w:after="0" w:line="2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Audit Committee of the Board of Directors has authorized and approved the appointment of the accounting firm of Brightman Almagor Zohar &amp; Co., Certified Public Accountants, a firm in the Deloitte Global Network, to serve as the Company’s independent registered public accountants for the year ending December 31, 2022 and for the period commencing January 1, 2023 and until the next annual shareholder meeting.</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Following an effectiveness review, the Audit Committee concluded that Brightman Almagor Zohar &amp; Co remained independent and objective in their role as external auditor. Furthermore, the Audit Committee of the Board of Directors believes that such appointment is appropriate and in the best interests of the Company and its shareholders. Subject to the authorization of our shareholders, the Audit Committee shall determine the remuneration of Brightman Almagor Zohar &amp; Co. in accordance with the volume and nature of its services.</w:t>
      </w:r>
    </w:p>
    <w:p>
      <w:pPr>
        <w:spacing w:after="0" w:line="23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fees paid to Brightman Almagor Zohar &amp; Co. for its audit and non-audit services for the 2021 financial year were disclosed in the Company’s Annual Report on Form 20-F for the year ended December 31, 2021, filed with the Commission on April 29, 2022, and shall be reported to our shareholders at the Meeting upon request.</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firstLine="60"/>
        <w:spacing w:after="0" w:line="264" w:lineRule="auto"/>
        <w:rPr>
          <w:sz w:val="20"/>
          <w:szCs w:val="20"/>
          <w:color w:val="auto"/>
        </w:rPr>
      </w:pPr>
      <w:r>
        <w:rPr>
          <w:rFonts w:ascii="Times New Roman" w:cs="Times New Roman" w:eastAsia="Times New Roman" w:hAnsi="Times New Roman"/>
          <w:sz w:val="22"/>
          <w:szCs w:val="22"/>
          <w:b w:val="1"/>
          <w:bCs w:val="1"/>
          <w:color w:val="auto"/>
        </w:rPr>
        <w:t>“RESOLVED, that the appointment of Brightman Almagor Zohar &amp; Co., Certified Public Accountants, a firm in the Deloitte Global Network, as the independent registered public accountants of the Company for the year ending December 31, 2022 and for the period commencing January 1, 2023 and until the next annual shareholders’ meeting, and the authorization of the Audit Committee of the Board of Directors to determine the remuneration of such firm in accordance with the volume and nature of its services, is hereby approved.”</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appointment of Brightman Almagor Zohar &amp; Co. as the independent registered public accountants of the Company and the authorization of the Audit Committee to determine such auditors’ remuneration require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REVIEW AND DISCUSSION OF THE COMPANY'S CONSOLIDATED FINANCIAL STATEMENTS</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At the Meeting, shareholders will have an opportunity to review, ask questions and comment on the Company’s consolidated financial statements as of December 31, 2021 and for the year then ended. This review and discussion will not involve a shareholder a vote.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0" w:name="page21"/>
    <w:bookmarkEnd w:id="20"/>
    <w:p>
      <w:pPr>
        <w:jc w:val="both"/>
        <w:ind w:firstLine="648"/>
        <w:spacing w:after="0" w:line="271" w:lineRule="auto"/>
        <w:rPr>
          <w:sz w:val="20"/>
          <w:szCs w:val="20"/>
          <w:color w:val="auto"/>
        </w:rPr>
      </w:pPr>
      <w:r>
        <w:rPr>
          <w:rFonts w:ascii="Times New Roman" w:cs="Times New Roman" w:eastAsia="Times New Roman" w:hAnsi="Times New Roman"/>
          <w:sz w:val="21"/>
          <w:szCs w:val="21"/>
          <w:color w:val="auto"/>
        </w:rPr>
        <w:t xml:space="preserve">Our audited consolidated financial statements for the year ended December 31, 2021, which form part of our annual report on Form 20-F for the year ended December 31, 2021, filed with the Commission on April 29, 2022, are available on the Company's website at </w:t>
      </w:r>
      <w:r>
        <w:rPr>
          <w:rFonts w:ascii="Times New Roman" w:cs="Times New Roman" w:eastAsia="Times New Roman" w:hAnsi="Times New Roman"/>
          <w:sz w:val="21"/>
          <w:szCs w:val="21"/>
          <w:u w:val="single" w:color="auto"/>
          <w:color w:val="auto"/>
        </w:rPr>
        <w:t>www.towersemi.com</w:t>
      </w:r>
      <w:r>
        <w:rPr>
          <w:rFonts w:ascii="Times New Roman" w:cs="Times New Roman" w:eastAsia="Times New Roman" w:hAnsi="Times New Roman"/>
          <w:sz w:val="21"/>
          <w:szCs w:val="21"/>
          <w:color w:val="auto"/>
        </w:rPr>
        <w:t xml:space="preserve"> under “Investors” or through the Commission’s website at www.sec.gov or through the website of the ISA at www.magna.isa.gov.il. Copies will also be mailed to shareholders upon request sent to the Company at</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20 Shaul Amor Street, Ramat Gavriel Industrial Park, Post Office Box 619, Migdal Haemek 2310502, Israel, Attention: Corporate Counsel. None of the audited consolidated financial statements, the Form 20-F nor the contents of our website form part of the proxy solicitation material.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87" w:lineRule="exact"/>
        <w:rPr>
          <w:sz w:val="20"/>
          <w:szCs w:val="20"/>
          <w:color w:val="auto"/>
        </w:rPr>
      </w:pPr>
    </w:p>
    <w:p>
      <w:pPr>
        <w:jc w:val="both"/>
        <w:ind w:firstLine="638"/>
        <w:spacing w:after="0" w:line="264" w:lineRule="auto"/>
        <w:rPr>
          <w:sz w:val="20"/>
          <w:szCs w:val="20"/>
          <w:color w:val="auto"/>
        </w:rPr>
      </w:pPr>
      <w:r>
        <w:rPr>
          <w:rFonts w:ascii="Times New Roman" w:cs="Times New Roman" w:eastAsia="Times New Roman" w:hAnsi="Times New Roman"/>
          <w:sz w:val="22"/>
          <w:szCs w:val="22"/>
          <w:i w:val="1"/>
          <w:iCs w:val="1"/>
          <w:color w:val="auto"/>
        </w:rPr>
        <w:t>Foreign Private Issuer</w:t>
      </w:r>
      <w:r>
        <w:rPr>
          <w:rFonts w:ascii="Times New Roman" w:cs="Times New Roman" w:eastAsia="Times New Roman" w:hAnsi="Times New Roman"/>
          <w:sz w:val="22"/>
          <w:szCs w:val="22"/>
          <w:color w:val="auto"/>
        </w:rPr>
        <w:t>. We are subject to the informational requirements of the Exchange Act, as applicable to foreign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private issuers. Accordingly, we file reports and other information with the Commission. As a foreign private issuer, all documents which were filed after November 4, 2002 on the Commission's EDGAR system are available for retrieval on the Commission's website at www.sec.gov. We submit copies of our filings with the Commission to the ISA and the TASE, and such filings are also available to the public on their respective websites at www.magna.isa.gov.il and www.maya.tase.co.il.</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As a foreign private issuer, we are exempt from the rules under the Exchange Act prescribing certain disclosure and procedural requirements with respect to proxy solicitations. The circulation of this Proxy Statement and related notice should not be taken as an admission that we are subject to those proxy rules. Furthermore,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Commission as frequently or as promptly as United States companies whose securities are registered under the Exchange Act.</w:t>
      </w:r>
    </w:p>
    <w:p>
      <w:pPr>
        <w:spacing w:after="0" w:line="23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ISA Exemption. </w:t>
      </w:r>
      <w:r>
        <w:rPr>
          <w:rFonts w:ascii="Times New Roman" w:cs="Times New Roman" w:eastAsia="Times New Roman" w:hAnsi="Times New Roman"/>
          <w:sz w:val="22"/>
          <w:szCs w:val="22"/>
          <w:color w:val="auto"/>
        </w:rPr>
        <w:t>With the exception of the reporting obligations applicable to a company organized under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of Israel whose shares are traded on approved securities exchanges outside of Israel and in Israel as specified in Chapter Five (iii) of the Israeli Securities Law, 1968 (the “</w:t>
      </w:r>
      <w:r>
        <w:rPr>
          <w:rFonts w:ascii="Times New Roman" w:cs="Times New Roman" w:eastAsia="Times New Roman" w:hAnsi="Times New Roman"/>
          <w:sz w:val="22"/>
          <w:szCs w:val="22"/>
          <w:b w:val="1"/>
          <w:bCs w:val="1"/>
          <w:color w:val="auto"/>
        </w:rPr>
        <w:t>Israeli Securities Law</w:t>
      </w:r>
      <w:r>
        <w:rPr>
          <w:rFonts w:ascii="Times New Roman" w:cs="Times New Roman" w:eastAsia="Times New Roman" w:hAnsi="Times New Roman"/>
          <w:sz w:val="22"/>
          <w:szCs w:val="22"/>
          <w:color w:val="auto"/>
        </w:rPr>
        <w:t>”), we have received from the ISA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20 Shaul Amor Street, Ramat Gavriel Industrial Park, Migdal Haemek 2310502, Israel.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BUSINESS</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Other than as set forth above, management knows of no business to be transacted at the Meeting. If any other matters are properly presented at the Meeting, Ordinary Shares represented by executed and unrevoked proxies will be voted by the persons named in the enclosed form of proxy upon such matters in accordance with their best judgment.</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Amir Elstein</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Migdal Haemek, Israel</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June 9, 2022</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GENERAL MEETING OF SHAREHOLDERS OF</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LTD.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21, 2022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sign, date and mail</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proxy card in the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envelope provided as soon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possible.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27875" cy="398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398780"/>
                    </a:xfrm>
                    <a:prstGeom prst="rect">
                      <a:avLst/>
                    </a:prstGeom>
                    <a:noFill/>
                  </pic:spPr>
                </pic:pic>
              </a:graphicData>
            </a:graphic>
          </wp:anchor>
        </w:drawing>
      </w:r>
    </w:p>
    <w:p>
      <w:pPr>
        <w:spacing w:after="0" w:line="357" w:lineRule="exact"/>
        <w:rPr>
          <w:sz w:val="20"/>
          <w:szCs w:val="20"/>
          <w:color w:val="auto"/>
        </w:rPr>
      </w:pPr>
    </w:p>
    <w:p>
      <w:pPr>
        <w:jc w:val="center"/>
        <w:ind w:left="340" w:right="400"/>
        <w:spacing w:after="0" w:line="244" w:lineRule="exact"/>
        <w:rPr>
          <w:sz w:val="20"/>
          <w:szCs w:val="20"/>
          <w:color w:val="auto"/>
        </w:rPr>
      </w:pPr>
      <w:r>
        <w:rPr>
          <w:rFonts w:ascii="Times New Roman" w:cs="Times New Roman" w:eastAsia="Times New Roman" w:hAnsi="Times New Roman"/>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AGAINSTABSTAIN</w:t>
            </w:r>
          </w:p>
        </w:tc>
        <w:tc>
          <w:tcPr>
            <w:tcW w:w="0" w:type="dxa"/>
            <w:vAlign w:val="bottom"/>
          </w:tcPr>
          <w:p>
            <w:pPr>
              <w:spacing w:after="0"/>
              <w:rPr>
                <w:sz w:val="1"/>
                <w:szCs w:val="1"/>
                <w:color w:val="auto"/>
              </w:rPr>
            </w:pPr>
          </w:p>
        </w:tc>
      </w:tr>
      <w:tr>
        <w:trPr>
          <w:trHeight w:val="211"/>
        </w:trPr>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1. TO ELECT </w:t>
            </w:r>
            <w:r>
              <w:rPr>
                <w:rFonts w:ascii="Times New Roman" w:cs="Times New Roman" w:eastAsia="Times New Roman" w:hAnsi="Times New Roman"/>
                <w:sz w:val="18"/>
                <w:szCs w:val="18"/>
                <w:color w:val="auto"/>
              </w:rPr>
              <w:t>each of the nine director nominees named below</w:t>
            </w: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 TO APPOINT </w:t>
            </w:r>
            <w:r>
              <w:rPr>
                <w:rFonts w:ascii="Times New Roman" w:cs="Times New Roman" w:eastAsia="Times New Roman" w:hAnsi="Times New Roman"/>
                <w:sz w:val="18"/>
                <w:szCs w:val="18"/>
                <w:color w:val="auto"/>
              </w:rPr>
              <w:t>Mr. Amir Elstein as the Chairman</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 serve as members of the Board of Directors of the Company</w:t>
            </w: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Board of Directors to serve until the next</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until the next annual meeting of shareholders and until their</w:t>
            </w: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meeting  of  shareholders  and  until  his</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respective successors are duly elected.</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 is duly appointed and approve the terms</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his compensation in such capacity, as described</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Proposal 2 of the Proxy Statement, subject to</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2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approval of his election as a director under Proposal</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280" w:type="dxa"/>
            <w:vAlign w:val="bottom"/>
          </w:tcPr>
          <w:p>
            <w:pPr>
              <w:spacing w:after="0"/>
              <w:rPr>
                <w:sz w:val="6"/>
                <w:szCs w:val="6"/>
                <w:color w:val="auto"/>
              </w:rPr>
            </w:pPr>
          </w:p>
        </w:tc>
        <w:tc>
          <w:tcPr>
            <w:tcW w:w="8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AGAINSTABSTAIN</w:t>
            </w:r>
          </w:p>
        </w:tc>
        <w:tc>
          <w:tcPr>
            <w:tcW w:w="41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410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Amir Elstein</w:t>
            </w:r>
          </w:p>
        </w:tc>
        <w:tc>
          <w:tcPr>
            <w:tcW w:w="8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Russell Ellwanger</w:t>
            </w:r>
          </w:p>
        </w:tc>
        <w:tc>
          <w:tcPr>
            <w:tcW w:w="8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3. TO APPROVE </w:t>
            </w:r>
            <w:r>
              <w:rPr>
                <w:rFonts w:ascii="Times New Roman" w:cs="Times New Roman" w:eastAsia="Times New Roman" w:hAnsi="Times New Roman"/>
                <w:sz w:val="18"/>
                <w:szCs w:val="18"/>
                <w:color w:val="auto"/>
              </w:rPr>
              <w:t>the increase in the annual base</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1"/>
        </w:trPr>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Kalman Kaufman</w:t>
            </w:r>
          </w:p>
        </w:tc>
        <w:tc>
          <w:tcPr>
            <w:tcW w:w="840" w:type="dxa"/>
            <w:vAlign w:val="bottom"/>
            <w:vMerge w:val="restart"/>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salary of Mr. Russell Ellwanger, the Company’s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2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Chief Executive Officer, as described in Proposal 3</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Dana Gross</w:t>
            </w:r>
          </w:p>
        </w:tc>
        <w:tc>
          <w:tcPr>
            <w:tcW w:w="8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Proxy Statement.</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Ilan Flato</w:t>
            </w:r>
          </w:p>
        </w:tc>
        <w:tc>
          <w:tcPr>
            <w:tcW w:w="8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Do you have a “Personal Interest” (as defined in</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Yoav Chelouche</w:t>
            </w:r>
          </w:p>
        </w:tc>
        <w:tc>
          <w:tcPr>
            <w:tcW w:w="840" w:type="dxa"/>
            <w:vAlign w:val="bottom"/>
            <w:vMerge w:val="restart"/>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the Proxy Statement) with respect to the subject</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2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matter of Proposal 3?</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Iris Avner</w:t>
            </w:r>
          </w:p>
        </w:tc>
        <w:tc>
          <w:tcPr>
            <w:tcW w:w="8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vMerge w:val="restart"/>
          </w:tcPr>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Michal Vakrat Wolkin</w:t>
            </w:r>
          </w:p>
        </w:tc>
        <w:tc>
          <w:tcPr>
            <w:tcW w:w="840" w:type="dxa"/>
            <w:vAlign w:val="bottom"/>
            <w:vMerge w:val="restart"/>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Avi Hasson</w:t>
            </w:r>
          </w:p>
        </w:tc>
        <w:tc>
          <w:tcPr>
            <w:tcW w:w="840" w:type="dxa"/>
            <w:vAlign w:val="bottom"/>
            <w:vMerge w:val="restart"/>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4. TO  APPROVE  </w:t>
            </w:r>
            <w:r>
              <w:rPr>
                <w:rFonts w:ascii="Times New Roman" w:cs="Times New Roman" w:eastAsia="Times New Roman" w:hAnsi="Times New Roman"/>
                <w:sz w:val="18"/>
                <w:szCs w:val="18"/>
                <w:color w:val="auto"/>
              </w:rPr>
              <w:t>the  award  of  equity-based</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to  Mr.  Russell  Ellwanger,  the</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Company’s Chief Executive Officer, as described in</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Proposal 4 of the Proxy Statement.</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Do you have a “Personal Interest” (as defined in</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the Proxy Statement) with respect to the subject</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matter of Proposal 4?</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0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TO APPROVE </w:t>
            </w:r>
            <w:r>
              <w:rPr>
                <w:rFonts w:ascii="Times New Roman" w:cs="Times New Roman" w:eastAsia="Times New Roman" w:hAnsi="Times New Roman"/>
                <w:sz w:val="18"/>
                <w:szCs w:val="18"/>
                <w:color w:val="auto"/>
              </w:rPr>
              <w:t>the equity grant to each member of</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Company’s Board of Directors (other than Amir</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Elstein  and  Russell  Ellwanger),  as  described  in</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Proposal 5 of the Proxy Statement, subject to his or</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 respective election as a director under Proposal</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6.  TO APPROVE </w:t>
            </w:r>
            <w:r>
              <w:rPr>
                <w:rFonts w:ascii="Times New Roman" w:cs="Times New Roman" w:eastAsia="Times New Roman" w:hAnsi="Times New Roman"/>
                <w:sz w:val="18"/>
                <w:szCs w:val="18"/>
                <w:color w:val="auto"/>
              </w:rPr>
              <w:t>the appointment of Brightman</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Almagor Zohar &amp; Co, Certified Public Accountants,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firm  in  the  Deloitte  Global  Network,  as  the</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independent registered public accountants of the</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060"/>
        <w:spacing w:after="0"/>
        <w:rPr>
          <w:sz w:val="20"/>
          <w:szCs w:val="20"/>
          <w:color w:val="auto"/>
        </w:rPr>
      </w:pPr>
      <w:r>
        <w:rPr>
          <w:rFonts w:ascii="Times New Roman" w:cs="Times New Roman" w:eastAsia="Times New Roman" w:hAnsi="Times New Roman"/>
          <w:sz w:val="18"/>
          <w:szCs w:val="18"/>
          <w:color w:val="auto"/>
        </w:rPr>
        <w:t>Company for the year ending December 31, 2022</w:t>
      </w:r>
    </w:p>
    <w:p>
      <w:pPr>
        <w:spacing w:after="0" w:line="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and for the period commencing January 1, 2023 and</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until the next annual shareholders meeting, and to</w:t>
      </w:r>
    </w:p>
    <w:p>
      <w:pPr>
        <w:spacing w:after="0" w:line="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authorize the Audit Committee of the Board of</w:t>
      </w:r>
    </w:p>
    <w:p>
      <w:pPr>
        <w:spacing w:after="0" w:line="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Directors to determine the remuneration of such</w:t>
      </w:r>
    </w:p>
    <w:p>
      <w:pPr>
        <w:sectPr>
          <w:pgSz w:w="11900" w:h="16838" w:orient="portrait"/>
          <w:cols w:equalWidth="0" w:num="1">
            <w:col w:w="11240"/>
          </w:cols>
          <w:pgMar w:left="320" w:top="432" w:right="339" w:bottom="0" w:gutter="0" w:footer="0" w:header="0"/>
        </w:sectPr>
      </w:pPr>
    </w:p>
    <w:bookmarkStart w:id="22" w:name="page23"/>
    <w:bookmarkEnd w:id="22"/>
    <w:p>
      <w:pPr>
        <w:ind w:left="5060"/>
        <w:spacing w:after="0"/>
        <w:rPr>
          <w:sz w:val="20"/>
          <w:szCs w:val="20"/>
          <w:color w:val="auto"/>
        </w:rPr>
      </w:pPr>
      <w:r>
        <w:rPr>
          <w:rFonts w:ascii="Times New Roman" w:cs="Times New Roman" w:eastAsia="Times New Roman" w:hAnsi="Times New Roman"/>
          <w:sz w:val="18"/>
          <w:szCs w:val="18"/>
          <w:color w:val="auto"/>
        </w:rPr>
        <w:t>firm in accordance with the volume and nature of its</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40633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33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change the address on your account, please check the box at right and indicate your new address in the address space above.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11830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83005" cy="1714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320675</wp:posOffset>
            </wp:positionV>
            <wp:extent cx="11912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9126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262255</wp:posOffset>
            </wp:positionV>
            <wp:extent cx="7179310" cy="403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4032885"/>
                    </a:xfrm>
                    <a:prstGeom prst="rect">
                      <a:avLst/>
                    </a:prstGeom>
                    <a:noFill/>
                  </pic:spPr>
                </pic:pic>
              </a:graphicData>
            </a:graphic>
          </wp:anchor>
        </w:drawing>
        <w:t>TOWER SEMICONDUCTOR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Thursday, July 21,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undersigned shareholder of Tower Semiconductor Ltd. (the "Company") hereby appoints each of Dina Back Frimer and Nati Somekh, each with full power of substitution, as the true and lawful attorney, agent and proxy of the undersigned, to vote, as designated on the reverse side, all of the ordinary shares, par value NIS 15.00 per share, of the Company which the undersigned is entitled in any capacity to vote at the Annual General Meeting of Shareholders of the Company to be held at the offices of the Company located at 20 Shaul Amor Street, Ramat Gavriel Industrial Park, Migdal Haemek, Israel, on Thursday, July 21, 2022, at 3:00 p.m. (Israel time) and all adjournments and postponements thereof (the "Meeting").</w:t>
      </w:r>
    </w:p>
    <w:p>
      <w:pPr>
        <w:spacing w:after="0" w:line="18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undersigned hereby acknowledges receipt of the Notice of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accordance with the manner directed herein by the undersigned shareholder. If no direction is made, this proxy will be voted FOR all director nominees named in Proposal 1 and FOR each of the other proposals.</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VOTES CAST ON PROPOSALS 3 AND 4 SET FORTH ON THE REVERSE WILL NOT BE COUNTED UNLESS “YES” OR “NO” HAS BEEN SPECIFIED AS TO WHETHER THE SHAREHOLDER HAS A PERSONAL INTEREST (AS DEFINED IN THE PROXY STATEMENT) WITH RESPECT TO SUCH PROPOSALS.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497205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591820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420" w:top="75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2022-06-09T15:10:01Z</dcterms:created>
  <dcterms:modified xsi:type="dcterms:W3CDTF">2022-06-09T15:10:01Z</dcterms:modified>
</cp:coreProperties>
</file>