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146685</wp:posOffset>
            </wp:positionH>
            <wp:positionV relativeFrom="page">
              <wp:posOffset>109220</wp:posOffset>
            </wp:positionV>
            <wp:extent cx="7282815"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815" cy="35560"/>
                    </a:xfrm>
                    <a:prstGeom prst="rect">
                      <a:avLst/>
                    </a:prstGeom>
                    <a:noFill/>
                  </pic:spPr>
                </pic:pic>
              </a:graphicData>
            </a:graphic>
          </wp:anchor>
        </w:drawing>
        <w:t>FORM 6-K</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month of March 2007 No.1</w:t>
      </w:r>
    </w:p>
    <w:p>
      <w:pPr>
        <w:spacing w:after="0" w:line="168"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TOWER SEMICONDUCTOR LTD.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(Translation of registrant’s name into English)</w:t>
      </w:r>
    </w:p>
    <w:p>
      <w:pPr>
        <w:spacing w:after="0" w:line="18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Ramat Gavriel Industrial Park</w:t>
      </w:r>
    </w:p>
    <w:p>
      <w:pPr>
        <w:spacing w:after="0" w:line="18" w:lineRule="exact"/>
        <w:rPr>
          <w:sz w:val="24"/>
          <w:szCs w:val="24"/>
          <w:color w:val="auto"/>
        </w:rPr>
      </w:pPr>
    </w:p>
    <w:p>
      <w:pPr>
        <w:ind w:left="4260"/>
        <w:spacing w:after="0"/>
        <w:rPr>
          <w:sz w:val="20"/>
          <w:szCs w:val="20"/>
          <w:color w:val="auto"/>
        </w:rPr>
      </w:pPr>
      <w:r>
        <w:rPr>
          <w:rFonts w:ascii="Arial" w:cs="Arial" w:eastAsia="Arial" w:hAnsi="Arial"/>
          <w:sz w:val="16"/>
          <w:szCs w:val="16"/>
          <w:b w:val="1"/>
          <w:bCs w:val="1"/>
          <w:color w:val="auto"/>
        </w:rPr>
        <w:t>P.O. Box 619, Migdal Haemek, Israel 23105</w:t>
      </w:r>
    </w:p>
    <w:p>
      <w:pPr>
        <w:spacing w:after="0" w:line="7" w:lineRule="exact"/>
        <w:rPr>
          <w:sz w:val="24"/>
          <w:szCs w:val="24"/>
          <w:color w:val="auto"/>
        </w:rPr>
      </w:pPr>
    </w:p>
    <w:p>
      <w:pPr>
        <w:ind w:left="4480"/>
        <w:spacing w:after="0"/>
        <w:rPr>
          <w:sz w:val="20"/>
          <w:szCs w:val="20"/>
          <w:color w:val="auto"/>
        </w:rPr>
      </w:pPr>
      <w:r>
        <w:rPr>
          <w:rFonts w:ascii="Arial" w:cs="Arial" w:eastAsia="Arial" w:hAnsi="Arial"/>
          <w:sz w:val="16"/>
          <w:szCs w:val="16"/>
          <w:color w:val="auto"/>
        </w:rPr>
        <w:t>(Address of principal executive offices)</w:t>
      </w:r>
    </w:p>
    <w:p>
      <w:pPr>
        <w:spacing w:after="0" w:line="192"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 20-F </w:t>
      </w:r>
      <w:r>
        <w:rPr>
          <w:rFonts w:ascii="Arial" w:cs="Arial" w:eastAsia="Arial" w:hAnsi="Arial"/>
          <w:sz w:val="19"/>
          <w:szCs w:val="19"/>
          <w:color w:val="auto"/>
        </w:rPr>
        <w:t>x</w:t>
      </w:r>
      <w:r>
        <w:rPr>
          <w:rFonts w:ascii="Arial" w:cs="Arial" w:eastAsia="Arial" w:hAnsi="Arial"/>
          <w:sz w:val="16"/>
          <w:szCs w:val="16"/>
          <w:color w:val="auto"/>
        </w:rPr>
        <w:t xml:space="preserve"> Form 40-F </w:t>
      </w:r>
      <w:r>
        <w:rPr>
          <w:rFonts w:ascii="Arial" w:cs="Arial" w:eastAsia="Arial" w:hAnsi="Arial"/>
          <w:sz w:val="19"/>
          <w:szCs w:val="19"/>
          <w:color w:val="auto"/>
        </w:rPr>
        <w:t>o</w:t>
      </w:r>
    </w:p>
    <w:p>
      <w:pPr>
        <w:spacing w:after="0" w:line="199" w:lineRule="exact"/>
        <w:rPr>
          <w:sz w:val="24"/>
          <w:szCs w:val="24"/>
          <w:color w:val="auto"/>
        </w:rPr>
      </w:pPr>
    </w:p>
    <w:p>
      <w:pPr>
        <w:ind w:right="100" w:firstLine="310"/>
        <w:spacing w:after="0" w:line="264"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Yes </w:t>
      </w:r>
      <w:r>
        <w:rPr>
          <w:rFonts w:ascii="Arial" w:cs="Arial" w:eastAsia="Arial" w:hAnsi="Arial"/>
          <w:sz w:val="19"/>
          <w:szCs w:val="19"/>
          <w:color w:val="auto"/>
        </w:rPr>
        <w:t>o</w:t>
      </w:r>
      <w:r>
        <w:rPr>
          <w:rFonts w:ascii="Arial" w:cs="Arial" w:eastAsia="Arial" w:hAnsi="Arial"/>
          <w:sz w:val="16"/>
          <w:szCs w:val="16"/>
          <w:color w:val="auto"/>
        </w:rPr>
        <w:t xml:space="preserve"> No </w:t>
      </w:r>
      <w:r>
        <w:rPr>
          <w:rFonts w:ascii="Arial" w:cs="Arial" w:eastAsia="Arial" w:hAnsi="Arial"/>
          <w:sz w:val="19"/>
          <w:szCs w:val="19"/>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67575" cy="35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382" w:lineRule="exact"/>
        <w:rPr>
          <w:sz w:val="24"/>
          <w:szCs w:val="24"/>
          <w:color w:val="auto"/>
        </w:rPr>
      </w:pPr>
    </w:p>
    <w:p>
      <w:pPr>
        <w:ind w:left="300"/>
        <w:spacing w:after="0"/>
        <w:rPr>
          <w:sz w:val="20"/>
          <w:szCs w:val="20"/>
          <w:color w:val="auto"/>
        </w:rPr>
      </w:pPr>
      <w:r>
        <w:rPr>
          <w:rFonts w:ascii="Arial" w:cs="Arial" w:eastAsia="Arial" w:hAnsi="Arial"/>
          <w:sz w:val="16"/>
          <w:szCs w:val="16"/>
          <w:color w:val="auto"/>
        </w:rPr>
        <w:t>On March 15, 2007, the Registrant announced an equity private placement of its ordinary shares and warrants to US institutional investors.</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Attached hereto are the press release and forms of agreements entered into in connection with the announced transaction:</w:t>
      </w:r>
    </w:p>
    <w:p>
      <w:pPr>
        <w:spacing w:after="0" w:line="198" w:lineRule="exact"/>
        <w:rPr>
          <w:sz w:val="24"/>
          <w:szCs w:val="24"/>
          <w:color w:val="auto"/>
        </w:rPr>
      </w:pPr>
    </w:p>
    <w:p>
      <w:pPr>
        <w:spacing w:after="0"/>
        <w:tabs>
          <w:tab w:leader="none" w:pos="1360" w:val="left"/>
        </w:tabs>
        <w:rPr>
          <w:sz w:val="20"/>
          <w:szCs w:val="20"/>
          <w:color w:val="auto"/>
        </w:rPr>
      </w:pPr>
      <w:r>
        <w:rPr>
          <w:rFonts w:ascii="Arial" w:cs="Arial" w:eastAsia="Arial" w:hAnsi="Arial"/>
          <w:sz w:val="16"/>
          <w:szCs w:val="16"/>
          <w:color w:val="auto"/>
        </w:rPr>
        <w:t>Exhibit 99.1</w:t>
      </w:r>
      <w:r>
        <w:rPr>
          <w:sz w:val="20"/>
          <w:szCs w:val="20"/>
          <w:color w:val="auto"/>
        </w:rPr>
        <w:tab/>
      </w:r>
      <w:r>
        <w:rPr>
          <w:rFonts w:ascii="Arial" w:cs="Arial" w:eastAsia="Arial" w:hAnsi="Arial"/>
          <w:sz w:val="13"/>
          <w:szCs w:val="13"/>
          <w:color w:val="auto"/>
        </w:rPr>
        <w:t>Press release dated March 15, 2007</w:t>
      </w:r>
    </w:p>
    <w:p>
      <w:pPr>
        <w:spacing w:after="0" w:line="222" w:lineRule="exact"/>
        <w:rPr>
          <w:sz w:val="24"/>
          <w:szCs w:val="24"/>
          <w:color w:val="auto"/>
        </w:rPr>
      </w:pPr>
    </w:p>
    <w:p>
      <w:pPr>
        <w:spacing w:after="0"/>
        <w:tabs>
          <w:tab w:leader="none" w:pos="1360" w:val="left"/>
        </w:tabs>
        <w:rPr>
          <w:sz w:val="20"/>
          <w:szCs w:val="20"/>
          <w:color w:val="auto"/>
        </w:rPr>
      </w:pPr>
      <w:r>
        <w:rPr>
          <w:rFonts w:ascii="Arial" w:cs="Arial" w:eastAsia="Arial" w:hAnsi="Arial"/>
          <w:sz w:val="16"/>
          <w:szCs w:val="16"/>
          <w:color w:val="auto"/>
        </w:rPr>
        <w:t>Exhibit 99.2</w:t>
      </w:r>
      <w:r>
        <w:rPr>
          <w:sz w:val="20"/>
          <w:szCs w:val="20"/>
          <w:color w:val="auto"/>
        </w:rPr>
        <w:tab/>
      </w:r>
      <w:r>
        <w:rPr>
          <w:rFonts w:ascii="Arial" w:cs="Arial" w:eastAsia="Arial" w:hAnsi="Arial"/>
          <w:sz w:val="13"/>
          <w:szCs w:val="13"/>
          <w:color w:val="auto"/>
        </w:rPr>
        <w:t>Form of Securities Purchase Agreement</w:t>
      </w:r>
    </w:p>
    <w:p>
      <w:pPr>
        <w:spacing w:after="0" w:line="222" w:lineRule="exact"/>
        <w:rPr>
          <w:sz w:val="24"/>
          <w:szCs w:val="24"/>
          <w:color w:val="auto"/>
        </w:rPr>
      </w:pPr>
    </w:p>
    <w:p>
      <w:pPr>
        <w:spacing w:after="0"/>
        <w:tabs>
          <w:tab w:leader="none" w:pos="1360" w:val="left"/>
        </w:tabs>
        <w:rPr>
          <w:sz w:val="20"/>
          <w:szCs w:val="20"/>
          <w:color w:val="auto"/>
        </w:rPr>
      </w:pPr>
      <w:r>
        <w:rPr>
          <w:rFonts w:ascii="Arial" w:cs="Arial" w:eastAsia="Arial" w:hAnsi="Arial"/>
          <w:sz w:val="16"/>
          <w:szCs w:val="16"/>
          <w:color w:val="auto"/>
        </w:rPr>
        <w:t>Exhibit 99.3</w:t>
      </w:r>
      <w:r>
        <w:rPr>
          <w:sz w:val="20"/>
          <w:szCs w:val="20"/>
          <w:color w:val="auto"/>
        </w:rPr>
        <w:tab/>
      </w:r>
      <w:r>
        <w:rPr>
          <w:rFonts w:ascii="Arial" w:cs="Arial" w:eastAsia="Arial" w:hAnsi="Arial"/>
          <w:sz w:val="13"/>
          <w:szCs w:val="13"/>
          <w:color w:val="auto"/>
        </w:rPr>
        <w:t>Disclosure Schedules to the Securities Purchase Agreement</w:t>
      </w:r>
    </w:p>
    <w:p>
      <w:pPr>
        <w:spacing w:after="0" w:line="222" w:lineRule="exact"/>
        <w:rPr>
          <w:sz w:val="24"/>
          <w:szCs w:val="24"/>
          <w:color w:val="auto"/>
        </w:rPr>
      </w:pPr>
    </w:p>
    <w:p>
      <w:pPr>
        <w:spacing w:after="0"/>
        <w:tabs>
          <w:tab w:leader="none" w:pos="1360" w:val="left"/>
        </w:tabs>
        <w:rPr>
          <w:sz w:val="20"/>
          <w:szCs w:val="20"/>
          <w:color w:val="auto"/>
        </w:rPr>
      </w:pPr>
      <w:r>
        <w:rPr>
          <w:rFonts w:ascii="Arial" w:cs="Arial" w:eastAsia="Arial" w:hAnsi="Arial"/>
          <w:sz w:val="16"/>
          <w:szCs w:val="16"/>
          <w:color w:val="auto"/>
        </w:rPr>
        <w:t>Exhibit 99.4</w:t>
      </w:r>
      <w:r>
        <w:rPr>
          <w:sz w:val="20"/>
          <w:szCs w:val="20"/>
          <w:color w:val="auto"/>
        </w:rPr>
        <w:tab/>
      </w:r>
      <w:r>
        <w:rPr>
          <w:rFonts w:ascii="Arial" w:cs="Arial" w:eastAsia="Arial" w:hAnsi="Arial"/>
          <w:sz w:val="14"/>
          <w:szCs w:val="14"/>
          <w:color w:val="auto"/>
        </w:rPr>
        <w:t>Form of Registration Rights Agreement</w:t>
      </w:r>
    </w:p>
    <w:p>
      <w:pPr>
        <w:spacing w:after="0" w:line="222" w:lineRule="exact"/>
        <w:rPr>
          <w:sz w:val="24"/>
          <w:szCs w:val="24"/>
          <w:color w:val="auto"/>
        </w:rPr>
      </w:pPr>
    </w:p>
    <w:p>
      <w:pPr>
        <w:spacing w:after="0"/>
        <w:tabs>
          <w:tab w:leader="none" w:pos="1360" w:val="left"/>
        </w:tabs>
        <w:rPr>
          <w:sz w:val="20"/>
          <w:szCs w:val="20"/>
          <w:color w:val="auto"/>
        </w:rPr>
      </w:pPr>
      <w:r>
        <w:rPr>
          <w:rFonts w:ascii="Arial" w:cs="Arial" w:eastAsia="Arial" w:hAnsi="Arial"/>
          <w:sz w:val="16"/>
          <w:szCs w:val="16"/>
          <w:color w:val="auto"/>
        </w:rPr>
        <w:t>Exhibit 99.5</w:t>
      </w:r>
      <w:r>
        <w:rPr>
          <w:sz w:val="20"/>
          <w:szCs w:val="20"/>
          <w:color w:val="auto"/>
        </w:rPr>
        <w:tab/>
      </w:r>
      <w:r>
        <w:rPr>
          <w:rFonts w:ascii="Arial" w:cs="Arial" w:eastAsia="Arial" w:hAnsi="Arial"/>
          <w:sz w:val="14"/>
          <w:szCs w:val="14"/>
          <w:color w:val="auto"/>
        </w:rPr>
        <w:t>Schedule 6(b) to the Registration Rights Agreement</w:t>
      </w:r>
    </w:p>
    <w:p>
      <w:pPr>
        <w:spacing w:after="0" w:line="222" w:lineRule="exact"/>
        <w:rPr>
          <w:sz w:val="24"/>
          <w:szCs w:val="24"/>
          <w:color w:val="auto"/>
        </w:rPr>
      </w:pPr>
    </w:p>
    <w:p>
      <w:pPr>
        <w:spacing w:after="0"/>
        <w:tabs>
          <w:tab w:leader="none" w:pos="1360" w:val="left"/>
        </w:tabs>
        <w:rPr>
          <w:sz w:val="20"/>
          <w:szCs w:val="20"/>
          <w:color w:val="auto"/>
        </w:rPr>
      </w:pPr>
      <w:r>
        <w:rPr>
          <w:rFonts w:ascii="Arial" w:cs="Arial" w:eastAsia="Arial" w:hAnsi="Arial"/>
          <w:sz w:val="16"/>
          <w:szCs w:val="16"/>
          <w:color w:val="auto"/>
        </w:rPr>
        <w:t>Exhibit 99.6</w:t>
      </w:r>
      <w:r>
        <w:rPr>
          <w:sz w:val="20"/>
          <w:szCs w:val="20"/>
          <w:color w:val="auto"/>
        </w:rPr>
        <w:tab/>
      </w:r>
      <w:r>
        <w:rPr>
          <w:rFonts w:ascii="Arial" w:cs="Arial" w:eastAsia="Arial" w:hAnsi="Arial"/>
          <w:sz w:val="14"/>
          <w:szCs w:val="14"/>
          <w:color w:val="auto"/>
        </w:rPr>
        <w:t>Form of Series I Warrant</w:t>
      </w:r>
    </w:p>
    <w:p>
      <w:pPr>
        <w:spacing w:after="0" w:line="222" w:lineRule="exact"/>
        <w:rPr>
          <w:sz w:val="24"/>
          <w:szCs w:val="24"/>
          <w:color w:val="auto"/>
        </w:rPr>
      </w:pPr>
    </w:p>
    <w:p>
      <w:pPr>
        <w:spacing w:after="0"/>
        <w:tabs>
          <w:tab w:leader="none" w:pos="1360" w:val="left"/>
        </w:tabs>
        <w:rPr>
          <w:sz w:val="20"/>
          <w:szCs w:val="20"/>
          <w:color w:val="auto"/>
        </w:rPr>
      </w:pPr>
      <w:r>
        <w:rPr>
          <w:rFonts w:ascii="Arial" w:cs="Arial" w:eastAsia="Arial" w:hAnsi="Arial"/>
          <w:sz w:val="16"/>
          <w:szCs w:val="16"/>
          <w:color w:val="auto"/>
        </w:rPr>
        <w:t>Exhibit 99.7</w:t>
      </w:r>
      <w:r>
        <w:rPr>
          <w:sz w:val="20"/>
          <w:szCs w:val="20"/>
          <w:color w:val="auto"/>
        </w:rPr>
        <w:tab/>
      </w:r>
      <w:r>
        <w:rPr>
          <w:rFonts w:ascii="Arial" w:cs="Arial" w:eastAsia="Arial" w:hAnsi="Arial"/>
          <w:sz w:val="14"/>
          <w:szCs w:val="14"/>
          <w:color w:val="auto"/>
        </w:rPr>
        <w:t>Form of Series II Warrant</w:t>
      </w:r>
    </w:p>
    <w:p>
      <w:pPr>
        <w:spacing w:after="0" w:line="200" w:lineRule="exact"/>
        <w:rPr>
          <w:sz w:val="24"/>
          <w:szCs w:val="24"/>
          <w:color w:val="auto"/>
        </w:rPr>
      </w:pPr>
    </w:p>
    <w:p>
      <w:pPr>
        <w:spacing w:after="0" w:line="212" w:lineRule="exact"/>
        <w:rPr>
          <w:sz w:val="24"/>
          <w:szCs w:val="24"/>
          <w:color w:val="auto"/>
        </w:rPr>
      </w:pPr>
    </w:p>
    <w:p>
      <w:pPr>
        <w:ind w:left="300"/>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7575" cy="355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75" w:lineRule="exact"/>
        <w:rPr>
          <w:sz w:val="24"/>
          <w:szCs w:val="24"/>
          <w:color w:val="auto"/>
        </w:rPr>
      </w:pPr>
    </w:p>
    <w:p>
      <w:pPr>
        <w:ind w:right="500" w:firstLine="310"/>
        <w:spacing w:after="0" w:line="26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7900" w:type="dxa"/>
            <w:vAlign w:val="bottom"/>
          </w:tcPr>
          <w:p>
            <w:pPr>
              <w:ind w:left="2180"/>
              <w:spacing w:after="0"/>
              <w:rPr>
                <w:sz w:val="20"/>
                <w:szCs w:val="20"/>
                <w:color w:val="auto"/>
              </w:rPr>
            </w:pPr>
            <w:r>
              <w:rPr>
                <w:rFonts w:ascii="Arial" w:cs="Arial" w:eastAsia="Arial" w:hAnsi="Arial"/>
                <w:sz w:val="16"/>
                <w:szCs w:val="16"/>
                <w:b w:val="1"/>
                <w:bCs w:val="1"/>
                <w:color w:val="auto"/>
              </w:rPr>
              <w:t>TOWER SEMICONDUCTOR LTD.</w:t>
            </w:r>
          </w:p>
        </w:tc>
      </w:tr>
      <w:tr>
        <w:trPr>
          <w:trHeight w:val="567"/>
        </w:trPr>
        <w:tc>
          <w:tcPr>
            <w:tcW w:w="3540" w:type="dxa"/>
            <w:vAlign w:val="bottom"/>
          </w:tcPr>
          <w:p>
            <w:pPr>
              <w:spacing w:after="0"/>
              <w:rPr>
                <w:sz w:val="20"/>
                <w:szCs w:val="20"/>
                <w:color w:val="auto"/>
              </w:rPr>
            </w:pPr>
            <w:r>
              <w:rPr>
                <w:rFonts w:ascii="Arial" w:cs="Arial" w:eastAsia="Arial" w:hAnsi="Arial"/>
                <w:sz w:val="16"/>
                <w:szCs w:val="16"/>
                <w:color w:val="auto"/>
              </w:rPr>
              <w:t>Date: March 15, 2007</w:t>
            </w:r>
          </w:p>
        </w:tc>
        <w:tc>
          <w:tcPr>
            <w:tcW w:w="7900" w:type="dxa"/>
            <w:vAlign w:val="bottom"/>
          </w:tcPr>
          <w:p>
            <w:pPr>
              <w:ind w:left="2180"/>
              <w:spacing w:after="0"/>
              <w:rPr>
                <w:sz w:val="20"/>
                <w:szCs w:val="20"/>
                <w:color w:val="auto"/>
              </w:rPr>
            </w:pPr>
            <w:r>
              <w:rPr>
                <w:rFonts w:ascii="Arial" w:cs="Arial" w:eastAsia="Arial" w:hAnsi="Arial"/>
                <w:sz w:val="16"/>
                <w:szCs w:val="16"/>
                <w:color w:val="auto"/>
              </w:rPr>
              <w:t>By: /s/ Nati Somekh Gilboa</w:t>
            </w:r>
          </w:p>
        </w:tc>
      </w:tr>
      <w:tr>
        <w:trPr>
          <w:trHeight w:val="191"/>
        </w:trPr>
        <w:tc>
          <w:tcPr>
            <w:tcW w:w="3540" w:type="dxa"/>
            <w:vAlign w:val="bottom"/>
          </w:tcPr>
          <w:p>
            <w:pPr>
              <w:spacing w:after="0"/>
              <w:rPr>
                <w:sz w:val="16"/>
                <w:szCs w:val="16"/>
                <w:color w:val="auto"/>
              </w:rPr>
            </w:pPr>
          </w:p>
        </w:tc>
        <w:tc>
          <w:tcPr>
            <w:tcW w:w="7900" w:type="dxa"/>
            <w:vAlign w:val="bottom"/>
          </w:tcPr>
          <w:p>
            <w:pPr>
              <w:ind w:left="2180"/>
              <w:spacing w:after="0"/>
              <w:rPr>
                <w:sz w:val="20"/>
                <w:szCs w:val="20"/>
                <w:color w:val="auto"/>
              </w:rPr>
            </w:pPr>
            <w:r>
              <w:rPr>
                <w:rFonts w:ascii="Arial" w:cs="Arial" w:eastAsia="Arial" w:hAnsi="Arial"/>
                <w:sz w:val="16"/>
                <w:szCs w:val="16"/>
                <w:color w:val="auto"/>
              </w:rPr>
              <w:t>——————————————</w:t>
            </w:r>
          </w:p>
        </w:tc>
      </w:tr>
      <w:tr>
        <w:trPr>
          <w:trHeight w:val="191"/>
        </w:trPr>
        <w:tc>
          <w:tcPr>
            <w:tcW w:w="3540" w:type="dxa"/>
            <w:vAlign w:val="bottom"/>
          </w:tcPr>
          <w:p>
            <w:pPr>
              <w:spacing w:after="0"/>
              <w:rPr>
                <w:sz w:val="16"/>
                <w:szCs w:val="16"/>
                <w:color w:val="auto"/>
              </w:rPr>
            </w:pPr>
          </w:p>
        </w:tc>
        <w:tc>
          <w:tcPr>
            <w:tcW w:w="7900" w:type="dxa"/>
            <w:vAlign w:val="bottom"/>
          </w:tcPr>
          <w:p>
            <w:pPr>
              <w:ind w:left="2180"/>
              <w:spacing w:after="0"/>
              <w:rPr>
                <w:sz w:val="20"/>
                <w:szCs w:val="20"/>
                <w:color w:val="auto"/>
              </w:rPr>
            </w:pPr>
            <w:r>
              <w:rPr>
                <w:rFonts w:ascii="Arial" w:cs="Arial" w:eastAsia="Arial" w:hAnsi="Arial"/>
                <w:sz w:val="16"/>
                <w:szCs w:val="16"/>
                <w:color w:val="auto"/>
              </w:rPr>
              <w:t>Nati Somekh Gilboa</w:t>
            </w:r>
          </w:p>
        </w:tc>
      </w:tr>
      <w:tr>
        <w:trPr>
          <w:trHeight w:val="196"/>
        </w:trPr>
        <w:tc>
          <w:tcPr>
            <w:tcW w:w="3540" w:type="dxa"/>
            <w:vAlign w:val="bottom"/>
          </w:tcPr>
          <w:p>
            <w:pPr>
              <w:spacing w:after="0"/>
              <w:rPr>
                <w:sz w:val="17"/>
                <w:szCs w:val="17"/>
                <w:color w:val="auto"/>
              </w:rPr>
            </w:pPr>
          </w:p>
        </w:tc>
        <w:tc>
          <w:tcPr>
            <w:tcW w:w="7900" w:type="dxa"/>
            <w:vAlign w:val="bottom"/>
          </w:tcPr>
          <w:p>
            <w:pPr>
              <w:ind w:left="2180"/>
              <w:spacing w:after="0"/>
              <w:rPr>
                <w:sz w:val="20"/>
                <w:szCs w:val="20"/>
                <w:color w:val="auto"/>
              </w:rPr>
            </w:pPr>
            <w:r>
              <w:rPr>
                <w:rFonts w:ascii="Arial" w:cs="Arial" w:eastAsia="Arial" w:hAnsi="Arial"/>
                <w:sz w:val="16"/>
                <w:szCs w:val="16"/>
                <w:color w:val="auto"/>
              </w:rPr>
              <w:t>Corporate Secretary</w:t>
            </w:r>
          </w:p>
        </w:tc>
      </w:tr>
      <w:tr>
        <w:trPr>
          <w:trHeight w:val="403"/>
        </w:trPr>
        <w:tc>
          <w:tcPr>
            <w:tcW w:w="3540" w:type="dxa"/>
            <w:vAlign w:val="bottom"/>
            <w:tcBorders>
              <w:bottom w:val="single" w:sz="8" w:color="808080"/>
            </w:tcBorders>
          </w:tcPr>
          <w:p>
            <w:pPr>
              <w:spacing w:after="0"/>
              <w:rPr>
                <w:sz w:val="24"/>
                <w:szCs w:val="24"/>
                <w:color w:val="auto"/>
              </w:rPr>
            </w:pPr>
          </w:p>
        </w:tc>
        <w:tc>
          <w:tcPr>
            <w:tcW w:w="79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7249795</wp:posOffset>
            </wp:positionH>
            <wp:positionV relativeFrom="paragraph">
              <wp:posOffset>-34925</wp:posOffset>
            </wp:positionV>
            <wp:extent cx="12700" cy="35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12700"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2425700</wp:posOffset>
            </wp:positionV>
            <wp:extent cx="7282815" cy="2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815" cy="29210"/>
                    </a:xfrm>
                    <a:prstGeom prst="rect">
                      <a:avLst/>
                    </a:prstGeom>
                    <a:noFill/>
                  </pic:spPr>
                </pic:pic>
              </a:graphicData>
            </a:graphic>
          </wp:anchor>
        </w:drawing>
      </w:r>
    </w:p>
    <w:p>
      <w:pPr>
        <w:sectPr>
          <w:pgSz w:w="11900" w:h="16838" w:orient="portrait"/>
          <w:cols w:equalWidth="0" w:num="1">
            <w:col w:w="11440"/>
          </w:cols>
          <w:pgMar w:left="240" w:top="437" w:right="219" w:bottom="1440" w:gutter="0" w:footer="0" w:header="0"/>
        </w:sectPr>
      </w:pPr>
    </w:p>
    <w:bookmarkStart w:id="1" w:name="page2"/>
    <w:bookmarkEnd w:id="1"/>
    <w:p>
      <w:pPr>
        <w:jc w:val="right"/>
        <w:spacing w:after="0"/>
        <w:rPr>
          <w:sz w:val="20"/>
          <w:szCs w:val="20"/>
          <w:color w:val="auto"/>
        </w:rPr>
      </w:pPr>
      <w:r>
        <w:rPr>
          <w:rFonts w:ascii="Arial" w:cs="Arial" w:eastAsia="Arial" w:hAnsi="Arial"/>
          <w:sz w:val="16"/>
          <w:szCs w:val="16"/>
          <w:b w:val="1"/>
          <w:bCs w:val="1"/>
          <w:u w:val="single" w:color="auto"/>
          <w:color w:val="auto"/>
        </w:rPr>
        <w:t>EXHIBIT 99.1</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Tower Semiconductor Announces $29 Million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Private Placement to US Institutional Investors</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4"/>
          <w:szCs w:val="14"/>
          <w:color w:val="auto"/>
        </w:rPr>
        <w:t>MIGDAL HAEMEK, Israel – March 15, 2007 – Tower Semiconductor Ltd. (NASDAQ: TSEM; TASE: TSEM), a pure-play independent specialty foundry, announced today that it has agreed to issue through a private placement approximately 18.8 million ordinary shares and 9.4 million warrants to US institutional investors for aggregate gross proceeds of approximately $29 million. The warrants are exercisable for a period of five years at an exercise price representing a 20% premium to yesterday’s closing price of the Company’s ordinary shares. The Company also issued to the institutional investors short term warrants to purchase ordinary shares at an exercise price per share equal to yesterday’s closing price, which if fully exercised will result in additional gross proceeds to the Company of approximately $32 million.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 intends to use the net proceeds of the private placement to continue to execute its Fab2 capacity expansion plans.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 and C.E. Unterberg, Towbin acted as placement agents.</w:t>
      </w:r>
    </w:p>
    <w:p>
      <w:pPr>
        <w:spacing w:after="0" w:line="198" w:lineRule="exact"/>
        <w:rPr>
          <w:sz w:val="20"/>
          <w:szCs w:val="20"/>
          <w:color w:val="auto"/>
        </w:rPr>
      </w:pPr>
    </w:p>
    <w:p>
      <w:pPr>
        <w:ind w:right="120"/>
        <w:spacing w:after="0" w:line="301" w:lineRule="auto"/>
        <w:rPr>
          <w:sz w:val="20"/>
          <w:szCs w:val="20"/>
          <w:color w:val="auto"/>
        </w:rPr>
      </w:pPr>
      <w:r>
        <w:rPr>
          <w:rFonts w:ascii="Arial" w:cs="Arial" w:eastAsia="Arial" w:hAnsi="Arial"/>
          <w:sz w:val="14"/>
          <w:szCs w:val="14"/>
          <w:color w:val="auto"/>
        </w:rPr>
        <w:t>The ordinary shares and warrants sold have not been registered under the Securities Act of 1933 or any state securities laws and, until so registered, may not be offered or sold in the United States or any state absent an applicable exemption from registration requirements. This announcement does not constitute an offer to sell, nor is it a solicitation of an offer to buy, these securities. The Company has agreed to file a registration statement with the Securities and Exchange Commission to register the resale of the ordinary shares to be issued in the private placement, as well as the ordinary shares issuable upon the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67575"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Tower Semiconductor Ltd.</w:t>
      </w:r>
    </w:p>
    <w:p>
      <w:pPr>
        <w:spacing w:after="0" w:line="27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 xml:space="preserve">Tower Semiconductor Ltd. (Nasdaq: TSEM, TASE: TSEM)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each with standard and specialized process technology processes: Fab 1 ranging from 1.0 to 0.35 and Fab 2 featuring between 0.18 and 0.13-micron. Tower’s web site is located at </w:t>
      </w:r>
      <w:r>
        <w:rPr>
          <w:rFonts w:ascii="Arial" w:cs="Arial" w:eastAsia="Arial" w:hAnsi="Arial"/>
          <w:sz w:val="16"/>
          <w:szCs w:val="16"/>
          <w:u w:val="single" w:color="auto"/>
          <w:color w:val="auto"/>
        </w:rPr>
        <w:t>http://www.towersemi.com</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Tower Semiconductor</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Ilanit Vudinsky, +972 4 650 6434</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ilanitvu@towersemi.com</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Shelton Group</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Jim Mathias, (972) 239-5119 ext. 115</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jmathias@sheltongroup.com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67575" cy="35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5258435</wp:posOffset>
            </wp:positionV>
            <wp:extent cx="7282815" cy="29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2815" cy="2921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u w:val="single" w:color="auto"/>
          <w:color w:val="auto"/>
        </w:rPr>
        <w:t>EXHIBIT 99.2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PURCHASE AGREEMENT</w:t>
      </w:r>
    </w:p>
    <w:p>
      <w:pPr>
        <w:spacing w:after="0" w:line="204" w:lineRule="exact"/>
        <w:rPr>
          <w:sz w:val="20"/>
          <w:szCs w:val="20"/>
          <w:color w:val="auto"/>
        </w:rPr>
      </w:pPr>
    </w:p>
    <w:p>
      <w:pPr>
        <w:ind w:right="360" w:firstLine="385"/>
        <w:spacing w:after="0" w:line="336" w:lineRule="auto"/>
        <w:rPr>
          <w:sz w:val="20"/>
          <w:szCs w:val="20"/>
          <w:color w:val="auto"/>
        </w:rPr>
      </w:pPr>
      <w:r>
        <w:rPr>
          <w:rFonts w:ascii="Arial" w:cs="Arial" w:eastAsia="Arial" w:hAnsi="Arial"/>
          <w:sz w:val="14"/>
          <w:szCs w:val="14"/>
          <w:color w:val="auto"/>
        </w:rPr>
        <w:t>This Securities Purchase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is dated as of March 14, 2007, among Tower Semiconductor Ltd., an Israeli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and each purchaser identified on the signature pages hereto (each, including its successors and assigns, a “</w:t>
      </w:r>
      <w:r>
        <w:rPr>
          <w:rFonts w:ascii="Arial" w:cs="Arial" w:eastAsia="Arial" w:hAnsi="Arial"/>
          <w:sz w:val="14"/>
          <w:szCs w:val="14"/>
          <w:u w:val="single" w:color="auto"/>
          <w:color w:val="auto"/>
        </w:rPr>
        <w:t>Purchaser</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Purchaser</w:t>
      </w:r>
      <w:r>
        <w:rPr>
          <w:rFonts w:ascii="Arial" w:cs="Arial" w:eastAsia="Arial" w:hAnsi="Arial"/>
          <w:sz w:val="14"/>
          <w:szCs w:val="14"/>
          <w:color w:val="auto"/>
        </w:rPr>
        <w:t>s”).</w:t>
      </w:r>
    </w:p>
    <w:p>
      <w:pPr>
        <w:spacing w:after="0" w:line="122" w:lineRule="exact"/>
        <w:rPr>
          <w:sz w:val="20"/>
          <w:szCs w:val="20"/>
          <w:color w:val="auto"/>
        </w:rPr>
      </w:pPr>
    </w:p>
    <w:p>
      <w:pPr>
        <w:ind w:right="300" w:firstLine="385"/>
        <w:spacing w:after="0" w:line="256" w:lineRule="auto"/>
        <w:rPr>
          <w:sz w:val="20"/>
          <w:szCs w:val="20"/>
          <w:color w:val="auto"/>
        </w:rPr>
      </w:pPr>
      <w:r>
        <w:rPr>
          <w:rFonts w:ascii="Arial" w:cs="Arial" w:eastAsia="Arial" w:hAnsi="Arial"/>
          <w:sz w:val="16"/>
          <w:szCs w:val="16"/>
          <w:color w:val="auto"/>
        </w:rPr>
        <w:t>WHEREAS, subject to the terms and conditions set forth in this Agreement and pursuant to Section 4(2)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Rule 506 promulgated thereunder, the Company desires to issue and sell to each Purchaser, and each Purchaser, severally and not jointly, desires to purchase from the Company, securities of the Company as more fully described in this Agreement.</w:t>
      </w:r>
    </w:p>
    <w:p>
      <w:pPr>
        <w:spacing w:after="0" w:line="175" w:lineRule="exact"/>
        <w:rPr>
          <w:sz w:val="20"/>
          <w:szCs w:val="20"/>
          <w:color w:val="auto"/>
        </w:rPr>
      </w:pPr>
    </w:p>
    <w:p>
      <w:pPr>
        <w:ind w:right="240" w:firstLine="388"/>
        <w:spacing w:after="0" w:line="264" w:lineRule="auto"/>
        <w:rPr>
          <w:sz w:val="20"/>
          <w:szCs w:val="20"/>
          <w:color w:val="auto"/>
        </w:rPr>
      </w:pPr>
      <w:r>
        <w:rPr>
          <w:rFonts w:ascii="Arial" w:cs="Arial" w:eastAsia="Arial" w:hAnsi="Arial"/>
          <w:sz w:val="16"/>
          <w:szCs w:val="16"/>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DEFINITIONS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Definitions</w:t>
      </w:r>
      <w:r>
        <w:rPr>
          <w:rFonts w:ascii="Arial" w:cs="Arial" w:eastAsia="Arial" w:hAnsi="Arial"/>
          <w:sz w:val="14"/>
          <w:szCs w:val="14"/>
          <w:color w:val="auto"/>
        </w:rPr>
        <w:t>. In addition to the terms defined elsewhere in this Agreement, for all purposes of this Agreement, the following terms have the meanings indicated in this Section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shall have the meaning ascribed to such term in Section 3.1(j).</w:t>
      </w:r>
    </w:p>
    <w:p>
      <w:pPr>
        <w:spacing w:after="0" w:line="138" w:lineRule="exact"/>
        <w:rPr>
          <w:sz w:val="20"/>
          <w:szCs w:val="20"/>
          <w:color w:val="auto"/>
        </w:rPr>
      </w:pPr>
    </w:p>
    <w:p>
      <w:pPr>
        <w:ind w:left="560" w:right="240" w:firstLine="388"/>
        <w:spacing w:after="0" w:line="31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any Person that, directly or indirectly through one or more intermediaries, controls or is controlled by or is under common control with a Person as such terms are used in and construed under Rule 144 under the Securities Act. With respect to a Purchaser, any investment fund or managed account that is managed on a discretionary basis by the same investment manager as such Purchaser will be deemed to be an Affiliate of such Purchaser.</w:t>
      </w:r>
    </w:p>
    <w:p>
      <w:pPr>
        <w:spacing w:after="0" w:line="8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Undersubscription Amount</w:t>
      </w:r>
      <w:r>
        <w:rPr>
          <w:rFonts w:ascii="Arial" w:cs="Arial" w:eastAsia="Arial" w:hAnsi="Arial"/>
          <w:sz w:val="16"/>
          <w:szCs w:val="16"/>
          <w:color w:val="auto"/>
        </w:rPr>
        <w:t>” shall have the meaning ascribed to such term in Section 4.11(e).</w:t>
      </w:r>
    </w:p>
    <w:p>
      <w:pPr>
        <w:spacing w:after="0" w:line="138" w:lineRule="exact"/>
        <w:rPr>
          <w:sz w:val="20"/>
          <w:szCs w:val="20"/>
          <w:color w:val="auto"/>
        </w:rPr>
      </w:pPr>
    </w:p>
    <w:p>
      <w:pPr>
        <w:ind w:left="560" w:right="8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Saturday, Sunday, any day which shall be a federal legal holiday in the United States or any day on which banking institutions in the State of New York are authorized or required by law or other governmental action to close.</w:t>
      </w:r>
    </w:p>
    <w:p>
      <w:pPr>
        <w:spacing w:after="0" w:line="10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means the closing of the purchase and sale of the Securities pursuant to Section 2.1.</w:t>
      </w:r>
    </w:p>
    <w:p>
      <w:pPr>
        <w:spacing w:after="0" w:line="138" w:lineRule="exact"/>
        <w:rPr>
          <w:sz w:val="20"/>
          <w:szCs w:val="20"/>
          <w:color w:val="auto"/>
        </w:rPr>
      </w:pPr>
    </w:p>
    <w:p>
      <w:pPr>
        <w:ind w:left="560" w:right="40" w:firstLine="388"/>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when all of the Transaction Documents have been executed and delivered by the applicable parties thereto, and all conditions precedent to (i) the Purchasers’ obligations to pay the aggregate Subscription Amounts and (ii) the Company’s obligations to deliver the Securities as contemplated by Section 2.2(a)(iii) have been satisfied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8281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3" w:name="page4"/>
    <w:bookmarkEnd w:id="3"/>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Securities and Exchange Commission.</w:t>
      </w:r>
    </w:p>
    <w:p>
      <w:pPr>
        <w:spacing w:after="0" w:line="138" w:lineRule="exact"/>
        <w:rPr>
          <w:sz w:val="20"/>
          <w:szCs w:val="20"/>
          <w:color w:val="auto"/>
        </w:rPr>
      </w:pPr>
    </w:p>
    <w:p>
      <w:pPr>
        <w:ind w:right="4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ordinary shares of the Company, par value NIS 1.00 per share, and any other class of securities into which such securities may hereafter be reclassified or changed into.</w:t>
      </w:r>
    </w:p>
    <w:p>
      <w:pPr>
        <w:spacing w:after="0" w:line="108" w:lineRule="exact"/>
        <w:rPr>
          <w:sz w:val="20"/>
          <w:szCs w:val="20"/>
          <w:color w:val="auto"/>
        </w:rPr>
      </w:pPr>
    </w:p>
    <w:p>
      <w:pPr>
        <w:jc w:val="both"/>
        <w:ind w:right="120" w:firstLine="388"/>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 Equivalents</w:t>
      </w:r>
      <w:r>
        <w:rPr>
          <w:rFonts w:ascii="Arial" w:cs="Arial" w:eastAsia="Arial" w:hAnsi="Arial"/>
          <w:sz w:val="16"/>
          <w:szCs w:val="16"/>
          <w:color w:val="auto"/>
        </w:rPr>
        <w:t>” means any securities of the Company or the Subsidiaries which would entitle the holder thereof to acquire at any time Common Stock, including, without limitation, any debt, preferred stock, rights, options, warrants or other instrument that is at any time convertible into or exercisable or exchangeable for, or otherwise entitles the holder thereof to receive, Common Stock.</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Counsel</w:t>
      </w:r>
      <w:r>
        <w:rPr>
          <w:rFonts w:ascii="Arial" w:cs="Arial" w:eastAsia="Arial" w:hAnsi="Arial"/>
          <w:sz w:val="16"/>
          <w:szCs w:val="16"/>
          <w:color w:val="auto"/>
        </w:rPr>
        <w:t>” means Eilenberg Krause &amp; Paul LLP, the Company’s US counsel and Yigal Arnon &amp; Co., the Company’s Israeli counsel.</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means the Disclosure Schedules of the Company delivered concurrently herewith.</w:t>
      </w:r>
    </w:p>
    <w:p>
      <w:pPr>
        <w:spacing w:after="0" w:line="138" w:lineRule="exact"/>
        <w:rPr>
          <w:sz w:val="20"/>
          <w:szCs w:val="20"/>
          <w:color w:val="auto"/>
        </w:rPr>
      </w:pPr>
    </w:p>
    <w:p>
      <w:pPr>
        <w:ind w:right="4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means the date that the initial Registration Statement filed by the Company pursuant to the Registration Rights Agreement is first declared effective by the Commission.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Evaluation Date</w:t>
      </w:r>
      <w:r>
        <w:rPr>
          <w:rFonts w:ascii="Arial" w:cs="Arial" w:eastAsia="Arial" w:hAnsi="Arial"/>
          <w:sz w:val="16"/>
          <w:szCs w:val="16"/>
          <w:color w:val="auto"/>
        </w:rPr>
        <w:t>” shall have the meaning ascribed to such term in Section 3.1(r).</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38" w:lineRule="exact"/>
        <w:rPr>
          <w:sz w:val="20"/>
          <w:szCs w:val="20"/>
          <w:color w:val="auto"/>
        </w:rPr>
      </w:pPr>
    </w:p>
    <w:p>
      <w:pPr>
        <w:ind w:firstLine="388"/>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Exempt Issuance</w:t>
      </w:r>
      <w:r>
        <w:rPr>
          <w:rFonts w:ascii="Arial" w:cs="Arial" w:eastAsia="Arial" w:hAnsi="Arial"/>
          <w:sz w:val="14"/>
          <w:szCs w:val="14"/>
          <w:color w:val="auto"/>
        </w:rPr>
        <w:t>” means the issuance of (a) shares of Common Stock or options to employees, officers, directors or consultants of the Company or a Subsidiary pursuant to any stock or option plan or arrangement duly adopted, including subsequent to the date hereof, by a majority of the non-employee members of the Board of Directors of the Company or a majority of the members of a committee of non-employee directors established for such purpose (for purposes of clarity, the issuance of shares of Common Stock upon exercise of options granted pursuant to a Company plan subsequent to the date hereof shall also be an Exempt Issuance), (b) securities upon the exercise or exchange of or conversion of (i) any Securities issued hereunder or (ii) securities to a registered broker-dealer in connection with the transactions contemplated by this Agreement; and/or (iii) other securities or rights exercisable or exchangeable for or convertible into shares of Common Stock which are issued and outstanding on the date of this Agreement, including agreements pursuant to which such securities or shares of Common Stock may be issued, provided that such securities have not been amended since the date of this Agreement to increase the number of such securities or to decrease the exercise, exchange or conversion price of any such securities, (c) securities issued pursuant to acquisitions, mergers or strategic transactions approved by a majority of the directors disinterested in such transaction, provided any such issuance shall only be to a Person which is, itself or through its subsidiaries, an operating company in a business synergistic with the business of the Company and in which the Company receives benefits in addition to the investment of funds or regarding which the Board of Directors of the Company determines in good faith that in addition to the investment of funds a relationship therewith would be beneficial to the Company, in each case the primary purpose of which is not to raise additional capital, (d) securities to a bank or financial institution in connection with a financing with such person which does not contain any equity component, (e) securities to any Purchaser pursuant to this Agreement and (f) shares of Common Stock or other securities issued in connection with any stock split, stock dividend or recapitalization of the Company (subject to Section 4.13 hereof).</w:t>
      </w:r>
    </w:p>
    <w:p>
      <w:pPr>
        <w:spacing w:after="0" w:line="15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4" w:name="page5"/>
    <w:bookmarkEnd w:id="4"/>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shall have the meaning ascribed to such term in Section 3.1(h).</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shall have the meaning ascribed to such term is Section 4.8.</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shall have the meaning ascribed to such term in Section 3.1(o).</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Legend Removal Date</w:t>
      </w:r>
      <w:r>
        <w:rPr>
          <w:rFonts w:ascii="Arial" w:cs="Arial" w:eastAsia="Arial" w:hAnsi="Arial"/>
          <w:sz w:val="16"/>
          <w:szCs w:val="16"/>
          <w:color w:val="auto"/>
        </w:rPr>
        <w:t>” shall have the meaning ascribed to such term in Section 4.1(c).</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Liens</w:t>
      </w:r>
      <w:r>
        <w:rPr>
          <w:rFonts w:ascii="Arial" w:cs="Arial" w:eastAsia="Arial" w:hAnsi="Arial"/>
          <w:sz w:val="16"/>
          <w:szCs w:val="16"/>
          <w:color w:val="auto"/>
        </w:rPr>
        <w:t>” means a lien, charge, security interest, encumbrance, right of first refusal, preemptive right or other restriction.</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shall have the meaning assigned to such term in Section 3.1(b).</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Permits</w:t>
      </w:r>
      <w:r>
        <w:rPr>
          <w:rFonts w:ascii="Arial" w:cs="Arial" w:eastAsia="Arial" w:hAnsi="Arial"/>
          <w:sz w:val="16"/>
          <w:szCs w:val="16"/>
          <w:color w:val="auto"/>
        </w:rPr>
        <w:t>” shall have the meaning ascribed to such term in Section 3.1(m).</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Participation Amount</w:t>
      </w:r>
      <w:r>
        <w:rPr>
          <w:rFonts w:ascii="Arial" w:cs="Arial" w:eastAsia="Arial" w:hAnsi="Arial"/>
          <w:sz w:val="16"/>
          <w:szCs w:val="16"/>
          <w:color w:val="auto"/>
        </w:rPr>
        <w:t>” shall have the meaning ascribed to such term in Section 4.11.</w:t>
      </w:r>
    </w:p>
    <w:p>
      <w:pPr>
        <w:spacing w:after="0" w:line="138" w:lineRule="exact"/>
        <w:rPr>
          <w:sz w:val="20"/>
          <w:szCs w:val="20"/>
          <w:color w:val="auto"/>
        </w:rPr>
      </w:pPr>
    </w:p>
    <w:p>
      <w:pPr>
        <w:ind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Purchase Price</w:t>
      </w:r>
      <w:r>
        <w:rPr>
          <w:rFonts w:ascii="Arial" w:cs="Arial" w:eastAsia="Arial" w:hAnsi="Arial"/>
          <w:sz w:val="16"/>
          <w:szCs w:val="16"/>
          <w:color w:val="auto"/>
        </w:rPr>
        <w:t>” equals $1.54 subject to adjustment for reverse and forward stock splits, stock dividends, stock combinations and other similar transactions of the Common Stock that occur after the date of this Agreement.</w:t>
      </w:r>
    </w:p>
    <w:p>
      <w:pPr>
        <w:spacing w:after="0" w:line="108" w:lineRule="exact"/>
        <w:rPr>
          <w:sz w:val="20"/>
          <w:szCs w:val="20"/>
          <w:color w:val="auto"/>
        </w:rPr>
      </w:pPr>
    </w:p>
    <w:p>
      <w:pPr>
        <w:ind w:right="60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Pre-Notice</w:t>
      </w:r>
      <w:r>
        <w:rPr>
          <w:rFonts w:ascii="Arial" w:cs="Arial" w:eastAsia="Arial" w:hAnsi="Arial"/>
          <w:sz w:val="16"/>
          <w:szCs w:val="16"/>
          <w:color w:val="auto"/>
        </w:rPr>
        <w:t>” shall have the meaning ascribed to such term in Section 4.11.</w:t>
      </w:r>
    </w:p>
    <w:p>
      <w:pPr>
        <w:spacing w:after="0" w:line="138" w:lineRule="exact"/>
        <w:rPr>
          <w:sz w:val="20"/>
          <w:szCs w:val="20"/>
          <w:color w:val="auto"/>
        </w:rPr>
      </w:pPr>
    </w:p>
    <w:p>
      <w:pPr>
        <w:ind w:right="42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 action, claim, suit, investigation or proceeding (including, without limitation, an investigation or partial proceeding, such as a deposition), whether commenced or threatened.</w:t>
      </w:r>
    </w:p>
    <w:p>
      <w:pPr>
        <w:spacing w:after="0" w:line="168"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5" w:name="page6"/>
    <w:bookmarkEnd w:id="5"/>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 Counsel</w:t>
      </w:r>
      <w:r>
        <w:rPr>
          <w:rFonts w:ascii="Arial" w:cs="Arial" w:eastAsia="Arial" w:hAnsi="Arial"/>
          <w:sz w:val="16"/>
          <w:szCs w:val="16"/>
          <w:color w:val="auto"/>
        </w:rPr>
        <w:t>” shall have the meaning ascribed to such term in Section 4.4.</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 Party</w:t>
      </w:r>
      <w:r>
        <w:rPr>
          <w:rFonts w:ascii="Arial" w:cs="Arial" w:eastAsia="Arial" w:hAnsi="Arial"/>
          <w:sz w:val="16"/>
          <w:szCs w:val="16"/>
          <w:color w:val="auto"/>
        </w:rPr>
        <w:t>” shall have the meaning ascribed to such term in Section 4.8.</w:t>
      </w:r>
    </w:p>
    <w:p>
      <w:pPr>
        <w:spacing w:after="0" w:line="138" w:lineRule="exact"/>
        <w:rPr>
          <w:sz w:val="20"/>
          <w:szCs w:val="20"/>
          <w:color w:val="auto"/>
        </w:rPr>
      </w:pPr>
    </w:p>
    <w:p>
      <w:pPr>
        <w:ind w:right="20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xml:space="preserve">” means the Registration Rights Agreement, dated the date hereof, among the Company and the Purchasers,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108" w:lineRule="exact"/>
        <w:rPr>
          <w:sz w:val="20"/>
          <w:szCs w:val="20"/>
          <w:color w:val="auto"/>
        </w:rPr>
      </w:pPr>
    </w:p>
    <w:p>
      <w:pPr>
        <w:ind w:right="54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a registration statement meeting the requirements set forth in the Registration Rights Agreement and covering the resale by the Purchasers of the Shares and the Warrant Shares.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Approvals</w:t>
      </w:r>
      <w:r>
        <w:rPr>
          <w:rFonts w:ascii="Arial" w:cs="Arial" w:eastAsia="Arial" w:hAnsi="Arial"/>
          <w:sz w:val="16"/>
          <w:szCs w:val="16"/>
          <w:color w:val="auto"/>
        </w:rPr>
        <w:t>” shall have the meaning ascribed to such term in Section 3.1(e).</w:t>
      </w:r>
    </w:p>
    <w:p>
      <w:pPr>
        <w:spacing w:after="0" w:line="138" w:lineRule="exact"/>
        <w:rPr>
          <w:sz w:val="20"/>
          <w:szCs w:val="20"/>
          <w:color w:val="auto"/>
        </w:rPr>
      </w:pPr>
    </w:p>
    <w:p>
      <w:pPr>
        <w:ind w:right="28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Reports</w:t>
      </w:r>
      <w:r>
        <w:rPr>
          <w:rFonts w:ascii="Arial" w:cs="Arial" w:eastAsia="Arial" w:hAnsi="Arial"/>
          <w:sz w:val="16"/>
          <w:szCs w:val="16"/>
          <w:color w:val="auto"/>
        </w:rPr>
        <w:t>” shall have the meaning ascribed to such term in Section 3.1(h).</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means the Shares, the Warrants and the Warrant Shares.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138" w:lineRule="exact"/>
        <w:rPr>
          <w:sz w:val="20"/>
          <w:szCs w:val="20"/>
          <w:color w:val="auto"/>
        </w:rPr>
      </w:pPr>
    </w:p>
    <w:p>
      <w:pPr>
        <w:ind w:right="240" w:firstLine="388"/>
        <w:spacing w:after="0" w:line="33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Series I Warrants</w:t>
      </w:r>
      <w:r>
        <w:rPr>
          <w:rFonts w:ascii="Arial" w:cs="Arial" w:eastAsia="Arial" w:hAnsi="Arial"/>
          <w:sz w:val="14"/>
          <w:szCs w:val="14"/>
          <w:color w:val="auto"/>
        </w:rPr>
        <w:t xml:space="preserve">” means collectively the Common Stock purchase warrants, in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delivered to the Purchasers at the Closing in accordance with Section 2.2(a) hereof, which Series I Warrants shall be exercisable immediately and have a term of exercise equal to five (5) years.</w:t>
      </w:r>
    </w:p>
    <w:p>
      <w:pPr>
        <w:spacing w:after="0" w:line="62" w:lineRule="exact"/>
        <w:rPr>
          <w:sz w:val="20"/>
          <w:szCs w:val="20"/>
          <w:color w:val="auto"/>
        </w:rPr>
      </w:pPr>
    </w:p>
    <w:p>
      <w:pPr>
        <w:ind w:right="18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II Warrants</w:t>
      </w:r>
      <w:r>
        <w:rPr>
          <w:rFonts w:ascii="Arial" w:cs="Arial" w:eastAsia="Arial" w:hAnsi="Arial"/>
          <w:sz w:val="16"/>
          <w:szCs w:val="16"/>
          <w:color w:val="auto"/>
        </w:rPr>
        <w:t xml:space="preserve">” means collectively the Common Stock purchase warrants,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delivered to the Purchasers at the Closing in accordance with Section 2.2(a) hereof, which Series II Warrants shall be exercisable immediately.</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the shares of Common Stock issued or issuable to each Purchaser pursuant to this Agreement.</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Short Sales</w:t>
      </w:r>
      <w:r>
        <w:rPr>
          <w:rFonts w:ascii="Arial" w:cs="Arial" w:eastAsia="Arial" w:hAnsi="Arial"/>
          <w:sz w:val="16"/>
          <w:szCs w:val="16"/>
          <w:color w:val="auto"/>
        </w:rPr>
        <w:t>” shall include all “short sales” as defined in Rule 200 of Regulation SHO under the Exchange Act.</w:t>
      </w:r>
    </w:p>
    <w:p>
      <w:pPr>
        <w:spacing w:after="0" w:line="138" w:lineRule="exact"/>
        <w:rPr>
          <w:sz w:val="20"/>
          <w:szCs w:val="20"/>
          <w:color w:val="auto"/>
        </w:rPr>
      </w:pPr>
    </w:p>
    <w:p>
      <w:pPr>
        <w:ind w:firstLine="388"/>
        <w:spacing w:after="0" w:line="33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Subscription Amount</w:t>
      </w:r>
      <w:r>
        <w:rPr>
          <w:rFonts w:ascii="Arial" w:cs="Arial" w:eastAsia="Arial" w:hAnsi="Arial"/>
          <w:sz w:val="14"/>
          <w:szCs w:val="14"/>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w:t>
      </w:r>
    </w:p>
    <w:p>
      <w:pPr>
        <w:spacing w:after="0" w:line="12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20"/>
          </w:cols>
          <w:pgMar w:left="800" w:top="144" w:right="279" w:bottom="1440" w:gutter="0" w:footer="0" w:header="0"/>
        </w:sectPr>
      </w:pPr>
    </w:p>
    <w:bookmarkStart w:id="6" w:name="page7"/>
    <w:bookmarkEnd w:id="6"/>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Financing</w:t>
      </w:r>
      <w:r>
        <w:rPr>
          <w:rFonts w:ascii="Arial" w:cs="Arial" w:eastAsia="Arial" w:hAnsi="Arial"/>
          <w:sz w:val="16"/>
          <w:szCs w:val="16"/>
          <w:color w:val="auto"/>
        </w:rPr>
        <w:t>” shall have the meaning ascribed to such term in Section 4.11.</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Subsequent Financing Notice</w:t>
      </w:r>
      <w:r>
        <w:rPr>
          <w:rFonts w:ascii="Arial" w:cs="Arial" w:eastAsia="Arial" w:hAnsi="Arial"/>
          <w:sz w:val="16"/>
          <w:szCs w:val="16"/>
          <w:color w:val="auto"/>
        </w:rPr>
        <w:t>” shall have the meaning ascribed to such term in Section 4.11.</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means any subsidiary of the Company as set forth on </w:t>
      </w:r>
      <w:r>
        <w:rPr>
          <w:rFonts w:ascii="Arial" w:cs="Arial" w:eastAsia="Arial" w:hAnsi="Arial"/>
          <w:sz w:val="16"/>
          <w:szCs w:val="16"/>
          <w:u w:val="single" w:color="auto"/>
          <w:color w:val="auto"/>
        </w:rPr>
        <w:t>Schedule 3.1(a)</w:t>
      </w:r>
      <w:r>
        <w:rPr>
          <w:rFonts w:ascii="Arial" w:cs="Arial" w:eastAsia="Arial" w:hAnsi="Arial"/>
          <w:sz w:val="16"/>
          <w:szCs w:val="16"/>
          <w:color w:val="auto"/>
        </w:rPr>
        <w:t>.</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Common Stock is traded on a Trading Market.</w:t>
      </w:r>
    </w:p>
    <w:p>
      <w:pPr>
        <w:spacing w:after="0" w:line="138" w:lineRule="exact"/>
        <w:rPr>
          <w:sz w:val="20"/>
          <w:szCs w:val="20"/>
          <w:color w:val="auto"/>
        </w:rPr>
      </w:pPr>
    </w:p>
    <w:p>
      <w:pPr>
        <w:ind w:right="160" w:firstLine="388"/>
        <w:spacing w:after="0" w:line="33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Trading Market</w:t>
      </w:r>
      <w:r>
        <w:rPr>
          <w:rFonts w:ascii="Arial" w:cs="Arial" w:eastAsia="Arial" w:hAnsi="Arial"/>
          <w:sz w:val="14"/>
          <w:szCs w:val="14"/>
          <w:color w:val="auto"/>
        </w:rPr>
        <w:t>” means the following markets or exchanges on which the Common Stock is listed or quoted for trading on the date in question: the American Stock Exchange, the Nasdaq Capital Market, the Nasdaq Global Market, the Nasdaq Global Select Market or the New York Stock Exchange.</w:t>
      </w:r>
    </w:p>
    <w:p>
      <w:pPr>
        <w:spacing w:after="0" w:line="62" w:lineRule="exact"/>
        <w:rPr>
          <w:sz w:val="20"/>
          <w:szCs w:val="20"/>
          <w:color w:val="auto"/>
        </w:rPr>
      </w:pPr>
    </w:p>
    <w:p>
      <w:pPr>
        <w:ind w:right="8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this Agreement, the Warrants and the Registration Rights Agreement and any other documents or agreements executed in connection with the transactions contemplated hereunder.</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Undersubscription Amount</w:t>
      </w:r>
      <w:r>
        <w:rPr>
          <w:rFonts w:ascii="Arial" w:cs="Arial" w:eastAsia="Arial" w:hAnsi="Arial"/>
          <w:sz w:val="16"/>
          <w:szCs w:val="16"/>
          <w:color w:val="auto"/>
        </w:rPr>
        <w:t>” shall have the meaning ascribed to such term in Section 4.11(a).</w:t>
      </w:r>
    </w:p>
    <w:p>
      <w:pPr>
        <w:spacing w:after="0" w:line="138" w:lineRule="exact"/>
        <w:rPr>
          <w:sz w:val="20"/>
          <w:szCs w:val="20"/>
          <w:color w:val="auto"/>
        </w:rPr>
      </w:pPr>
    </w:p>
    <w:p>
      <w:pPr>
        <w:ind w:firstLine="388"/>
        <w:spacing w:after="0" w:line="29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VWAP</w:t>
      </w:r>
      <w:r>
        <w:rPr>
          <w:rFonts w:ascii="Arial" w:cs="Arial" w:eastAsia="Arial" w:hAnsi="Arial"/>
          <w:sz w:val="14"/>
          <w:szCs w:val="14"/>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for trading as reported by Bloomberg L.P. (based on a Trading Day from 9:30 a.m. (New York City time) to 4:02 p.m. (New York City time); (b) if the Common Stock is then quoted on the OTC Bulletin Board, the volume weighted average price of the Common Stock for such date (or the nearest preceding date) on the OTC Bulletin Board; (c) if the Common Stock is not then quoted for trading on the OTC Bulletin Board and if prices for the Common Stock are then reported in the “Pink Sheets” published by Pink Sheets, LLC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Company and reasonably acceptable to majority of the Purchasers, the fees and expenses of which shall be paid by the Company.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Warrants</w:t>
      </w:r>
      <w:r>
        <w:rPr>
          <w:rFonts w:ascii="Arial" w:cs="Arial" w:eastAsia="Arial" w:hAnsi="Arial"/>
          <w:sz w:val="16"/>
          <w:szCs w:val="16"/>
          <w:color w:val="auto"/>
        </w:rPr>
        <w:t>” means collectively the Series I Warrants and the Series II Warrants.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Shares</w:t>
      </w:r>
      <w:r>
        <w:rPr>
          <w:rFonts w:ascii="Arial" w:cs="Arial" w:eastAsia="Arial" w:hAnsi="Arial"/>
          <w:sz w:val="16"/>
          <w:szCs w:val="16"/>
          <w:color w:val="auto"/>
        </w:rPr>
        <w:t>” means the shares of Common Stock issuable upon exercise of the Warrants.</w:t>
      </w:r>
    </w:p>
    <w:p>
      <w:pPr>
        <w:spacing w:after="0" w:line="198"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00"/>
          </w:cols>
          <w:pgMar w:left="800" w:top="144"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color w:val="auto"/>
        </w:rPr>
        <w:t>ARTICLE 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PURCHASE AND SALE</w:t>
      </w:r>
    </w:p>
    <w:p>
      <w:pPr>
        <w:spacing w:after="0" w:line="192" w:lineRule="exact"/>
        <w:rPr>
          <w:sz w:val="20"/>
          <w:szCs w:val="20"/>
          <w:color w:val="auto"/>
        </w:rPr>
      </w:pPr>
    </w:p>
    <w:p>
      <w:pPr>
        <w:ind w:firstLine="388"/>
        <w:spacing w:after="0" w:line="294"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Closing</w:t>
      </w:r>
      <w:r>
        <w:rPr>
          <w:rFonts w:ascii="Arial" w:cs="Arial" w:eastAsia="Arial" w:hAnsi="Arial"/>
          <w:sz w:val="14"/>
          <w:szCs w:val="14"/>
          <w:color w:val="auto"/>
        </w:rPr>
        <w:t xml:space="preserve">. On the Closing Date, upon the terms and subject to the conditions set forth herein, substantially concurrent with the execution and delivery of this Agreement by the parties hereto, the Company agrees to sell, and each Purchaser agrees to purchase in the aggregate, severally and not jointly, the amount of Shares, Series I Warrants and Series II Warrants as set forth opposite its name on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hereto. Each Purchaser shall deliver to the Company via wire transfer immediately available funds equal to its Subscription Amount and the Company shall deliver to each Purchaser its respective Shares, Series I Warrants and Series II Warrants as determined pursuant to Section 2.2(a) and the other items set forth in Section 2.2 issuable at the Closing. Upon satisfaction of the conditions set forth in Sections 2.2 and 2.3, the Closing shall occur at the US offices of Company Counsel, or such other location as the parties shall mutually agree.</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10" w:lineRule="exact"/>
        <w:rPr>
          <w:sz w:val="20"/>
          <w:szCs w:val="20"/>
          <w:color w:val="auto"/>
        </w:rPr>
      </w:pPr>
    </w:p>
    <w:p>
      <w:pPr>
        <w:ind w:left="1480" w:hanging="525"/>
        <w:spacing w:after="0"/>
        <w:tabs>
          <w:tab w:leader="none" w:pos="1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or prior to the Closing Date, the Company shall deliver or cause to be delivered to each Purchaser the following:</w:t>
      </w:r>
    </w:p>
    <w:p>
      <w:pPr>
        <w:spacing w:after="0" w:line="233" w:lineRule="exact"/>
        <w:rPr>
          <w:rFonts w:ascii="Arial" w:cs="Arial" w:eastAsia="Arial" w:hAnsi="Arial"/>
          <w:sz w:val="16"/>
          <w:szCs w:val="16"/>
          <w:color w:val="auto"/>
        </w:rPr>
      </w:pPr>
    </w:p>
    <w:p>
      <w:pPr>
        <w:ind w:left="2220" w:hanging="537"/>
        <w:spacing w:after="0"/>
        <w:tabs>
          <w:tab w:leader="none" w:pos="222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this Agreement duly executed by the Company;</w:t>
      </w:r>
    </w:p>
    <w:p>
      <w:pPr>
        <w:spacing w:after="0" w:line="138" w:lineRule="exact"/>
        <w:rPr>
          <w:rFonts w:ascii="Arial" w:cs="Arial" w:eastAsia="Arial" w:hAnsi="Arial"/>
          <w:sz w:val="16"/>
          <w:szCs w:val="16"/>
          <w:color w:val="auto"/>
        </w:rPr>
      </w:pPr>
    </w:p>
    <w:p>
      <w:pPr>
        <w:ind w:left="2220" w:hanging="537"/>
        <w:spacing w:after="0"/>
        <w:tabs>
          <w:tab w:leader="none" w:pos="2220" w:val="left"/>
        </w:tabs>
        <w:numPr>
          <w:ilvl w:val="1"/>
          <w:numId w:val="1"/>
        </w:numPr>
        <w:rPr>
          <w:rFonts w:ascii="Arial" w:cs="Arial" w:eastAsia="Arial" w:hAnsi="Arial"/>
          <w:sz w:val="16"/>
          <w:szCs w:val="16"/>
          <w:color w:val="auto"/>
        </w:rPr>
      </w:pPr>
      <w:r>
        <w:rPr>
          <w:rFonts w:ascii="Arial" w:cs="Arial" w:eastAsia="Arial" w:hAnsi="Arial"/>
          <w:sz w:val="16"/>
          <w:szCs w:val="16"/>
          <w:color w:val="auto"/>
        </w:rPr>
        <w:t xml:space="preserve">legal opinions of Company Counsel, in the forms of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B-2</w:t>
      </w:r>
      <w:r>
        <w:rPr>
          <w:rFonts w:ascii="Arial" w:cs="Arial" w:eastAsia="Arial" w:hAnsi="Arial"/>
          <w:sz w:val="16"/>
          <w:szCs w:val="16"/>
          <w:color w:val="auto"/>
        </w:rPr>
        <w:t xml:space="preserve"> attached hereto;</w:t>
      </w:r>
    </w:p>
    <w:p>
      <w:pPr>
        <w:spacing w:after="0" w:line="138" w:lineRule="exact"/>
        <w:rPr>
          <w:rFonts w:ascii="Arial" w:cs="Arial" w:eastAsia="Arial" w:hAnsi="Arial"/>
          <w:sz w:val="16"/>
          <w:szCs w:val="16"/>
          <w:color w:val="auto"/>
        </w:rPr>
      </w:pPr>
    </w:p>
    <w:p>
      <w:pPr>
        <w:ind w:left="1140" w:right="60" w:firstLine="543"/>
        <w:spacing w:after="0" w:line="256" w:lineRule="auto"/>
        <w:tabs>
          <w:tab w:leader="none" w:pos="2225" w:val="left"/>
        </w:tabs>
        <w:numPr>
          <w:ilvl w:val="1"/>
          <w:numId w:val="1"/>
        </w:numPr>
        <w:rPr>
          <w:rFonts w:ascii="Arial" w:cs="Arial" w:eastAsia="Arial" w:hAnsi="Arial"/>
          <w:sz w:val="16"/>
          <w:szCs w:val="16"/>
          <w:color w:val="auto"/>
        </w:rPr>
      </w:pPr>
      <w:r>
        <w:rPr>
          <w:rFonts w:ascii="Arial" w:cs="Arial" w:eastAsia="Arial" w:hAnsi="Arial"/>
          <w:sz w:val="16"/>
          <w:szCs w:val="16"/>
          <w:color w:val="auto"/>
        </w:rPr>
        <w:t>a copy of the irrevocable instructions to the Company’s transfer agent instructing the transfer agent to deliver, on an expedited basis, a certificate evidencing a number of Shares equal to such Purchaser’s Subscription Amount divided by the Per Share Purchase Price, rounded down to the nearest whole number, registered in the name of such Purchaser;</w:t>
      </w:r>
    </w:p>
    <w:p>
      <w:pPr>
        <w:spacing w:after="0" w:line="114" w:lineRule="exact"/>
        <w:rPr>
          <w:rFonts w:ascii="Arial" w:cs="Arial" w:eastAsia="Arial" w:hAnsi="Arial"/>
          <w:sz w:val="16"/>
          <w:szCs w:val="16"/>
          <w:color w:val="auto"/>
        </w:rPr>
      </w:pPr>
    </w:p>
    <w:p>
      <w:pPr>
        <w:ind w:left="1140" w:firstLine="543"/>
        <w:spacing w:after="0" w:line="264" w:lineRule="auto"/>
        <w:tabs>
          <w:tab w:leader="none" w:pos="2217" w:val="left"/>
        </w:tabs>
        <w:numPr>
          <w:ilvl w:val="1"/>
          <w:numId w:val="1"/>
        </w:numPr>
        <w:rPr>
          <w:rFonts w:ascii="Arial" w:cs="Arial" w:eastAsia="Arial" w:hAnsi="Arial"/>
          <w:sz w:val="16"/>
          <w:szCs w:val="16"/>
          <w:color w:val="auto"/>
        </w:rPr>
      </w:pPr>
      <w:r>
        <w:rPr>
          <w:rFonts w:ascii="Arial" w:cs="Arial" w:eastAsia="Arial" w:hAnsi="Arial"/>
          <w:sz w:val="16"/>
          <w:szCs w:val="16"/>
          <w:color w:val="auto"/>
        </w:rPr>
        <w:t>a Series I Warrant registered in the name of such Purchaser to purchase up to a number of shares of Common Stock equal to 50% of the Shares to be purchased by such Purchaser, with an exercise price equal to $2.04 subject to adjustment therein;</w:t>
      </w:r>
    </w:p>
    <w:p>
      <w:pPr>
        <w:spacing w:after="0" w:line="108" w:lineRule="exact"/>
        <w:rPr>
          <w:rFonts w:ascii="Arial" w:cs="Arial" w:eastAsia="Arial" w:hAnsi="Arial"/>
          <w:sz w:val="16"/>
          <w:szCs w:val="16"/>
          <w:color w:val="auto"/>
        </w:rPr>
      </w:pPr>
    </w:p>
    <w:p>
      <w:pPr>
        <w:ind w:left="1140" w:right="60" w:firstLine="543"/>
        <w:spacing w:after="0" w:line="264" w:lineRule="auto"/>
        <w:tabs>
          <w:tab w:leader="none" w:pos="2212" w:val="left"/>
        </w:tabs>
        <w:numPr>
          <w:ilvl w:val="1"/>
          <w:numId w:val="1"/>
        </w:numPr>
        <w:rPr>
          <w:rFonts w:ascii="Arial" w:cs="Arial" w:eastAsia="Arial" w:hAnsi="Arial"/>
          <w:sz w:val="16"/>
          <w:szCs w:val="16"/>
          <w:color w:val="auto"/>
        </w:rPr>
      </w:pPr>
      <w:r>
        <w:rPr>
          <w:rFonts w:ascii="Arial" w:cs="Arial" w:eastAsia="Arial" w:hAnsi="Arial"/>
          <w:sz w:val="16"/>
          <w:szCs w:val="16"/>
          <w:color w:val="auto"/>
        </w:rPr>
        <w:t>a Series II Warrant registered in the name of such Purchaser to purchase up to a number of shares of Common Stock equal to 100% of the Shares to be purchased by such Purchaser, with an exercise price equal to $1.70;</w:t>
      </w:r>
    </w:p>
    <w:p>
      <w:pPr>
        <w:spacing w:after="0" w:line="108" w:lineRule="exact"/>
        <w:rPr>
          <w:rFonts w:ascii="Arial" w:cs="Arial" w:eastAsia="Arial" w:hAnsi="Arial"/>
          <w:sz w:val="16"/>
          <w:szCs w:val="16"/>
          <w:color w:val="auto"/>
        </w:rPr>
      </w:pPr>
    </w:p>
    <w:p>
      <w:pPr>
        <w:ind w:left="2220" w:hanging="537"/>
        <w:spacing w:after="0"/>
        <w:tabs>
          <w:tab w:leader="none" w:pos="222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Registration Rights Agreement duly executed by the Company;</w:t>
      </w:r>
    </w:p>
    <w:p>
      <w:pPr>
        <w:spacing w:after="0" w:line="138" w:lineRule="exact"/>
        <w:rPr>
          <w:rFonts w:ascii="Arial" w:cs="Arial" w:eastAsia="Arial" w:hAnsi="Arial"/>
          <w:sz w:val="16"/>
          <w:szCs w:val="16"/>
          <w:color w:val="auto"/>
        </w:rPr>
      </w:pPr>
    </w:p>
    <w:p>
      <w:pPr>
        <w:ind w:left="1140" w:right="360" w:firstLine="543"/>
        <w:spacing w:after="0" w:line="264" w:lineRule="auto"/>
        <w:tabs>
          <w:tab w:leader="none" w:pos="2221" w:val="left"/>
        </w:tabs>
        <w:numPr>
          <w:ilvl w:val="1"/>
          <w:numId w:val="1"/>
        </w:numPr>
        <w:rPr>
          <w:rFonts w:ascii="Arial" w:cs="Arial" w:eastAsia="Arial" w:hAnsi="Arial"/>
          <w:sz w:val="16"/>
          <w:szCs w:val="16"/>
          <w:color w:val="auto"/>
        </w:rPr>
      </w:pPr>
      <w:r>
        <w:rPr>
          <w:rFonts w:ascii="Arial" w:cs="Arial" w:eastAsia="Arial" w:hAnsi="Arial"/>
          <w:sz w:val="16"/>
          <w:szCs w:val="16"/>
          <w:color w:val="auto"/>
        </w:rPr>
        <w:t>a certificate signed by the chief executive officer and chief financial officer of the Company, dated as of the Closing Date, to the effect that the conditions set forth in Section 2.3(b) have been satisfied;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 w:name="page9"/>
    <w:bookmarkEnd w:id="8"/>
    <w:p>
      <w:pPr>
        <w:ind w:left="165" w:firstLine="534"/>
        <w:spacing w:after="0" w:line="293" w:lineRule="auto"/>
        <w:tabs>
          <w:tab w:leader="none" w:pos="1250" w:val="left"/>
        </w:tabs>
        <w:numPr>
          <w:ilvl w:val="1"/>
          <w:numId w:val="2"/>
        </w:numPr>
        <w:rPr>
          <w:rFonts w:ascii="Arial" w:cs="Arial" w:eastAsia="Arial" w:hAnsi="Arial"/>
          <w:sz w:val="14"/>
          <w:szCs w:val="14"/>
          <w:color w:val="auto"/>
        </w:rPr>
      </w:pPr>
      <w:r>
        <w:rPr>
          <w:rFonts w:ascii="Arial" w:cs="Arial" w:eastAsia="Arial" w:hAnsi="Arial"/>
          <w:sz w:val="14"/>
          <w:szCs w:val="14"/>
          <w:color w:val="auto"/>
        </w:rPr>
        <w:t>a certificate signed by the Secretary of the Company or the Assistant General Counsel of the Company, dated as of the Closing Date, as to: (i) a copy, certified by the Secretary of the Company or the Assistant General Counsel of the Company, of the resolutions of the Board of Directors of the Company evidencing approval of the Transaction Documents and consummation of the transactions contemplated therein and other matters contemplated hereby; (ii) a copy, certified by the Secretary of the Company or the Assistant General Counsel of the Company, of the Articles of Association of the Company; (iii) certified copies of all documents evidencing other necessary corporate or other action and governmental approvals, if any, with respect to this Agreement; and (iv) certifying the names, titles and signatures of the officers of the Company authorized to sign this Agreement and the other documents or certificates to be delivered pursuant to this Agreement by the Company or any of its officers, together with the true signatures of such officers.</w:t>
      </w:r>
    </w:p>
    <w:p>
      <w:pPr>
        <w:spacing w:after="0" w:line="91" w:lineRule="exact"/>
        <w:rPr>
          <w:rFonts w:ascii="Arial" w:cs="Arial" w:eastAsia="Arial" w:hAnsi="Arial"/>
          <w:sz w:val="14"/>
          <w:szCs w:val="14"/>
          <w:color w:val="auto"/>
        </w:rPr>
      </w:pPr>
    </w:p>
    <w:p>
      <w:pPr>
        <w:ind w:left="485" w:hanging="485"/>
        <w:spacing w:after="0"/>
        <w:tabs>
          <w:tab w:leader="none" w:pos="485"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or prior to the Closing Date, each Purchaser shall deliver or cause to be delivered to the Company the following:</w:t>
      </w:r>
    </w:p>
    <w:p>
      <w:pPr>
        <w:spacing w:after="0" w:line="149" w:lineRule="exact"/>
        <w:rPr>
          <w:rFonts w:ascii="Arial" w:cs="Arial" w:eastAsia="Arial" w:hAnsi="Arial"/>
          <w:sz w:val="16"/>
          <w:szCs w:val="16"/>
          <w:color w:val="auto"/>
        </w:rPr>
      </w:pPr>
    </w:p>
    <w:p>
      <w:pPr>
        <w:ind w:left="1265" w:hanging="576"/>
        <w:spacing w:after="0"/>
        <w:tabs>
          <w:tab w:leader="none" w:pos="1265" w:val="left"/>
        </w:tabs>
        <w:numPr>
          <w:ilvl w:val="1"/>
          <w:numId w:val="3"/>
        </w:numPr>
        <w:rPr>
          <w:rFonts w:ascii="Arial" w:cs="Arial" w:eastAsia="Arial" w:hAnsi="Arial"/>
          <w:sz w:val="16"/>
          <w:szCs w:val="16"/>
          <w:color w:val="auto"/>
        </w:rPr>
      </w:pPr>
      <w:r>
        <w:rPr>
          <w:rFonts w:ascii="Arial" w:cs="Arial" w:eastAsia="Arial" w:hAnsi="Arial"/>
          <w:sz w:val="16"/>
          <w:szCs w:val="16"/>
          <w:color w:val="auto"/>
        </w:rPr>
        <w:t>this Agreement duly executed by such Purchaser;</w:t>
      </w:r>
    </w:p>
    <w:p>
      <w:pPr>
        <w:spacing w:after="0" w:line="138" w:lineRule="exact"/>
        <w:rPr>
          <w:rFonts w:ascii="Arial" w:cs="Arial" w:eastAsia="Arial" w:hAnsi="Arial"/>
          <w:sz w:val="16"/>
          <w:szCs w:val="16"/>
          <w:color w:val="auto"/>
        </w:rPr>
      </w:pPr>
    </w:p>
    <w:p>
      <w:pPr>
        <w:ind w:left="1265" w:hanging="576"/>
        <w:spacing w:after="0"/>
        <w:tabs>
          <w:tab w:leader="none" w:pos="1265" w:val="left"/>
        </w:tabs>
        <w:numPr>
          <w:ilvl w:val="1"/>
          <w:numId w:val="3"/>
        </w:numPr>
        <w:rPr>
          <w:rFonts w:ascii="Arial" w:cs="Arial" w:eastAsia="Arial" w:hAnsi="Arial"/>
          <w:sz w:val="16"/>
          <w:szCs w:val="16"/>
          <w:color w:val="auto"/>
        </w:rPr>
      </w:pPr>
      <w:r>
        <w:rPr>
          <w:rFonts w:ascii="Arial" w:cs="Arial" w:eastAsia="Arial" w:hAnsi="Arial"/>
          <w:sz w:val="16"/>
          <w:szCs w:val="16"/>
          <w:color w:val="auto"/>
        </w:rPr>
        <w:t>such Purchaser’s Subscription Amount by wire transfer to the account as specified in writing by the Company;</w:t>
      </w:r>
    </w:p>
    <w:p>
      <w:pPr>
        <w:spacing w:after="0" w:line="138" w:lineRule="exact"/>
        <w:rPr>
          <w:rFonts w:ascii="Arial" w:cs="Arial" w:eastAsia="Arial" w:hAnsi="Arial"/>
          <w:sz w:val="16"/>
          <w:szCs w:val="16"/>
          <w:color w:val="auto"/>
        </w:rPr>
      </w:pPr>
    </w:p>
    <w:p>
      <w:pPr>
        <w:ind w:left="1265" w:hanging="576"/>
        <w:spacing w:after="0"/>
        <w:tabs>
          <w:tab w:leader="none" w:pos="1265"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Registration Rights Agreement duly executed by such Purchaser; and</w:t>
      </w:r>
    </w:p>
    <w:p>
      <w:pPr>
        <w:spacing w:after="0" w:line="138" w:lineRule="exact"/>
        <w:rPr>
          <w:rFonts w:ascii="Arial" w:cs="Arial" w:eastAsia="Arial" w:hAnsi="Arial"/>
          <w:sz w:val="16"/>
          <w:szCs w:val="16"/>
          <w:color w:val="auto"/>
        </w:rPr>
      </w:pPr>
    </w:p>
    <w:p>
      <w:pPr>
        <w:ind w:left="185" w:right="320" w:firstLine="504"/>
        <w:spacing w:after="0" w:line="264" w:lineRule="auto"/>
        <w:tabs>
          <w:tab w:leader="none" w:pos="1261"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an executed undertaking to the Israeli Office of the Chief Scientist in the form attached hereto as </w:t>
      </w:r>
      <w:r>
        <w:rPr>
          <w:rFonts w:ascii="Arial" w:cs="Arial" w:eastAsia="Arial" w:hAnsi="Arial"/>
          <w:sz w:val="16"/>
          <w:szCs w:val="16"/>
          <w:u w:val="single" w:color="auto"/>
          <w:color w:val="auto"/>
        </w:rPr>
        <w:t>Exhibit 2.2(iv)</w:t>
      </w:r>
      <w:r>
        <w:rPr>
          <w:rFonts w:ascii="Arial" w:cs="Arial" w:eastAsia="Arial" w:hAnsi="Arial"/>
          <w:sz w:val="16"/>
          <w:szCs w:val="16"/>
          <w:color w:val="auto"/>
        </w:rPr>
        <w:t>, if such Purchaser holds 5% or more of the issued and outstanding shares of Common Stock at the Closing.</w:t>
      </w:r>
    </w:p>
    <w:p>
      <w:pPr>
        <w:spacing w:after="0" w:line="108" w:lineRule="exact"/>
        <w:rPr>
          <w:sz w:val="20"/>
          <w:szCs w:val="20"/>
          <w:color w:val="auto"/>
        </w:rPr>
      </w:pPr>
    </w:p>
    <w:p>
      <w:pPr>
        <w:ind w:left="185"/>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150" w:lineRule="exact"/>
        <w:rPr>
          <w:sz w:val="20"/>
          <w:szCs w:val="20"/>
          <w:color w:val="auto"/>
        </w:rPr>
      </w:pPr>
    </w:p>
    <w:p>
      <w:pPr>
        <w:ind w:left="525" w:hanging="513"/>
        <w:spacing w:after="0"/>
        <w:tabs>
          <w:tab w:leader="none" w:pos="52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obligations of the Company hereunder in connection with the Closing are subject to the following conditions being met:</w:t>
      </w:r>
    </w:p>
    <w:p>
      <w:pPr>
        <w:spacing w:after="0" w:line="149" w:lineRule="exact"/>
        <w:rPr>
          <w:rFonts w:ascii="Arial" w:cs="Arial" w:eastAsia="Arial" w:hAnsi="Arial"/>
          <w:sz w:val="16"/>
          <w:szCs w:val="16"/>
          <w:color w:val="auto"/>
        </w:rPr>
      </w:pPr>
    </w:p>
    <w:p>
      <w:pPr>
        <w:ind w:left="1265" w:hanging="576"/>
        <w:spacing w:after="0"/>
        <w:tabs>
          <w:tab w:leader="none" w:pos="1265"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accuracy in all respects when made and on the Closing Date of the representations and warranties of the Purchasers contained herein;</w:t>
      </w:r>
    </w:p>
    <w:p>
      <w:pPr>
        <w:spacing w:after="0" w:line="161" w:lineRule="exact"/>
        <w:rPr>
          <w:rFonts w:ascii="Arial" w:cs="Arial" w:eastAsia="Arial" w:hAnsi="Arial"/>
          <w:sz w:val="14"/>
          <w:szCs w:val="14"/>
          <w:color w:val="auto"/>
        </w:rPr>
      </w:pPr>
    </w:p>
    <w:p>
      <w:pPr>
        <w:ind w:left="1265" w:hanging="576"/>
        <w:spacing w:after="0"/>
        <w:tabs>
          <w:tab w:leader="none" w:pos="1265" w:val="left"/>
        </w:tabs>
        <w:numPr>
          <w:ilvl w:val="1"/>
          <w:numId w:val="4"/>
        </w:numPr>
        <w:rPr>
          <w:rFonts w:ascii="Arial" w:cs="Arial" w:eastAsia="Arial" w:hAnsi="Arial"/>
          <w:sz w:val="14"/>
          <w:szCs w:val="14"/>
          <w:color w:val="auto"/>
        </w:rPr>
      </w:pPr>
      <w:r>
        <w:rPr>
          <w:rFonts w:ascii="Arial" w:cs="Arial" w:eastAsia="Arial" w:hAnsi="Arial"/>
          <w:sz w:val="14"/>
          <w:szCs w:val="14"/>
          <w:color w:val="auto"/>
        </w:rPr>
        <w:t>all obligations, covenants and agreements of the Purchasers required to be performed at or prior to the Closing Date shall have been performed;</w:t>
      </w:r>
    </w:p>
    <w:p>
      <w:pPr>
        <w:spacing w:after="0" w:line="161" w:lineRule="exact"/>
        <w:rPr>
          <w:rFonts w:ascii="Arial" w:cs="Arial" w:eastAsia="Arial" w:hAnsi="Arial"/>
          <w:sz w:val="14"/>
          <w:szCs w:val="14"/>
          <w:color w:val="auto"/>
        </w:rPr>
      </w:pPr>
    </w:p>
    <w:p>
      <w:pPr>
        <w:ind w:left="1265" w:hanging="576"/>
        <w:spacing w:after="0"/>
        <w:tabs>
          <w:tab w:leader="none" w:pos="126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delivery by the Purchasers of the items set forth in Section 2.2(b) of this Agreement; and</w:t>
      </w:r>
    </w:p>
    <w:p>
      <w:pPr>
        <w:spacing w:after="0" w:line="138" w:lineRule="exact"/>
        <w:rPr>
          <w:rFonts w:ascii="Arial" w:cs="Arial" w:eastAsia="Arial" w:hAnsi="Arial"/>
          <w:sz w:val="16"/>
          <w:szCs w:val="16"/>
          <w:color w:val="auto"/>
        </w:rPr>
      </w:pPr>
    </w:p>
    <w:p>
      <w:pPr>
        <w:ind w:left="1265" w:hanging="576"/>
        <w:spacing w:after="0"/>
        <w:tabs>
          <w:tab w:leader="none" w:pos="1265"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Purchasers shall have agreed to purchase Shares and Warrants with an aggregate Subscription Amount of at least $25 million.</w:t>
      </w:r>
    </w:p>
    <w:p>
      <w:pPr>
        <w:spacing w:after="0" w:line="221" w:lineRule="exact"/>
        <w:rPr>
          <w:sz w:val="20"/>
          <w:szCs w:val="20"/>
          <w:color w:val="auto"/>
        </w:rPr>
      </w:pPr>
    </w:p>
    <w:p>
      <w:pPr>
        <w:ind w:left="4725"/>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104775</wp:posOffset>
            </wp:positionV>
            <wp:extent cx="728281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465"/>
          </w:cols>
          <w:pgMar w:left="1195" w:top="144" w:right="239" w:bottom="1440" w:gutter="0" w:footer="0" w:header="0"/>
        </w:sectPr>
      </w:pPr>
    </w:p>
    <w:bookmarkStart w:id="9" w:name="page10"/>
    <w:bookmarkEnd w:id="9"/>
    <w:p>
      <w:pPr>
        <w:ind w:left="1340" w:hanging="408"/>
        <w:spacing w:after="0"/>
        <w:tabs>
          <w:tab w:leader="none" w:pos="1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 being met:</w:t>
      </w:r>
    </w:p>
    <w:p>
      <w:pPr>
        <w:spacing w:after="0" w:line="138" w:lineRule="exact"/>
        <w:rPr>
          <w:rFonts w:ascii="Arial" w:cs="Arial" w:eastAsia="Arial" w:hAnsi="Arial"/>
          <w:sz w:val="16"/>
          <w:szCs w:val="16"/>
          <w:color w:val="auto"/>
        </w:rPr>
      </w:pPr>
    </w:p>
    <w:p>
      <w:pPr>
        <w:ind w:left="1080" w:right="280" w:firstLine="433"/>
        <w:spacing w:after="0" w:line="381" w:lineRule="auto"/>
        <w:tabs>
          <w:tab w:leader="none" w:pos="2079" w:val="left"/>
        </w:tabs>
        <w:numPr>
          <w:ilvl w:val="1"/>
          <w:numId w:val="5"/>
        </w:numPr>
        <w:rPr>
          <w:rFonts w:ascii="Arial" w:cs="Arial" w:eastAsia="Arial" w:hAnsi="Arial"/>
          <w:sz w:val="13"/>
          <w:szCs w:val="13"/>
          <w:color w:val="auto"/>
        </w:rPr>
      </w:pPr>
      <w:r>
        <w:rPr>
          <w:rFonts w:ascii="Arial" w:cs="Arial" w:eastAsia="Arial" w:hAnsi="Arial"/>
          <w:sz w:val="13"/>
          <w:szCs w:val="13"/>
          <w:color w:val="auto"/>
        </w:rPr>
        <w:t>the accuracy in all material respects as of the date hereof and on the Closing Date of the representations and warranties of the Company contained herein, other than those representations and warranties that are qualified by “material” or “Material Adverse Effect”, which shall be accurate in all respects;</w:t>
      </w:r>
    </w:p>
    <w:p>
      <w:pPr>
        <w:spacing w:after="0" w:line="38" w:lineRule="exact"/>
        <w:rPr>
          <w:rFonts w:ascii="Arial" w:cs="Arial" w:eastAsia="Arial" w:hAnsi="Arial"/>
          <w:sz w:val="13"/>
          <w:szCs w:val="13"/>
          <w:color w:val="auto"/>
        </w:rPr>
      </w:pPr>
    </w:p>
    <w:p>
      <w:pPr>
        <w:ind w:left="2100" w:hanging="587"/>
        <w:spacing w:after="0"/>
        <w:tabs>
          <w:tab w:leader="none" w:pos="21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all obligations, covenants and agreements of the Company required to be performed at or prior to the Closing Date shall have been performed;</w:t>
      </w:r>
    </w:p>
    <w:p>
      <w:pPr>
        <w:spacing w:after="0" w:line="161" w:lineRule="exact"/>
        <w:rPr>
          <w:rFonts w:ascii="Arial" w:cs="Arial" w:eastAsia="Arial" w:hAnsi="Arial"/>
          <w:sz w:val="14"/>
          <w:szCs w:val="14"/>
          <w:color w:val="auto"/>
        </w:rPr>
      </w:pPr>
    </w:p>
    <w:p>
      <w:pPr>
        <w:ind w:left="2100" w:hanging="587"/>
        <w:spacing w:after="0"/>
        <w:tabs>
          <w:tab w:leader="none" w:pos="210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delivery by the Company of the items set forth in Section 2.2(a) of this Agreement;</w:t>
      </w:r>
    </w:p>
    <w:p>
      <w:pPr>
        <w:spacing w:after="0" w:line="138" w:lineRule="exact"/>
        <w:rPr>
          <w:rFonts w:ascii="Arial" w:cs="Arial" w:eastAsia="Arial" w:hAnsi="Arial"/>
          <w:sz w:val="16"/>
          <w:szCs w:val="16"/>
          <w:color w:val="auto"/>
        </w:rPr>
      </w:pPr>
    </w:p>
    <w:p>
      <w:pPr>
        <w:ind w:left="1080" w:right="40" w:firstLine="433"/>
        <w:spacing w:after="0" w:line="264" w:lineRule="auto"/>
        <w:tabs>
          <w:tab w:leader="none" w:pos="2079"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there has been no event, occurrence or development that has or that could reasonably be expected to result in a Material Adverse Effect which has not been disclosed in the Disclosure Materials;</w:t>
      </w:r>
    </w:p>
    <w:p>
      <w:pPr>
        <w:spacing w:after="0" w:line="108" w:lineRule="exact"/>
        <w:rPr>
          <w:rFonts w:ascii="Arial" w:cs="Arial" w:eastAsia="Arial" w:hAnsi="Arial"/>
          <w:sz w:val="16"/>
          <w:szCs w:val="16"/>
          <w:color w:val="auto"/>
        </w:rPr>
      </w:pPr>
    </w:p>
    <w:p>
      <w:pPr>
        <w:ind w:left="1080" w:right="40" w:firstLine="433"/>
        <w:spacing w:after="0" w:line="293" w:lineRule="auto"/>
        <w:tabs>
          <w:tab w:leader="none" w:pos="2075" w:val="left"/>
        </w:tabs>
        <w:numPr>
          <w:ilvl w:val="1"/>
          <w:numId w:val="5"/>
        </w:numPr>
        <w:rPr>
          <w:rFonts w:ascii="Arial" w:cs="Arial" w:eastAsia="Arial" w:hAnsi="Arial"/>
          <w:sz w:val="14"/>
          <w:szCs w:val="14"/>
          <w:color w:val="auto"/>
        </w:rPr>
      </w:pPr>
      <w:r>
        <w:rPr>
          <w:rFonts w:ascii="Arial" w:cs="Arial" w:eastAsia="Arial" w:hAnsi="Arial"/>
          <w:sz w:val="14"/>
          <w:szCs w:val="14"/>
          <w:color w:val="auto"/>
        </w:rPr>
        <w:t>from the date hereof to the Closing Date, trading in the Common Stock shall not have been suspended by the Commission or the Company’s principal Trading Market (except for any suspension of trading of limited duration agreed to by the Company, which suspension shall be terminated prior to the Closing), and, at any time prior to the Closing Date, trading in securities generally as reported by Bloomberg Financial Markets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each Purchaser, makes it impracticable or inadvisable to purchase the Shares and Warrants at the Closing;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III.</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REPRESENTATIONS AND WARRANTIES</w:t>
      </w:r>
    </w:p>
    <w:p>
      <w:pPr>
        <w:spacing w:after="0" w:line="133" w:lineRule="exact"/>
        <w:rPr>
          <w:sz w:val="20"/>
          <w:szCs w:val="20"/>
          <w:color w:val="auto"/>
        </w:rPr>
      </w:pPr>
    </w:p>
    <w:p>
      <w:pPr>
        <w:ind w:right="440" w:firstLine="388"/>
        <w:spacing w:after="0" w:line="25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Except as set forth under the corresponding section of the Disclosure Schedules, which Disclosure Schedules shall be deemed a part hereof and to qualify such corresponding representation or warranty otherwise made herein to the extent of such disclosure, the Company hereby makes the representations and warranties set forth below to each Purchaser:</w:t>
      </w:r>
    </w:p>
    <w:p>
      <w:pPr>
        <w:spacing w:after="0" w:line="115" w:lineRule="exact"/>
        <w:rPr>
          <w:sz w:val="20"/>
          <w:szCs w:val="20"/>
          <w:color w:val="auto"/>
        </w:rPr>
      </w:pPr>
    </w:p>
    <w:p>
      <w:pPr>
        <w:jc w:val="both"/>
        <w:ind w:left="560" w:firstLine="395"/>
        <w:spacing w:after="0" w:line="254" w:lineRule="auto"/>
        <w:tabs>
          <w:tab w:leader="none" w:pos="131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All of the direct and indirect ownership of any capital stock, or other equity interests owned or held by subsidiaries of the Company are set forth on </w:t>
      </w:r>
      <w:r>
        <w:rPr>
          <w:rFonts w:ascii="Arial" w:cs="Arial" w:eastAsia="Arial" w:hAnsi="Arial"/>
          <w:sz w:val="16"/>
          <w:szCs w:val="16"/>
          <w:u w:val="single" w:color="auto"/>
          <w:color w:val="auto"/>
        </w:rPr>
        <w:t>Schedule 3.1(a)</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3.1(a),</w:t>
      </w:r>
      <w:r>
        <w:rPr>
          <w:rFonts w:ascii="Arial" w:cs="Arial" w:eastAsia="Arial" w:hAnsi="Arial"/>
          <w:sz w:val="16"/>
          <w:szCs w:val="16"/>
          <w:color w:val="auto"/>
        </w:rPr>
        <w:t xml:space="preserve"> the Company owns, directly or indirectly, all of the capital stock or other equity interests of each Subsidiary free and clear of any Liens, and all the issued and outstanding shares of capital stock of each Subsidiary are validly issued and are fully paid, non-assessable and free of preemptive and similar rights to subscribe for or purchase securities.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10" w:name="page11"/>
    <w:bookmarkEnd w:id="10"/>
    <w:p>
      <w:pPr>
        <w:ind w:right="40" w:firstLine="395"/>
        <w:spacing w:after="0" w:line="289" w:lineRule="auto"/>
        <w:tabs>
          <w:tab w:leader="none" w:pos="762"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Organization and Qualification</w:t>
      </w:r>
      <w:r>
        <w:rPr>
          <w:rFonts w:ascii="Arial" w:cs="Arial" w:eastAsia="Arial" w:hAnsi="Arial"/>
          <w:sz w:val="14"/>
          <w:szCs w:val="14"/>
          <w:color w:val="auto"/>
        </w:rPr>
        <w:t>. The Company and each of the Subsidiaries is an entity duly incorporated or otherwise organized, validly existing and in good standing under the laws of the jurisdiction of its incorporation or organization (as applicable), with the requisite power and authority to own and use its properties and assets and to carry on its business as currently conducted. No proceeding has been instituted by the Registrar of Companies in Israel for the dissolution of the Company. Neither the Company nor any Subsidiary is in violation or default of any of the provisions of its respective certificate or articles of incorporation, memorandum of association,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and no Proceeding has been instituted in any such jurisdiction revoking, limiting or curtailing or seeking to revoke, limit or curtail such power and authority or qualification.</w:t>
      </w:r>
    </w:p>
    <w:p>
      <w:pPr>
        <w:spacing w:after="0" w:line="97" w:lineRule="exact"/>
        <w:rPr>
          <w:rFonts w:ascii="Arial" w:cs="Arial" w:eastAsia="Arial" w:hAnsi="Arial"/>
          <w:sz w:val="14"/>
          <w:szCs w:val="14"/>
          <w:color w:val="auto"/>
        </w:rPr>
      </w:pPr>
    </w:p>
    <w:p>
      <w:pPr>
        <w:ind w:firstLine="395"/>
        <w:spacing w:after="0" w:line="291" w:lineRule="auto"/>
        <w:tabs>
          <w:tab w:leader="none" w:pos="753"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Authorization; Enforcement</w:t>
      </w:r>
      <w:r>
        <w:rPr>
          <w:rFonts w:ascii="Arial" w:cs="Arial" w:eastAsia="Arial" w:hAnsi="Arial"/>
          <w:sz w:val="14"/>
          <w:szCs w:val="14"/>
          <w:color w:val="auto"/>
        </w:rPr>
        <w:t>. The Company has the requisite corporate power and authority to enter into and to consummate the transactions contemplated by each of the Transaction Documents and otherwise to carry out its obligations hereunder and thereunder. The execution and delivery of each of the Transaction Documents by the Company and the consummation by it of the transactions contemplated hereby and thereby have been duly authorized by all necessary action on the part of the Company and no further action is required by the Company, its board of directors or its stockholders in connection therewith other than in connection with the Required Approvals. Each Transaction Document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359" w:right="239" w:bottom="1440" w:gutter="0" w:footer="0" w:header="0"/>
        </w:sectPr>
      </w:pPr>
    </w:p>
    <w:bookmarkStart w:id="11" w:name="page12"/>
    <w:bookmarkEnd w:id="11"/>
    <w:p>
      <w:pPr>
        <w:ind w:firstLine="395"/>
        <w:spacing w:after="0" w:line="290" w:lineRule="auto"/>
        <w:tabs>
          <w:tab w:leader="none" w:pos="762"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No Conflicts</w:t>
      </w:r>
      <w:r>
        <w:rPr>
          <w:rFonts w:ascii="Arial" w:cs="Arial" w:eastAsia="Arial" w:hAnsi="Arial"/>
          <w:sz w:val="14"/>
          <w:szCs w:val="14"/>
          <w:color w:val="auto"/>
        </w:rPr>
        <w:t>. The execution, delivery and performance of the Transaction Documents by the Company, the issuance and sale of the Securities and the consummation by the Company of the other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Israeli, U.S.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94" w:lineRule="exact"/>
        <w:rPr>
          <w:rFonts w:ascii="Arial" w:cs="Arial" w:eastAsia="Arial" w:hAnsi="Arial"/>
          <w:sz w:val="14"/>
          <w:szCs w:val="14"/>
          <w:color w:val="auto"/>
        </w:rPr>
      </w:pPr>
    </w:p>
    <w:p>
      <w:pPr>
        <w:ind w:right="20" w:firstLine="395"/>
        <w:spacing w:after="0" w:line="297" w:lineRule="auto"/>
        <w:tabs>
          <w:tab w:leader="none" w:pos="792"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Filings, Consents and Approvals</w:t>
      </w:r>
      <w:r>
        <w:rPr>
          <w:rFonts w:ascii="Arial" w:cs="Arial" w:eastAsia="Arial" w:hAnsi="Arial"/>
          <w:sz w:val="14"/>
          <w:szCs w:val="14"/>
          <w:color w:val="auto"/>
        </w:rPr>
        <w:t>. Other than as set forth on Schedule 3.1(e), the Company is not required to obtain any consent, waiver, authorization or order of, give any notice to, or make any filing or registration with, any court or other Israeli, U.S. federal, state, local or other governmental authority or other Person in connection with the execution, delivery and performance by the Company of the Transaction Documents, other than (i) filings required pursuant to Section 4.4 of this Agreement, (ii) the filing with the Commission of the Registration Statement, (iii) the filing of Form D with the Commission and such filings as are required to be made under applicable state securities laws, and (iv) those made or obtained prior to Closing (collectively, the “</w:t>
      </w:r>
      <w:r>
        <w:rPr>
          <w:rFonts w:ascii="Arial" w:cs="Arial" w:eastAsia="Arial" w:hAnsi="Arial"/>
          <w:sz w:val="14"/>
          <w:szCs w:val="14"/>
          <w:u w:val="single" w:color="auto"/>
          <w:color w:val="auto"/>
        </w:rPr>
        <w:t>Required Approvals</w:t>
      </w:r>
      <w:r>
        <w:rPr>
          <w:rFonts w:ascii="Arial" w:cs="Arial" w:eastAsia="Arial" w:hAnsi="Arial"/>
          <w:sz w:val="14"/>
          <w:szCs w:val="14"/>
          <w:color w:val="auto"/>
        </w:rPr>
        <w:t>”).</w:t>
      </w:r>
    </w:p>
    <w:p>
      <w:pPr>
        <w:spacing w:after="0" w:line="89" w:lineRule="exact"/>
        <w:rPr>
          <w:rFonts w:ascii="Arial" w:cs="Arial" w:eastAsia="Arial" w:hAnsi="Arial"/>
          <w:sz w:val="14"/>
          <w:szCs w:val="14"/>
          <w:color w:val="auto"/>
        </w:rPr>
      </w:pPr>
    </w:p>
    <w:p>
      <w:pPr>
        <w:ind w:right="20" w:firstLine="395"/>
        <w:spacing w:after="0" w:line="290" w:lineRule="auto"/>
        <w:tabs>
          <w:tab w:leader="none" w:pos="775"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Issuance of the Securities</w:t>
      </w:r>
      <w:r>
        <w:rPr>
          <w:rFonts w:ascii="Arial" w:cs="Arial" w:eastAsia="Arial" w:hAnsi="Arial"/>
          <w:sz w:val="14"/>
          <w:szCs w:val="14"/>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Transaction Documents, will be validly issued, fully paid and nonassessable, free and clear of all Liens imposed by the Company. The Company has reserved from its duly authorized capital stock the maximum number of shares of Common Stock issuable pursuant to this Agreement and the Warrants. Other than Israeli withholding tax imposed on any Purchaser not meeting the criteria set forth in clause (ii) of Section 3.1(jj) hereof, there is no tax, levy, impost, duty, fee, assessment or other governmental charge, or any deduction or withholding, imposed by any governmental agency or authority in or of Israel either (A) on or by virtue of the execution or delivery of the Transaction Documents to which the Company is a party, (B) the issuance of the Securities pursuant hereto or (C) on any payment to be made by the Company pursuant to the Transaction Documents. Assuming the truth and accuracy in all material respects of the representations and warranties made by each Purchaser in this Agreement, the Company is not required to publish or to deliver a prospectus in Israel under the Israeli Securities Law - 1968 in connection with the offer and issuance of the Securities.</w:t>
      </w:r>
    </w:p>
    <w:p>
      <w:pPr>
        <w:spacing w:after="0" w:line="154"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40"/>
          </w:cols>
          <w:pgMar w:left="800" w:top="359" w:right="259" w:bottom="1440" w:gutter="0" w:footer="0" w:header="0"/>
        </w:sectPr>
      </w:pPr>
    </w:p>
    <w:bookmarkStart w:id="12" w:name="page13"/>
    <w:bookmarkEnd w:id="12"/>
    <w:p>
      <w:pPr>
        <w:ind w:left="-395" w:right="20" w:firstLine="395"/>
        <w:spacing w:after="0" w:line="288" w:lineRule="auto"/>
        <w:tabs>
          <w:tab w:leader="none" w:pos="367" w:val="left"/>
        </w:tabs>
        <w:numPr>
          <w:ilvl w:val="0"/>
          <w:numId w:val="9"/>
        </w:numPr>
        <w:rPr>
          <w:rFonts w:ascii="Arial" w:cs="Arial" w:eastAsia="Arial" w:hAnsi="Arial"/>
          <w:sz w:val="14"/>
          <w:szCs w:val="14"/>
          <w:color w:val="auto"/>
        </w:rPr>
      </w:pPr>
      <w:r>
        <w:rPr>
          <w:rFonts w:ascii="Arial" w:cs="Arial" w:eastAsia="Arial" w:hAnsi="Arial"/>
          <w:sz w:val="14"/>
          <w:szCs w:val="14"/>
          <w:u w:val="single" w:color="auto"/>
          <w:color w:val="auto"/>
        </w:rPr>
        <w:t>Capitalization</w:t>
      </w:r>
      <w:r>
        <w:rPr>
          <w:rFonts w:ascii="Arial" w:cs="Arial" w:eastAsia="Arial" w:hAnsi="Arial"/>
          <w:sz w:val="14"/>
          <w:szCs w:val="14"/>
          <w:color w:val="auto"/>
        </w:rPr>
        <w:t xml:space="preserve">. The capitalization (including convertible debentures) of the Company as of one (1) Trading Day prior to the date hereof is as set forth on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w:t>
      </w:r>
      <w:r>
        <w:rPr>
          <w:rFonts w:ascii="Arial" w:cs="Arial" w:eastAsia="Arial" w:hAnsi="Arial"/>
          <w:sz w:val="14"/>
          <w:szCs w:val="14"/>
          <w:u w:val="single" w:color="auto"/>
          <w:color w:val="auto"/>
        </w:rPr>
        <w:t>3.1(g)</w:t>
      </w:r>
      <w:r>
        <w:rPr>
          <w:rFonts w:ascii="Arial" w:cs="Arial" w:eastAsia="Arial" w:hAnsi="Arial"/>
          <w:sz w:val="14"/>
          <w:szCs w:val="14"/>
          <w:color w:val="auto"/>
        </w:rPr>
        <w:t xml:space="preserve">. Except as disclosed on </w:t>
      </w:r>
      <w:r>
        <w:rPr>
          <w:rFonts w:ascii="Arial" w:cs="Arial" w:eastAsia="Arial" w:hAnsi="Arial"/>
          <w:sz w:val="14"/>
          <w:szCs w:val="14"/>
          <w:u w:val="single" w:color="auto"/>
          <w:color w:val="auto"/>
        </w:rPr>
        <w:t>Schedule 3.1(g)</w:t>
      </w:r>
      <w:r>
        <w:rPr>
          <w:rFonts w:ascii="Arial" w:cs="Arial" w:eastAsia="Arial" w:hAnsi="Arial"/>
          <w:sz w:val="14"/>
          <w:szCs w:val="14"/>
          <w:color w:val="auto"/>
        </w:rPr>
        <w:t xml:space="preserve">, no Person has any right of first refusal, preemptive right, right of participation, or any similar right to participate in the transactions contemplated by the Transaction Documents. Except as disclosed in the Disclosure Materials and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Except as disclosed on </w:t>
      </w:r>
      <w:r>
        <w:rPr>
          <w:rFonts w:ascii="Arial" w:cs="Arial" w:eastAsia="Arial" w:hAnsi="Arial"/>
          <w:sz w:val="14"/>
          <w:szCs w:val="14"/>
          <w:u w:val="single" w:color="auto"/>
          <w:color w:val="auto"/>
        </w:rPr>
        <w:t>Schedule 3.1(g)</w:t>
      </w:r>
      <w:r>
        <w:rPr>
          <w:rFonts w:ascii="Arial" w:cs="Arial" w:eastAsia="Arial" w:hAnsi="Arial"/>
          <w:sz w:val="14"/>
          <w:szCs w:val="14"/>
          <w:color w:val="auto"/>
        </w:rPr>
        <w:t xml:space="preserve">, the issuance and sale of the Securities will not obligate the Company to issue shares of Common Stock or other securities to any Person (other than the Purchasers) and will not result in a right of any holder of Company securities to adjust the exercise, conversion, exchange or reset price under any of such securities. All of the outstanding shares of capital stock of the Company are validly issued, fully paid and nonassessable, have been issued in compliance with all Israeli, U.S. federal and state securities laws, and none of such outstanding shares was issued in violation of any preemptive rights or similar rights to subscribe for or purchase securities. No further corporate approval or authorization of any stockholder, the Board of Directors of the Company or others is required for the issuance and sale of the Securities. Except as disclosed on </w:t>
      </w:r>
      <w:r>
        <w:rPr>
          <w:rFonts w:ascii="Arial" w:cs="Arial" w:eastAsia="Arial" w:hAnsi="Arial"/>
          <w:sz w:val="14"/>
          <w:szCs w:val="14"/>
          <w:u w:val="single" w:color="auto"/>
          <w:color w:val="auto"/>
        </w:rPr>
        <w:t>Schedule 3.1(g)</w:t>
      </w:r>
      <w:r>
        <w:rPr>
          <w:rFonts w:ascii="Arial" w:cs="Arial" w:eastAsia="Arial" w:hAnsi="Arial"/>
          <w:sz w:val="14"/>
          <w:szCs w:val="14"/>
          <w:color w:val="auto"/>
        </w:rPr>
        <w:t>,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00" w:lineRule="exact"/>
        <w:rPr>
          <w:rFonts w:ascii="Arial" w:cs="Arial" w:eastAsia="Arial" w:hAnsi="Arial"/>
          <w:sz w:val="14"/>
          <w:szCs w:val="14"/>
          <w:color w:val="auto"/>
        </w:rPr>
      </w:pPr>
    </w:p>
    <w:p>
      <w:pPr>
        <w:ind w:left="-395" w:firstLine="395"/>
        <w:spacing w:after="0" w:line="287" w:lineRule="auto"/>
        <w:tabs>
          <w:tab w:leader="none" w:pos="367" w:val="left"/>
        </w:tabs>
        <w:numPr>
          <w:ilvl w:val="0"/>
          <w:numId w:val="9"/>
        </w:numPr>
        <w:rPr>
          <w:rFonts w:ascii="Arial" w:cs="Arial" w:eastAsia="Arial" w:hAnsi="Arial"/>
          <w:sz w:val="14"/>
          <w:szCs w:val="14"/>
          <w:color w:val="auto"/>
        </w:rPr>
      </w:pPr>
      <w:r>
        <w:rPr>
          <w:rFonts w:ascii="Arial" w:cs="Arial" w:eastAsia="Arial" w:hAnsi="Arial"/>
          <w:sz w:val="14"/>
          <w:szCs w:val="14"/>
          <w:u w:val="single" w:color="auto"/>
          <w:color w:val="auto"/>
        </w:rPr>
        <w:t>SEC Reports; Financial Statements</w:t>
      </w:r>
      <w:r>
        <w:rPr>
          <w:rFonts w:ascii="Arial" w:cs="Arial" w:eastAsia="Arial" w:hAnsi="Arial"/>
          <w:sz w:val="14"/>
          <w:szCs w:val="14"/>
          <w:color w:val="auto"/>
        </w:rPr>
        <w:t>. The Company has filed all reports, schedules, forms, statements and other documents required to be filed by it under the Securities Act and the Exchange Act, including pursuant to Section 13(a) or 15(d) thereof, for the three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Arial" w:cs="Arial" w:eastAsia="Arial" w:hAnsi="Arial"/>
          <w:sz w:val="14"/>
          <w:szCs w:val="14"/>
          <w:u w:val="single" w:color="auto"/>
          <w:color w:val="auto"/>
        </w:rPr>
        <w:t>SEC Reports</w:t>
      </w:r>
      <w:r>
        <w:rPr>
          <w:rFonts w:ascii="Arial" w:cs="Arial" w:eastAsia="Arial" w:hAnsi="Arial"/>
          <w:sz w:val="14"/>
          <w:szCs w:val="14"/>
          <w:color w:val="auto"/>
        </w:rPr>
        <w:t>” and together with the Disclosure Schedule to this Agreement, exhibit 99.2 (audited financial statements for the period ending December 31, 2006 and the notes thereto) and exhibit 99.3 (Management’s Discussion and Analysis of Financial Condition and Results of Operations) to the Form 6-K filed by the Company on February 8, 2007 and the Company’s most recent filing of Form F-3, the “</w:t>
      </w:r>
      <w:r>
        <w:rPr>
          <w:rFonts w:ascii="Arial" w:cs="Arial" w:eastAsia="Arial" w:hAnsi="Arial"/>
          <w:sz w:val="14"/>
          <w:szCs w:val="14"/>
          <w:u w:val="single" w:color="auto"/>
          <w:color w:val="auto"/>
        </w:rPr>
        <w:t>Disclosure Materials</w:t>
      </w:r>
      <w:r>
        <w:rPr>
          <w:rFonts w:ascii="Arial" w:cs="Arial" w:eastAsia="Arial" w:hAnsi="Arial"/>
          <w:sz w:val="14"/>
          <w:szCs w:val="14"/>
          <w:color w:val="auto"/>
        </w:rPr>
        <w:t>”) on a timely basis or has received a valid extension of such time of filing and has filed any such SEC Reports prior to the expiration of any such extension. As of their respective dates (or if amended or superseded by a filing prior to the Closing Date, then on the date of such filing), the SEC Reports complied in all material respects with the requirements of the Securities Act and the Exchange Act, as applicable, and none of the SEC Reports, when filed (or if amended or superseded by a filing prior to the Closing Date, then on the date of such filing),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(or if amended or superseded by a filing prior to the Closing Date, then on the date of such filing). Such financial statements have been prepared in accordance with accounting principles generally accepted in Israel applied on a consistent basis during the periods involved (“</w:t>
      </w:r>
      <w:r>
        <w:rPr>
          <w:rFonts w:ascii="Arial" w:cs="Arial" w:eastAsia="Arial" w:hAnsi="Arial"/>
          <w:sz w:val="14"/>
          <w:szCs w:val="14"/>
          <w:u w:val="single" w:color="auto"/>
          <w:color w:val="auto"/>
        </w:rPr>
        <w:t>GAAP</w:t>
      </w:r>
      <w:r>
        <w:rPr>
          <w:rFonts w:ascii="Arial" w:cs="Arial" w:eastAsia="Arial" w:hAnsi="Arial"/>
          <w:sz w:val="14"/>
          <w:szCs w:val="14"/>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62" w:lineRule="exact"/>
        <w:rPr>
          <w:sz w:val="20"/>
          <w:szCs w:val="20"/>
          <w:color w:val="auto"/>
        </w:rPr>
      </w:pPr>
    </w:p>
    <w:p>
      <w:pPr>
        <w:ind w:left="4685"/>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104775</wp:posOffset>
            </wp:positionV>
            <wp:extent cx="728281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465"/>
          </w:cols>
          <w:pgMar w:left="1195" w:top="359" w:right="239" w:bottom="1440" w:gutter="0" w:footer="0" w:header="0"/>
        </w:sectPr>
      </w:pPr>
    </w:p>
    <w:bookmarkStart w:id="13" w:name="page14"/>
    <w:bookmarkEnd w:id="13"/>
    <w:p>
      <w:pPr>
        <w:ind w:left="-395" w:firstLine="395"/>
        <w:spacing w:after="0" w:line="290" w:lineRule="auto"/>
        <w:tabs>
          <w:tab w:leader="none" w:pos="371"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Material Changes; Undisclosed Events, Liabilities or Developments</w:t>
      </w:r>
      <w:r>
        <w:rPr>
          <w:rFonts w:ascii="Arial" w:cs="Arial" w:eastAsia="Arial" w:hAnsi="Arial"/>
          <w:sz w:val="14"/>
          <w:szCs w:val="14"/>
          <w:color w:val="auto"/>
        </w:rPr>
        <w:t>. Since the date of the latest audited financial statements of the Company filed on Form 6-K and except as specifically disclosed in the Disclosure Materials, (i) there has been no event, occurrence or development that has had or that could reasonably be expected to result in a Material Adverse Effect, (ii) the Company has not incurred any liabilities (contingent or otherwise) other than trade payables and accrued expenses incurred in the ordinary course of business consistent with past practice,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or arrangements. The Company does not have pending before the Commission any request for confidential treatment of information. Except for the issuance of the Securities contemplated by this Agreement or as set forth in the Disclosure Materials, no event, liability or development has occurred or exists with respect to the Company or its Subsidiaries or their respective business, properties, operations or financial condition, that would be required to be disclosed by the Company under applicable securities laws at the time this representation is made that has not been publicly disclosed at least 1 Trading Day prior to the date that this representation is made.</w:t>
      </w:r>
    </w:p>
    <w:p>
      <w:pPr>
        <w:spacing w:after="0" w:line="94" w:lineRule="exact"/>
        <w:rPr>
          <w:rFonts w:ascii="Arial" w:cs="Arial" w:eastAsia="Arial" w:hAnsi="Arial"/>
          <w:sz w:val="14"/>
          <w:szCs w:val="14"/>
          <w:color w:val="auto"/>
        </w:rPr>
      </w:pPr>
    </w:p>
    <w:p>
      <w:pPr>
        <w:ind w:left="-395" w:right="20" w:firstLine="395"/>
        <w:spacing w:after="0" w:line="290" w:lineRule="auto"/>
        <w:tabs>
          <w:tab w:leader="none" w:pos="371" w:val="left"/>
        </w:tabs>
        <w:numPr>
          <w:ilvl w:val="0"/>
          <w:numId w:val="10"/>
        </w:numPr>
        <w:rPr>
          <w:rFonts w:ascii="Arial" w:cs="Arial" w:eastAsia="Arial" w:hAnsi="Arial"/>
          <w:sz w:val="14"/>
          <w:szCs w:val="14"/>
          <w:color w:val="auto"/>
        </w:rPr>
      </w:pPr>
      <w:r>
        <w:rPr>
          <w:rFonts w:ascii="Arial" w:cs="Arial" w:eastAsia="Arial" w:hAnsi="Arial"/>
          <w:sz w:val="14"/>
          <w:szCs w:val="14"/>
          <w:u w:val="single" w:color="auto"/>
          <w:color w:val="auto"/>
        </w:rPr>
        <w:t>Litigation</w:t>
      </w:r>
      <w:r>
        <w:rPr>
          <w:rFonts w:ascii="Arial" w:cs="Arial" w:eastAsia="Arial" w:hAnsi="Arial"/>
          <w:sz w:val="14"/>
          <w:szCs w:val="14"/>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(Israeli, U.S. federal, state, county, local or foreign) (collectively, an “</w:t>
      </w:r>
      <w:r>
        <w:rPr>
          <w:rFonts w:ascii="Arial" w:cs="Arial" w:eastAsia="Arial" w:hAnsi="Arial"/>
          <w:sz w:val="14"/>
          <w:szCs w:val="14"/>
          <w:u w:val="single" w:color="auto"/>
          <w:color w:val="auto"/>
        </w:rPr>
        <w:t>Action</w:t>
      </w:r>
      <w:r>
        <w:rPr>
          <w:rFonts w:ascii="Arial" w:cs="Arial" w:eastAsia="Arial" w:hAnsi="Arial"/>
          <w:sz w:val="14"/>
          <w:szCs w:val="14"/>
          <w:color w:val="auto"/>
        </w:rPr>
        <w:t>”) which (i) adversely affects or challenges the legality, validity or enforceability of any of the Transaction Documents or the Securities or (ii) could have or reasonably be expected to result in a Material Adverse Effect. Neither the Company nor any Subsidiary, nor any director or officer thereof, is or has been the subject of any Action involving a claim of violation of or liability under Israeli or U.S.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with respect to their capacities as a director or officer of the Company. The Commission has not issued any stop order or other order suspending the effectiveness of any registration statement filed by the Company or any Subsidiary under the Exchange Act or the Securities Act. There are no disagreements of any kind presently existing, or reasonably anticipated by the Company or any Subsidiary to arise, between accountants and lawyers formerly or presently engaged by the Company or any Subsidiary and the Company and each Subsidiary is current with respect to any fees owed to its accountant and lawyers.</w:t>
      </w:r>
    </w:p>
    <w:p>
      <w:pPr>
        <w:spacing w:after="0" w:line="344" w:lineRule="exact"/>
        <w:rPr>
          <w:sz w:val="20"/>
          <w:szCs w:val="20"/>
          <w:color w:val="auto"/>
        </w:rPr>
      </w:pPr>
    </w:p>
    <w:p>
      <w:pPr>
        <w:ind w:left="4685"/>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104775</wp:posOffset>
            </wp:positionV>
            <wp:extent cx="728281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465"/>
          </w:cols>
          <w:pgMar w:left="1195" w:top="359" w:right="239" w:bottom="1440" w:gutter="0" w:footer="0" w:header="0"/>
        </w:sectPr>
      </w:pPr>
    </w:p>
    <w:bookmarkStart w:id="14" w:name="page15"/>
    <w:bookmarkEnd w:id="14"/>
    <w:p>
      <w:pPr>
        <w:ind w:firstLine="395"/>
        <w:spacing w:after="0" w:line="288" w:lineRule="auto"/>
        <w:tabs>
          <w:tab w:leader="none" w:pos="956"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Labor Relations</w:t>
      </w:r>
      <w:r>
        <w:rPr>
          <w:rFonts w:ascii="Arial" w:cs="Arial" w:eastAsia="Arial" w:hAnsi="Arial"/>
          <w:sz w:val="14"/>
          <w:szCs w:val="14"/>
          <w:color w:val="auto"/>
        </w:rPr>
        <w:t xml:space="preserve">. No material labor dispute exists or, to the knowledge of the Company, is imminent with respect to any of the employees of the Company which could reasonably be expected to result in a Material Adverse Effect. Except as disclosed on </w:t>
      </w:r>
      <w:r>
        <w:rPr>
          <w:rFonts w:ascii="Arial" w:cs="Arial" w:eastAsia="Arial" w:hAnsi="Arial"/>
          <w:sz w:val="14"/>
          <w:szCs w:val="14"/>
          <w:u w:val="single" w:color="auto"/>
          <w:color w:val="auto"/>
        </w:rPr>
        <w:t>Schedule 3.1(k),</w:t>
      </w:r>
      <w:r>
        <w:rPr>
          <w:rFonts w:ascii="Arial" w:cs="Arial" w:eastAsia="Arial" w:hAnsi="Arial"/>
          <w:sz w:val="14"/>
          <w:szCs w:val="14"/>
          <w:color w:val="auto"/>
        </w:rPr>
        <w:t xml:space="preserve"> none of the Company’s or its Subsidiaries’ employees is a member of a union that relates to such employee’s relationship with the Company, and neither the Company or any of its Subsidiaries is a party to a collective bargaining agreement, and the Company and its Subsidiaries believe that their relationships with their employees are good. No executive officer, to the knowledge of the Company, is, or is now expected to be, in violation of any material term of any employment contract, confidentiality, disclosure or proprietary information agreement or non-competition agreement, or any other contract or agreement or any restrictive covenant, and, to the knowledge of the Company, the continued employment of each such executive officer does not subject the Company or any of its Subsidiaries to any liability with respect to any of the foregoing matters. The Company and its Subsidiaries are, to their knowledge, in compliance with all Israeli,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 Neither the Company nor any of its Subsidiaries is subject to, nor do any of its employees benefit from, whether pursuant to applicable employment laws, regulations, extension orders (</w:t>
      </w:r>
      <w:r>
        <w:rPr>
          <w:rFonts w:ascii="Arial" w:cs="Arial" w:eastAsia="Arial" w:hAnsi="Arial"/>
          <w:sz w:val="14"/>
          <w:szCs w:val="14"/>
          <w:i w:val="1"/>
          <w:iCs w:val="1"/>
          <w:color w:val="auto"/>
        </w:rPr>
        <w:t>“tzavei harchava”</w:t>
      </w:r>
      <w:r>
        <w:rPr>
          <w:rFonts w:ascii="Arial" w:cs="Arial" w:eastAsia="Arial" w:hAnsi="Arial"/>
          <w:sz w:val="14"/>
          <w:szCs w:val="14"/>
          <w:color w:val="auto"/>
        </w:rPr>
        <w:t>) or otherwise, any agreement, arrangement, understanding or custom with respect to employment (including, without limitation, termination thereof) other than the minimum benefits and working conditions required by law to be provided pursuant to rules and regulations of the Histadrut (General Federation of Labor), the Coordinating Bureau of Economic Organization and the Industrialists’ Association or extension orders that apply to all employees in Israel or to all employees in the Company’s industry in Israel . The severance pay due to the Employees is fully funded or provided for in accordance with GAAP, consistently applied.</w:t>
      </w:r>
    </w:p>
    <w:p>
      <w:pPr>
        <w:spacing w:after="0" w:line="97" w:lineRule="exact"/>
        <w:rPr>
          <w:rFonts w:ascii="Arial" w:cs="Arial" w:eastAsia="Arial" w:hAnsi="Arial"/>
          <w:sz w:val="14"/>
          <w:szCs w:val="14"/>
          <w:color w:val="auto"/>
        </w:rPr>
      </w:pPr>
    </w:p>
    <w:p>
      <w:pPr>
        <w:ind w:right="100" w:firstLine="395"/>
        <w:spacing w:after="0" w:line="293" w:lineRule="auto"/>
        <w:tabs>
          <w:tab w:leader="none" w:pos="922" w:val="left"/>
        </w:tabs>
        <w:numPr>
          <w:ilvl w:val="0"/>
          <w:numId w:val="11"/>
        </w:numPr>
        <w:rPr>
          <w:rFonts w:ascii="Arial" w:cs="Arial" w:eastAsia="Arial" w:hAnsi="Arial"/>
          <w:sz w:val="14"/>
          <w:szCs w:val="14"/>
          <w:color w:val="auto"/>
        </w:rPr>
      </w:pPr>
      <w:r>
        <w:rPr>
          <w:rFonts w:ascii="Arial" w:cs="Arial" w:eastAsia="Arial" w:hAnsi="Arial"/>
          <w:sz w:val="14"/>
          <w:szCs w:val="14"/>
          <w:u w:val="single" w:color="auto"/>
          <w:color w:val="auto"/>
        </w:rPr>
        <w:t>Compliance</w:t>
      </w:r>
      <w:r>
        <w:rPr>
          <w:rFonts w:ascii="Arial" w:cs="Arial" w:eastAsia="Arial" w:hAnsi="Arial"/>
          <w:sz w:val="14"/>
          <w:szCs w:val="14"/>
          <w:color w:val="auto"/>
        </w:rPr>
        <w:t>. Except as set forth in the Disclosure Materials,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order of any court, arbitrator or governmental body, or (iii) is or has been in violation of any statute, rule or regulation of any governmental authority, including without limitation all foreign, Israeli, U.S. federal, state and local laws applicable to its business and all such laws that affect the environment, except in each case as could not have or reasonably be expected to result in a Material Adverse Effect.</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15" w:name="page16"/>
    <w:bookmarkEnd w:id="15"/>
    <w:p>
      <w:pPr>
        <w:ind w:firstLine="395"/>
        <w:spacing w:after="0" w:line="288" w:lineRule="auto"/>
        <w:tabs>
          <w:tab w:leader="none" w:pos="999" w:val="left"/>
        </w:tabs>
        <w:numPr>
          <w:ilvl w:val="0"/>
          <w:numId w:val="12"/>
        </w:numPr>
        <w:rPr>
          <w:rFonts w:ascii="Arial" w:cs="Arial" w:eastAsia="Arial" w:hAnsi="Arial"/>
          <w:sz w:val="14"/>
          <w:szCs w:val="14"/>
          <w:color w:val="auto"/>
        </w:rPr>
      </w:pPr>
      <w:r>
        <w:rPr>
          <w:rFonts w:ascii="Arial" w:cs="Arial" w:eastAsia="Arial" w:hAnsi="Arial"/>
          <w:sz w:val="14"/>
          <w:szCs w:val="14"/>
          <w:u w:val="single" w:color="auto"/>
          <w:color w:val="auto"/>
        </w:rPr>
        <w:t>Regulatory Permits</w:t>
      </w:r>
      <w:r>
        <w:rPr>
          <w:rFonts w:ascii="Arial" w:cs="Arial" w:eastAsia="Arial" w:hAnsi="Arial"/>
          <w:sz w:val="14"/>
          <w:szCs w:val="14"/>
          <w:color w:val="auto"/>
        </w:rPr>
        <w:t>. The Company and the Subsidiaries possess all certificates, authorizations and permits issued by the appropriate Israeli, U.S. federal, state, local or foreign regulatory authorities necessary to conduct their respective businesses as described in the Disclosure Materials, except where the failure to possess such permits could not have or reasonably be expected to result in a Material Adverse Effect (“Material Permits”), and neither the Company nor any Subsidiary has received any notice of proceedings relating to the revocation or modification of any Material Permit. Except as set forth in the Disclosure Materials, (1) the Company is in compliance in all material respects with all conditions and requirements stipulated by the instruments of approval granted to it with respect to the “Approved Enterprise” status of any of the Company’s facilities by Israeli laws and regulations relating to such “Approved Enterprise” status and other tax benefits received by the Company; and the Company has not received any notice of any proceeding or investigation relating to revocation or modification of any “Approved Enterprise” status granted with respect to any of the Company’s facilities. All information supplied by the Company or any Subsidiary with respect to applications submitted in connection with such approval was true, correct and complete in all material respects when supplied to the appropriate authorities. The Company is not in violation of any condition or requirement stipulated by the instruments of approval granted to the Company by the Office of Chief Scientist in the Israeli Ministry of Industry and Trade (the “</w:t>
      </w:r>
      <w:r>
        <w:rPr>
          <w:rFonts w:ascii="Arial" w:cs="Arial" w:eastAsia="Arial" w:hAnsi="Arial"/>
          <w:sz w:val="14"/>
          <w:szCs w:val="14"/>
          <w:u w:val="single" w:color="auto"/>
          <w:color w:val="auto"/>
        </w:rPr>
        <w:t>OCS</w:t>
      </w:r>
      <w:r>
        <w:rPr>
          <w:rFonts w:ascii="Arial" w:cs="Arial" w:eastAsia="Arial" w:hAnsi="Arial"/>
          <w:sz w:val="14"/>
          <w:szCs w:val="14"/>
          <w:color w:val="auto"/>
        </w:rPr>
        <w:t>”) or any applicable laws and regulations with respect to any research and development grants given to it by such office that the OCS has not confirmed as having been closed that could be expected to result in a Material Adverse Effect. All information supplied by the Company with respect to such applications was true, correct and complete in all material respects when supplied to the appropriate authorities. Schedule 3.1(m) provides a correct and complete list of the aggregate amount of pending and outstanding grants from the OCS, net of royalties paid. The Company’s contingent liabilities to the OCS are disclosed in the notes to the Financial Statements of the Company contained in the Company’s Form 20-F for the year ended December 31, 2005.</w:t>
      </w:r>
    </w:p>
    <w:p>
      <w:pPr>
        <w:spacing w:after="0" w:line="95" w:lineRule="exact"/>
        <w:rPr>
          <w:rFonts w:ascii="Arial" w:cs="Arial" w:eastAsia="Arial" w:hAnsi="Arial"/>
          <w:sz w:val="14"/>
          <w:szCs w:val="14"/>
          <w:color w:val="auto"/>
        </w:rPr>
      </w:pPr>
    </w:p>
    <w:p>
      <w:pPr>
        <w:ind w:right="60" w:firstLine="395"/>
        <w:spacing w:after="0" w:line="294" w:lineRule="auto"/>
        <w:tabs>
          <w:tab w:leader="none" w:pos="956" w:val="left"/>
        </w:tabs>
        <w:numPr>
          <w:ilvl w:val="0"/>
          <w:numId w:val="12"/>
        </w:numPr>
        <w:rPr>
          <w:rFonts w:ascii="Arial" w:cs="Arial" w:eastAsia="Arial" w:hAnsi="Arial"/>
          <w:sz w:val="14"/>
          <w:szCs w:val="14"/>
          <w:color w:val="auto"/>
        </w:rPr>
      </w:pPr>
      <w:r>
        <w:rPr>
          <w:rFonts w:ascii="Arial" w:cs="Arial" w:eastAsia="Arial" w:hAnsi="Arial"/>
          <w:sz w:val="14"/>
          <w:szCs w:val="14"/>
          <w:u w:val="single" w:color="auto"/>
          <w:color w:val="auto"/>
        </w:rPr>
        <w:t>Title to Assets</w:t>
      </w:r>
      <w:r>
        <w:rPr>
          <w:rFonts w:ascii="Arial" w:cs="Arial" w:eastAsia="Arial" w:hAnsi="Arial"/>
          <w:sz w:val="14"/>
          <w:szCs w:val="14"/>
          <w:color w:val="auto"/>
        </w:rPr>
        <w:t>. Except as set forth on Schedule 3.1(n), the Company and the Subsidiaries have good and marketable title in fee simple to all real property owned by them that is material to the business of the Company and the Subsidiaries and good and marketable title in all personal property owned by them that is material to the business of the Company and the Subsidiaries, in each case free and clear of all Liens, except for Liens as do not materially affect the value of such property and do not materially interfere with the use made and proposed to be made of such property by the Company and the Subsidiaries and Liens for the payment of Israeli, U.S. federal, state or other taxes,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52"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16" w:name="page17"/>
    <w:bookmarkEnd w:id="16"/>
    <w:p>
      <w:pPr>
        <w:ind w:left="-395" w:right="20" w:firstLine="395"/>
        <w:spacing w:after="0" w:line="291" w:lineRule="auto"/>
        <w:tabs>
          <w:tab w:leader="none" w:pos="561"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Patents and Trademarks</w:t>
      </w:r>
      <w:r>
        <w:rPr>
          <w:rFonts w:ascii="Arial" w:cs="Arial" w:eastAsia="Arial" w:hAnsi="Arial"/>
          <w:sz w:val="14"/>
          <w:szCs w:val="14"/>
          <w:color w:val="auto"/>
        </w:rPr>
        <w:t>. To the knowledge of the Company, the Company and the Subsidiaries own, or have legally enforceable rights to use, all patents, patent rights, patent applications, trademarks, trademark applications, service marks, trade names, copyrights, maskworks trade secrets, inventions, know-how, licenses and other similar rights necessary or material for use in connection with their respective businesses as described in the Disclosure Materials and which the failure to so have could have a Material Adverse Effect (collectively, the “</w:t>
      </w:r>
      <w:r>
        <w:rPr>
          <w:rFonts w:ascii="Arial" w:cs="Arial" w:eastAsia="Arial" w:hAnsi="Arial"/>
          <w:sz w:val="14"/>
          <w:szCs w:val="14"/>
          <w:u w:val="single" w:color="auto"/>
          <w:color w:val="auto"/>
        </w:rPr>
        <w:t>Intellectual Property Rights</w:t>
      </w:r>
      <w:r>
        <w:rPr>
          <w:rFonts w:ascii="Arial" w:cs="Arial" w:eastAsia="Arial" w:hAnsi="Arial"/>
          <w:sz w:val="14"/>
          <w:szCs w:val="14"/>
          <w:color w:val="auto"/>
        </w:rPr>
        <w:t>”). Neither the Company nor any Subsidiary has received a written notice that has not been revoked or has knowledge that the Intellectual Property Rights used by the Company or any Subsidiary violates or infringes, or allegedly violates or allegedly infringes, upon the rights of any Person. To the knowledge of the Company, all such Intellectual Property Rights are enforceable and there is no existing infringement by another Person of any of the Intellectual Property Rights of others. The Company and its Subsidiaries have taken reasonable security measures to protect the secrecy, confidentiality and value of all of Intellectual Property Rights, except where failure to do so could not, individually or in the aggregate, reasonably be expected to have a Material Adverse Effect.</w:t>
      </w:r>
    </w:p>
    <w:p>
      <w:pPr>
        <w:spacing w:after="0" w:line="96" w:lineRule="exact"/>
        <w:rPr>
          <w:rFonts w:ascii="Arial" w:cs="Arial" w:eastAsia="Arial" w:hAnsi="Arial"/>
          <w:sz w:val="14"/>
          <w:szCs w:val="14"/>
          <w:color w:val="auto"/>
        </w:rPr>
      </w:pPr>
    </w:p>
    <w:p>
      <w:pPr>
        <w:ind w:left="-395" w:right="40" w:firstLine="395"/>
        <w:spacing w:after="0" w:line="252" w:lineRule="auto"/>
        <w:tabs>
          <w:tab w:leader="none" w:pos="561"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To the best knowledge of the Company, such insurance contracts and policies are accurate and complete.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19" w:lineRule="exact"/>
        <w:rPr>
          <w:rFonts w:ascii="Arial" w:cs="Arial" w:eastAsia="Arial" w:hAnsi="Arial"/>
          <w:sz w:val="16"/>
          <w:szCs w:val="16"/>
          <w:color w:val="auto"/>
        </w:rPr>
      </w:pPr>
    </w:p>
    <w:p>
      <w:pPr>
        <w:ind w:left="-395" w:firstLine="395"/>
        <w:spacing w:after="0" w:line="290" w:lineRule="auto"/>
        <w:tabs>
          <w:tab w:leader="none" w:pos="599"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Transactions With Affiliates and Employees</w:t>
      </w:r>
      <w:r>
        <w:rPr>
          <w:rFonts w:ascii="Arial" w:cs="Arial" w:eastAsia="Arial" w:hAnsi="Arial"/>
          <w:sz w:val="14"/>
          <w:szCs w:val="14"/>
          <w:color w:val="auto"/>
        </w:rPr>
        <w:t>. Except as set forth in the Disclosure Materials, none of the officers or directors of the Company and, to the knowledge of the Company, none of the employees of the Company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any entity in which any officer, director, or any such employee has a substantial interest or is an officer, director, trustee or partner, in each case in excess of $120,000 other than (i) for payment of salary, director fees or consulting fees for services rendered, (ii) reimbursement for expenses incurred on behalf of the Company, (iii) Foundry Agreements entered into in 2000 and/or 2001 with the Company’s “Wafer Partners”, and (iv) for other employee benefits, including reasonable severance pay and stock option agreements under any stock option plan of the Company or bonuses. Except as described above or in the Disclosure Materials, none of the officers, directors or, to the best of the Company’s knowledge, key employees or stockholders of the Company or any members of their immediate families, are indebted to the Company or any Subsidiary, individually in excess of $120,000. Except as set forth in the Disclosure Materials, the Company is not a guarantor or indemnitor of any indebtedness of any other person, firm or corporation.</w:t>
      </w:r>
    </w:p>
    <w:p>
      <w:pPr>
        <w:spacing w:after="0" w:line="154" w:lineRule="exact"/>
        <w:rPr>
          <w:sz w:val="20"/>
          <w:szCs w:val="20"/>
          <w:color w:val="auto"/>
        </w:rPr>
      </w:pPr>
    </w:p>
    <w:p>
      <w:pPr>
        <w:ind w:left="4685"/>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104775</wp:posOffset>
            </wp:positionV>
            <wp:extent cx="728281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485"/>
          </w:cols>
          <w:pgMar w:left="1195" w:top="144" w:right="219" w:bottom="1440" w:gutter="0" w:footer="0" w:header="0"/>
        </w:sectPr>
      </w:pPr>
    </w:p>
    <w:bookmarkStart w:id="17" w:name="page18"/>
    <w:bookmarkEnd w:id="17"/>
    <w:p>
      <w:pPr>
        <w:ind w:left="-395" w:firstLine="395"/>
        <w:spacing w:after="0" w:line="288" w:lineRule="auto"/>
        <w:tabs>
          <w:tab w:leader="none" w:pos="535"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Sarbanes-Oxley; Internal Accounting Controls</w:t>
      </w:r>
      <w:r>
        <w:rPr>
          <w:rFonts w:ascii="Arial" w:cs="Arial" w:eastAsia="Arial" w:hAnsi="Arial"/>
          <w:sz w:val="14"/>
          <w:szCs w:val="14"/>
          <w:color w:val="auto"/>
        </w:rPr>
        <w:t>. The Company is in material compliance with all provisions of the Sarbanes-Oxley Act of 2002 which are applicable to it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Company’s disclosure controls and procedures as of the end of the period covered by the Company’s most recently filed periodic report under the Exchange Act (such date, the “</w:t>
      </w:r>
      <w:r>
        <w:rPr>
          <w:rFonts w:ascii="Arial" w:cs="Arial" w:eastAsia="Arial" w:hAnsi="Arial"/>
          <w:sz w:val="14"/>
          <w:szCs w:val="14"/>
          <w:u w:val="single" w:color="auto"/>
          <w:color w:val="auto"/>
        </w:rPr>
        <w:t>Evaluation Date</w:t>
      </w:r>
      <w:r>
        <w:rPr>
          <w:rFonts w:ascii="Arial" w:cs="Arial" w:eastAsia="Arial" w:hAnsi="Arial"/>
          <w:sz w:val="14"/>
          <w:szCs w:val="14"/>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Company’s internal control over financial reporting (as such term is defined in the Exchange Act) that has materially affected, or is reasonably likely to materially affect, the Company’s internal control over financial reporting, and no significant deficiencies or material weaknesses in internal controls over financial reporting, or other factors that could significantly affect the Company’s internal controls over financial reporting, have been identified.</w:t>
      </w:r>
    </w:p>
    <w:p>
      <w:pPr>
        <w:spacing w:after="0" w:line="97" w:lineRule="exact"/>
        <w:rPr>
          <w:rFonts w:ascii="Arial" w:cs="Arial" w:eastAsia="Arial" w:hAnsi="Arial"/>
          <w:sz w:val="14"/>
          <w:szCs w:val="14"/>
          <w:color w:val="auto"/>
        </w:rPr>
      </w:pPr>
    </w:p>
    <w:p>
      <w:pPr>
        <w:ind w:left="-395" w:right="20" w:firstLine="395"/>
        <w:spacing w:after="0" w:line="301" w:lineRule="auto"/>
        <w:tabs>
          <w:tab w:leader="none" w:pos="543"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Certain Fees</w:t>
      </w:r>
      <w:r>
        <w:rPr>
          <w:rFonts w:ascii="Arial" w:cs="Arial" w:eastAsia="Arial" w:hAnsi="Arial"/>
          <w:sz w:val="14"/>
          <w:szCs w:val="14"/>
          <w:color w:val="auto"/>
        </w:rPr>
        <w:t xml:space="preserve">. Except as disclosed on </w:t>
      </w:r>
      <w:r>
        <w:rPr>
          <w:rFonts w:ascii="Arial" w:cs="Arial" w:eastAsia="Arial" w:hAnsi="Arial"/>
          <w:sz w:val="14"/>
          <w:szCs w:val="14"/>
          <w:u w:val="single" w:color="auto"/>
          <w:color w:val="auto"/>
        </w:rPr>
        <w:t>Schedule 3.1(s)</w:t>
      </w:r>
      <w:r>
        <w:rPr>
          <w:rFonts w:ascii="Arial" w:cs="Arial" w:eastAsia="Arial" w:hAnsi="Arial"/>
          <w:sz w:val="14"/>
          <w:szCs w:val="14"/>
          <w:color w:val="auto"/>
        </w:rPr>
        <w:t>, no brokerage or finder’s fees or commissions are or will be payable by the Company to any broker, financial advisor or consultant, finder, placement agent, investment banker, bank or other Person with respect to the transactions contemplated by the Transaction Documents. Except for fees incurred by the Purchasers, the Purchasers shall have no obligation with respect to any fees or with respect to any claims made by or on behalf of other Persons for fees as contemplated in this Section that may be due in connection with the transactions contemplated by the Transaction Documents.</w:t>
      </w:r>
    </w:p>
    <w:p>
      <w:pPr>
        <w:spacing w:after="0" w:line="86" w:lineRule="exact"/>
        <w:rPr>
          <w:rFonts w:ascii="Arial" w:cs="Arial" w:eastAsia="Arial" w:hAnsi="Arial"/>
          <w:sz w:val="14"/>
          <w:szCs w:val="14"/>
          <w:color w:val="auto"/>
        </w:rPr>
      </w:pPr>
    </w:p>
    <w:p>
      <w:pPr>
        <w:ind w:left="-395" w:right="180" w:firstLine="395"/>
        <w:spacing w:after="0" w:line="301" w:lineRule="auto"/>
        <w:tabs>
          <w:tab w:leader="none" w:pos="526"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Private Placement</w:t>
      </w:r>
      <w:r>
        <w:rPr>
          <w:rFonts w:ascii="Arial" w:cs="Arial" w:eastAsia="Arial" w:hAnsi="Arial"/>
          <w:sz w:val="14"/>
          <w:szCs w:val="14"/>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 The Company has not distributed and will not distribute prior to the Closing Date any offering material in connection with this offering and sale of the Securities other than the documents of which this Agreement is a part or the SEC Reports.</w:t>
      </w:r>
    </w:p>
    <w:p>
      <w:pPr>
        <w:spacing w:after="0" w:line="146" w:lineRule="exact"/>
        <w:rPr>
          <w:sz w:val="20"/>
          <w:szCs w:val="20"/>
          <w:color w:val="auto"/>
        </w:rPr>
      </w:pPr>
    </w:p>
    <w:p>
      <w:pPr>
        <w:ind w:left="4685"/>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104775</wp:posOffset>
            </wp:positionV>
            <wp:extent cx="7282815" cy="35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485"/>
          </w:cols>
          <w:pgMar w:left="1195" w:top="144" w:right="219" w:bottom="1440" w:gutter="0" w:footer="0" w:header="0"/>
        </w:sectPr>
      </w:pPr>
    </w:p>
    <w:bookmarkStart w:id="18" w:name="page19"/>
    <w:bookmarkEnd w:id="18"/>
    <w:p>
      <w:pPr>
        <w:jc w:val="both"/>
        <w:ind w:firstLine="395"/>
        <w:spacing w:after="0" w:line="256" w:lineRule="auto"/>
        <w:tabs>
          <w:tab w:leader="none" w:pos="95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Investment Company</w:t>
      </w:r>
      <w:r>
        <w:rPr>
          <w:rFonts w:ascii="Arial" w:cs="Arial" w:eastAsia="Arial" w:hAnsi="Arial"/>
          <w:sz w:val="16"/>
          <w:szCs w:val="16"/>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subject to the Investment Company Act.</w:t>
      </w:r>
    </w:p>
    <w:p>
      <w:pPr>
        <w:spacing w:after="0" w:line="114" w:lineRule="exact"/>
        <w:rPr>
          <w:rFonts w:ascii="Arial" w:cs="Arial" w:eastAsia="Arial" w:hAnsi="Arial"/>
          <w:sz w:val="16"/>
          <w:szCs w:val="16"/>
          <w:color w:val="auto"/>
        </w:rPr>
      </w:pPr>
    </w:p>
    <w:p>
      <w:pPr>
        <w:ind w:right="140" w:firstLine="395"/>
        <w:spacing w:after="0" w:line="256" w:lineRule="auto"/>
        <w:tabs>
          <w:tab w:leader="none" w:pos="95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Except as disclosed on Schedule 6(b) to the Registration Rights Agreement, other than each of the Purchasers and any registered broker-dealer receiving compensation in the form of equity in connection with the transactions contemplated by this Agreement, no Person has any right to cause the Company to effect the registration under the Securities Act of any securities of the Company.</w:t>
      </w:r>
    </w:p>
    <w:p>
      <w:pPr>
        <w:spacing w:after="0" w:line="114" w:lineRule="exact"/>
        <w:rPr>
          <w:rFonts w:ascii="Arial" w:cs="Arial" w:eastAsia="Arial" w:hAnsi="Arial"/>
          <w:sz w:val="16"/>
          <w:szCs w:val="16"/>
          <w:color w:val="auto"/>
        </w:rPr>
      </w:pPr>
    </w:p>
    <w:p>
      <w:pPr>
        <w:ind w:firstLine="395"/>
        <w:spacing w:after="0" w:line="294" w:lineRule="auto"/>
        <w:tabs>
          <w:tab w:leader="none" w:pos="990"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Listing and Maintenance Requirements</w:t>
      </w:r>
      <w:r>
        <w:rPr>
          <w:rFonts w:ascii="Arial" w:cs="Arial" w:eastAsia="Arial" w:hAnsi="Arial"/>
          <w:sz w:val="14"/>
          <w:szCs w:val="14"/>
          <w:color w:val="auto"/>
        </w:rPr>
        <w:t>. The Company’s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disclosed on Form 6-K filed by the Company on November 1, 2006 and February 12, 2007,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p>
    <w:p>
      <w:pPr>
        <w:spacing w:after="0" w:line="92" w:lineRule="exact"/>
        <w:rPr>
          <w:rFonts w:ascii="Arial" w:cs="Arial" w:eastAsia="Arial" w:hAnsi="Arial"/>
          <w:sz w:val="14"/>
          <w:szCs w:val="14"/>
          <w:color w:val="auto"/>
        </w:rPr>
      </w:pPr>
    </w:p>
    <w:p>
      <w:pPr>
        <w:ind w:firstLine="395"/>
        <w:spacing w:after="0" w:line="297" w:lineRule="auto"/>
        <w:tabs>
          <w:tab w:leader="none" w:pos="956"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Application of Takeover Protections</w:t>
      </w:r>
      <w:r>
        <w:rPr>
          <w:rFonts w:ascii="Arial" w:cs="Arial" w:eastAsia="Arial" w:hAnsi="Arial"/>
          <w:sz w:val="14"/>
          <w:szCs w:val="14"/>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jurisdiction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89" w:lineRule="exact"/>
        <w:rPr>
          <w:rFonts w:ascii="Arial" w:cs="Arial" w:eastAsia="Arial" w:hAnsi="Arial"/>
          <w:sz w:val="14"/>
          <w:szCs w:val="14"/>
          <w:color w:val="auto"/>
        </w:rPr>
      </w:pPr>
    </w:p>
    <w:p>
      <w:pPr>
        <w:ind w:right="80" w:firstLine="395"/>
        <w:spacing w:after="0" w:line="291" w:lineRule="auto"/>
        <w:tabs>
          <w:tab w:leader="none" w:pos="956"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Disclosure</w:t>
      </w:r>
      <w:r>
        <w:rPr>
          <w:rFonts w:ascii="Arial" w:cs="Arial" w:eastAsia="Arial" w:hAnsi="Arial"/>
          <w:sz w:val="14"/>
          <w:szCs w:val="14"/>
          <w:color w:val="auto"/>
        </w:rPr>
        <w:t>. Except with respect to the material terms and conditions of the transactions contemplated by the Transaction Documents, the Company confirms that, neither it nor to the knowledge of the Company any other Person acting on its behalf has provided any of the Purchasers or their agents or counsel with any information that constitutes or might constitute material, non-public information. The Company understands and confirms that the Purchasers will rely on the foregoing representation in effecting transactions in securities of the Company. All disclosure furnished by or on behalf of the Company to the Purchasers regarding the Company, its business and the transactions contemplated hereby, including the Disclosure Schedules to this Agreement, with respect to the representations and warranties made herein, together with the Disclosure Materials, when taken as whole, are true and correct with respect to such representations and warranties and do not contain any untrue statement of a material fact or omit to state any material fact necessary in order to make the statements made therein, in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51"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40"/>
          </w:cols>
          <w:pgMar w:left="800" w:top="144" w:right="259" w:bottom="1440" w:gutter="0" w:footer="0" w:header="0"/>
        </w:sectPr>
      </w:pPr>
    </w:p>
    <w:bookmarkStart w:id="19" w:name="page20"/>
    <w:bookmarkEnd w:id="19"/>
    <w:p>
      <w:pPr>
        <w:ind w:left="-395" w:right="160" w:firstLine="395"/>
        <w:spacing w:after="0" w:line="301" w:lineRule="auto"/>
        <w:tabs>
          <w:tab w:leader="none" w:pos="552"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No Integrated Offering</w:t>
      </w:r>
      <w:r>
        <w:rPr>
          <w:rFonts w:ascii="Arial" w:cs="Arial" w:eastAsia="Arial" w:hAnsi="Arial"/>
          <w:sz w:val="14"/>
          <w:szCs w:val="14"/>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Securities Act or any applicable shareholder approval provisions of any Trading Market on which any of the securities of the Company are listed or designated.</w:t>
      </w:r>
    </w:p>
    <w:p>
      <w:pPr>
        <w:spacing w:after="0" w:line="87" w:lineRule="exact"/>
        <w:rPr>
          <w:sz w:val="20"/>
          <w:szCs w:val="20"/>
          <w:color w:val="auto"/>
        </w:rPr>
      </w:pPr>
    </w:p>
    <w:p>
      <w:pPr>
        <w:jc w:val="both"/>
        <w:ind w:left="-395" w:firstLine="395"/>
        <w:spacing w:after="0" w:line="310" w:lineRule="auto"/>
        <w:tabs>
          <w:tab w:leader="none" w:pos="543"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Solvency</w:t>
      </w:r>
      <w:r>
        <w:rPr>
          <w:rFonts w:ascii="Arial" w:cs="Arial" w:eastAsia="Arial" w:hAnsi="Arial"/>
          <w:sz w:val="14"/>
          <w:szCs w:val="14"/>
          <w:color w:val="auto"/>
        </w:rPr>
        <w:t>. Other than as disclosed in the Disclosure Materials, the Company has no knowledge of any facts or circumstances which lead it to believe that it will file for reorganization or liquidation under the bankruptcy or reorganization laws of any jurisdiction within one year from the Closing Date. The Disclosure Materials reflect as of the dates thereof all outstanding secured and unsecured indebtedness of the Company or any Subsidiary, or for which the Company or any Subsidiary has commitments.</w:t>
      </w:r>
    </w:p>
    <w:p>
      <w:pPr>
        <w:spacing w:after="0" w:line="79" w:lineRule="exact"/>
        <w:rPr>
          <w:rFonts w:ascii="Arial" w:cs="Arial" w:eastAsia="Arial" w:hAnsi="Arial"/>
          <w:sz w:val="14"/>
          <w:szCs w:val="14"/>
          <w:color w:val="auto"/>
        </w:rPr>
      </w:pPr>
    </w:p>
    <w:p>
      <w:pPr>
        <w:ind w:left="-395" w:right="180" w:firstLine="395"/>
        <w:spacing w:after="0" w:line="310" w:lineRule="auto"/>
        <w:tabs>
          <w:tab w:leader="none" w:pos="561"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Tax Status</w:t>
      </w:r>
      <w:r>
        <w:rPr>
          <w:rFonts w:ascii="Arial" w:cs="Arial" w:eastAsia="Arial" w:hAnsi="Arial"/>
          <w:sz w:val="14"/>
          <w:szCs w:val="14"/>
          <w:color w:val="auto"/>
        </w:rPr>
        <w:t>. Except for matters that would not, individually or in the aggregate, have or reasonably be expected to result in a Material Adverse Effect, the Company and each Subsidiary has filed all necessary federal, state and foreign income and franchise tax returns and has paid or accrued all taxes shown as due thereon, and the Company has no knowledge of a tax deficiency which has been asserted or threatened against the Company or any Subsidiary.</w:t>
      </w:r>
    </w:p>
    <w:p>
      <w:pPr>
        <w:spacing w:after="0" w:line="79" w:lineRule="exact"/>
        <w:rPr>
          <w:rFonts w:ascii="Arial" w:cs="Arial" w:eastAsia="Arial" w:hAnsi="Arial"/>
          <w:sz w:val="14"/>
          <w:szCs w:val="14"/>
          <w:color w:val="auto"/>
        </w:rPr>
      </w:pPr>
    </w:p>
    <w:p>
      <w:pPr>
        <w:jc w:val="both"/>
        <w:ind w:left="-395" w:right="40" w:firstLine="395"/>
        <w:spacing w:after="0" w:line="256" w:lineRule="auto"/>
        <w:tabs>
          <w:tab w:leader="none" w:pos="54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 General Solicitation</w:t>
      </w:r>
      <w:r>
        <w:rPr>
          <w:rFonts w:ascii="Arial" w:cs="Arial" w:eastAsia="Arial" w:hAnsi="Arial"/>
          <w:sz w:val="16"/>
          <w:szCs w:val="16"/>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14" w:lineRule="exact"/>
        <w:rPr>
          <w:rFonts w:ascii="Arial" w:cs="Arial" w:eastAsia="Arial" w:hAnsi="Arial"/>
          <w:sz w:val="16"/>
          <w:szCs w:val="16"/>
          <w:color w:val="auto"/>
        </w:rPr>
      </w:pPr>
    </w:p>
    <w:p>
      <w:pPr>
        <w:ind w:left="-395" w:firstLine="395"/>
        <w:spacing w:after="0" w:line="297" w:lineRule="auto"/>
        <w:tabs>
          <w:tab w:leader="none" w:pos="561"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auto"/>
        </w:rPr>
        <w:t>Foreign Corrupt Practices</w:t>
      </w:r>
      <w:r>
        <w:rPr>
          <w:rFonts w:ascii="Arial" w:cs="Arial" w:eastAsia="Arial" w:hAnsi="Arial"/>
          <w:sz w:val="14"/>
          <w:szCs w:val="14"/>
          <w:color w:val="auto"/>
        </w:rPr>
        <w:t>. Neither the Company, nor to the knowledge of the Company, any agent or other person acting on behalf of the Company,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made by any person acting on its behalf of which the Company is aware) which is in violation of law, or (iv) violated in any material respect any provision of the Foreign Corrupt Practices Act of 1977, as amended.</w:t>
      </w:r>
    </w:p>
    <w:p>
      <w:pPr>
        <w:spacing w:after="0" w:line="149" w:lineRule="exact"/>
        <w:rPr>
          <w:sz w:val="20"/>
          <w:szCs w:val="20"/>
          <w:color w:val="auto"/>
        </w:rPr>
      </w:pPr>
    </w:p>
    <w:p>
      <w:pPr>
        <w:ind w:left="4685"/>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104775</wp:posOffset>
            </wp:positionV>
            <wp:extent cx="728281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465"/>
          </w:cols>
          <w:pgMar w:left="1195" w:top="144" w:right="239" w:bottom="1440" w:gutter="0" w:footer="0" w:header="0"/>
        </w:sectPr>
      </w:pPr>
    </w:p>
    <w:bookmarkStart w:id="20" w:name="page21"/>
    <w:bookmarkEnd w:id="20"/>
    <w:p>
      <w:pPr>
        <w:ind w:right="60" w:firstLine="395"/>
        <w:spacing w:after="0" w:line="301" w:lineRule="auto"/>
        <w:tabs>
          <w:tab w:leader="none" w:pos="939" w:val="left"/>
        </w:tabs>
        <w:numPr>
          <w:ilvl w:val="0"/>
          <w:numId w:val="18"/>
        </w:numPr>
        <w:rPr>
          <w:rFonts w:ascii="Arial" w:cs="Arial" w:eastAsia="Arial" w:hAnsi="Arial"/>
          <w:sz w:val="14"/>
          <w:szCs w:val="14"/>
          <w:color w:val="auto"/>
        </w:rPr>
      </w:pPr>
      <w:r>
        <w:rPr>
          <w:rFonts w:ascii="Arial" w:cs="Arial" w:eastAsia="Arial" w:hAnsi="Arial"/>
          <w:sz w:val="14"/>
          <w:szCs w:val="14"/>
          <w:u w:val="single" w:color="auto"/>
          <w:color w:val="auto"/>
        </w:rPr>
        <w:t>Accountants</w:t>
      </w:r>
      <w:r>
        <w:rPr>
          <w:rFonts w:ascii="Arial" w:cs="Arial" w:eastAsia="Arial" w:hAnsi="Arial"/>
          <w:sz w:val="14"/>
          <w:szCs w:val="14"/>
          <w:color w:val="auto"/>
        </w:rPr>
        <w:t>. The Company’s accountants are Brightman Almagor &amp; Co. To the knowledge of the Company, such accountants, who the Company expects will express their opinion with respect to the financial statements to be included in the Company’s Annual Report on Form 20-F for the year ending December 31, 2006, are a registered public accounting firm as required by the Exchange Act and registered with the Public Company Accounting Oversight Board. The Company expects such accountants to consent to the inclusion of their opinion on such financial statements into the registration statement and the prospectus which forms a part thereof.</w:t>
      </w:r>
    </w:p>
    <w:p>
      <w:pPr>
        <w:spacing w:after="0" w:line="86" w:lineRule="exact"/>
        <w:rPr>
          <w:rFonts w:ascii="Arial" w:cs="Arial" w:eastAsia="Arial" w:hAnsi="Arial"/>
          <w:sz w:val="14"/>
          <w:szCs w:val="14"/>
          <w:color w:val="auto"/>
        </w:rPr>
      </w:pPr>
    </w:p>
    <w:p>
      <w:pPr>
        <w:ind w:right="220" w:firstLine="395"/>
        <w:spacing w:after="0" w:line="293" w:lineRule="auto"/>
        <w:tabs>
          <w:tab w:leader="none" w:pos="901" w:val="left"/>
        </w:tabs>
        <w:numPr>
          <w:ilvl w:val="0"/>
          <w:numId w:val="18"/>
        </w:numPr>
        <w:rPr>
          <w:rFonts w:ascii="Arial" w:cs="Arial" w:eastAsia="Arial" w:hAnsi="Arial"/>
          <w:sz w:val="14"/>
          <w:szCs w:val="14"/>
          <w:color w:val="auto"/>
        </w:rPr>
      </w:pPr>
      <w:r>
        <w:rPr>
          <w:rFonts w:ascii="Arial" w:cs="Arial" w:eastAsia="Arial" w:hAnsi="Arial"/>
          <w:sz w:val="14"/>
          <w:szCs w:val="14"/>
          <w:u w:val="single" w:color="auto"/>
          <w:color w:val="auto"/>
        </w:rPr>
        <w:t>Acknowledgment Regarding Purchasers’ Purchase of Securities</w:t>
      </w:r>
      <w:r>
        <w:rPr>
          <w:rFonts w:ascii="Arial" w:cs="Arial" w:eastAsia="Arial" w:hAnsi="Arial"/>
          <w:sz w:val="14"/>
          <w:szCs w:val="14"/>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91" w:lineRule="exact"/>
        <w:rPr>
          <w:rFonts w:ascii="Arial" w:cs="Arial" w:eastAsia="Arial" w:hAnsi="Arial"/>
          <w:sz w:val="14"/>
          <w:szCs w:val="14"/>
          <w:color w:val="auto"/>
        </w:rPr>
      </w:pPr>
    </w:p>
    <w:p>
      <w:pPr>
        <w:ind w:firstLine="395"/>
        <w:spacing w:after="0" w:line="290" w:lineRule="auto"/>
        <w:tabs>
          <w:tab w:leader="none" w:pos="956" w:val="left"/>
        </w:tabs>
        <w:numPr>
          <w:ilvl w:val="0"/>
          <w:numId w:val="18"/>
        </w:numPr>
        <w:rPr>
          <w:rFonts w:ascii="Arial" w:cs="Arial" w:eastAsia="Arial" w:hAnsi="Arial"/>
          <w:sz w:val="14"/>
          <w:szCs w:val="14"/>
          <w:color w:val="auto"/>
        </w:rPr>
      </w:pPr>
      <w:r>
        <w:rPr>
          <w:rFonts w:ascii="Arial" w:cs="Arial" w:eastAsia="Arial" w:hAnsi="Arial"/>
          <w:sz w:val="14"/>
          <w:szCs w:val="14"/>
          <w:u w:val="single" w:color="auto"/>
          <w:color w:val="auto"/>
        </w:rPr>
        <w:t>Acknowledgement Regarding Purchasers’ Trading Activity</w:t>
      </w:r>
      <w:r>
        <w:rPr>
          <w:rFonts w:ascii="Arial" w:cs="Arial" w:eastAsia="Arial" w:hAnsi="Arial"/>
          <w:sz w:val="14"/>
          <w:szCs w:val="14"/>
          <w:color w:val="auto"/>
        </w:rPr>
        <w:t>. Anything in this Agreement or elsewhere herein to the contrary notwithstanding (except for Section 4.14 hereof), it is understood and acknowledged by the Company (i) that none of the Purchasers have been asked to agree, nor has any Purchaser agreed, to hold the Securities for any specified term; (ii) that past or future open market or other transactions by any Purchaser, including Short Sales, and specifically including, without limitation, Short Sales or “derivative” transactions executed in compliance with applicable federal law, may negatively impact the market price of the Company’s publicly-traded securities; (iii) that any Purchaser, and counter-parties in “derivative” transactions to which any such Purchaser is a party, directly or indirectly, presently may have a “short” position in the Common Stock, and (iv) that each Purchaser shall not be deemed to have any affiliation with or control over any arm’s length, unaffiliated, counter-party in any “derivative” transaction. The Company further understands and acknowledges that (a) one or more Purchasers may engage in hedging activities at various times during the period that the Securities are outstanding, including, without limitation, during the periods that the value of the Warrant Shares deliverable with respect to Securities are being determined and (b)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84" w:lineRule="exact"/>
        <w:rPr>
          <w:rFonts w:ascii="Arial" w:cs="Arial" w:eastAsia="Arial" w:hAnsi="Arial"/>
          <w:sz w:val="14"/>
          <w:szCs w:val="14"/>
          <w:color w:val="auto"/>
        </w:rPr>
      </w:pPr>
    </w:p>
    <w:p>
      <w:pPr>
        <w:ind w:firstLine="395"/>
        <w:spacing w:after="0" w:line="252" w:lineRule="auto"/>
        <w:tabs>
          <w:tab w:leader="none" w:pos="95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Manipulation of Price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79"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21" w:name="page22"/>
    <w:bookmarkEnd w:id="21"/>
    <w:p>
      <w:pPr>
        <w:jc w:val="both"/>
        <w:ind w:right="100" w:firstLine="395"/>
        <w:spacing w:after="0" w:line="256" w:lineRule="auto"/>
        <w:tabs>
          <w:tab w:leader="none" w:pos="96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has never been, nor shall become while any Securities are held by any Purchasers, a U.S. real property holding corporation within the meaning of Section 897 of the Internal Revenue Code of 1986, as amended, and the Company shall so certify upon any Purchaser’s request.</w:t>
      </w:r>
    </w:p>
    <w:p>
      <w:pPr>
        <w:spacing w:after="0" w:line="114" w:lineRule="exact"/>
        <w:rPr>
          <w:rFonts w:ascii="Arial" w:cs="Arial" w:eastAsia="Arial" w:hAnsi="Arial"/>
          <w:sz w:val="16"/>
          <w:szCs w:val="16"/>
          <w:color w:val="auto"/>
        </w:rPr>
      </w:pPr>
    </w:p>
    <w:p>
      <w:pPr>
        <w:ind w:right="60" w:firstLine="395"/>
        <w:spacing w:after="0" w:line="297" w:lineRule="auto"/>
        <w:tabs>
          <w:tab w:leader="none" w:pos="965"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Taxes</w:t>
      </w:r>
      <w:r>
        <w:rPr>
          <w:rFonts w:ascii="Arial" w:cs="Arial" w:eastAsia="Arial" w:hAnsi="Arial"/>
          <w:sz w:val="14"/>
          <w:szCs w:val="14"/>
          <w:color w:val="auto"/>
        </w:rPr>
        <w:t>. No tax, levy, impost, duty, fee, assessment or other governmental charge or any deduction or withholding imposed by any governmental agency or authority in or of the State of Israel is payable by or on behalf of the Purchasers or any assignee of any of the Purchasers (i) as a result of the execution, delivery or performance by the Company of any of the Transaction Documents, including, but not limited to, the issuance by the Company of the Securities or (ii), with respect to any Purchaser who is a US person, who holds less than 10% of the Company’s issued and outstanding Common Stock and does not maintain a permanent establishment in Israel through which the Securities are held, any resale by the Purchasers of any of the Securities in accordance with the terms thereof and this Agreement.</w:t>
      </w:r>
    </w:p>
    <w:p>
      <w:pPr>
        <w:spacing w:after="0" w:line="89" w:lineRule="exact"/>
        <w:rPr>
          <w:rFonts w:ascii="Arial" w:cs="Arial" w:eastAsia="Arial" w:hAnsi="Arial"/>
          <w:sz w:val="14"/>
          <w:szCs w:val="14"/>
          <w:color w:val="auto"/>
        </w:rPr>
      </w:pPr>
    </w:p>
    <w:p>
      <w:pPr>
        <w:jc w:val="both"/>
        <w:ind w:right="80" w:firstLine="395"/>
        <w:spacing w:after="0" w:line="256" w:lineRule="auto"/>
        <w:tabs>
          <w:tab w:leader="none" w:pos="956"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Form F-3 Eligibility; Foreign Private Issuer Status</w:t>
      </w:r>
      <w:r>
        <w:rPr>
          <w:rFonts w:ascii="Arial" w:cs="Arial" w:eastAsia="Arial" w:hAnsi="Arial"/>
          <w:sz w:val="16"/>
          <w:szCs w:val="16"/>
          <w:color w:val="auto"/>
        </w:rPr>
        <w:t>. The Company is eligible to register the resale by the Purchasers of the shares of Common Stock acquired pursuant to the Transaction Documents on a regulation statement on Form F-3 under the Securities Act. The Company qualifies as a “foreign private issuer” as such term is defined in the Exchange Act.</w:t>
      </w:r>
    </w:p>
    <w:p>
      <w:pPr>
        <w:spacing w:after="0" w:line="114" w:lineRule="exact"/>
        <w:rPr>
          <w:rFonts w:ascii="Arial" w:cs="Arial" w:eastAsia="Arial" w:hAnsi="Arial"/>
          <w:sz w:val="16"/>
          <w:szCs w:val="16"/>
          <w:color w:val="auto"/>
        </w:rPr>
      </w:pPr>
    </w:p>
    <w:p>
      <w:pPr>
        <w:ind w:firstLine="395"/>
        <w:spacing w:after="0" w:line="297" w:lineRule="auto"/>
        <w:tabs>
          <w:tab w:leader="none" w:pos="965"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Embargoed Person</w:t>
      </w:r>
      <w:r>
        <w:rPr>
          <w:rFonts w:ascii="Arial" w:cs="Arial" w:eastAsia="Arial" w:hAnsi="Arial"/>
          <w:sz w:val="14"/>
          <w:szCs w:val="14"/>
          <w:color w:val="auto"/>
        </w:rPr>
        <w:t>. None of the funds or other assets of the Company shall constitute property of, or shall be beneficially owned, directly or indirectly, by any person subject to trade restrictions under United States law, including but not limited to, the International Emergency Economic Powers Act, 50 U.S.C. §1701 et seq., The Trading with the Enemy Act, 50 U.S.C. App. 1 et seq. and any Executive Orders or regulations promulgated under any such United States laws (each, an “</w:t>
      </w:r>
      <w:r>
        <w:rPr>
          <w:rFonts w:ascii="Arial" w:cs="Arial" w:eastAsia="Arial" w:hAnsi="Arial"/>
          <w:sz w:val="14"/>
          <w:szCs w:val="14"/>
          <w:u w:val="single" w:color="auto"/>
          <w:color w:val="auto"/>
        </w:rPr>
        <w:t>Embargoed</w:t>
      </w:r>
      <w:r>
        <w:rPr>
          <w:rFonts w:ascii="Arial" w:cs="Arial" w:eastAsia="Arial" w:hAnsi="Arial"/>
          <w:sz w:val="14"/>
          <w:szCs w:val="14"/>
          <w:color w:val="auto"/>
        </w:rPr>
        <w:t xml:space="preserve"> </w:t>
      </w:r>
      <w:r>
        <w:rPr>
          <w:rFonts w:ascii="Arial" w:cs="Arial" w:eastAsia="Arial" w:hAnsi="Arial"/>
          <w:sz w:val="14"/>
          <w:szCs w:val="14"/>
          <w:u w:val="single" w:color="auto"/>
          <w:color w:val="auto"/>
        </w:rPr>
        <w:t>Person</w:t>
      </w:r>
      <w:r>
        <w:rPr>
          <w:rFonts w:ascii="Arial" w:cs="Arial" w:eastAsia="Arial" w:hAnsi="Arial"/>
          <w:sz w:val="14"/>
          <w:szCs w:val="14"/>
          <w:color w:val="auto"/>
        </w:rPr>
        <w:t>”), with the result that the investments evidenced by the Securities are or would be in violation of law. None of the funds or other assets of the Company shall be derived from any unlawful activity with the result that the investments evidenced by the Securities are or would be in violation of law.</w:t>
      </w:r>
    </w:p>
    <w:p>
      <w:pPr>
        <w:spacing w:after="0" w:line="89" w:lineRule="exact"/>
        <w:rPr>
          <w:rFonts w:ascii="Arial" w:cs="Arial" w:eastAsia="Arial" w:hAnsi="Arial"/>
          <w:sz w:val="14"/>
          <w:szCs w:val="14"/>
          <w:color w:val="auto"/>
        </w:rPr>
      </w:pPr>
    </w:p>
    <w:p>
      <w:pPr>
        <w:ind w:firstLine="395"/>
        <w:spacing w:after="0" w:line="264" w:lineRule="auto"/>
        <w:tabs>
          <w:tab w:leader="none" w:pos="96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NASDAQ</w:t>
      </w:r>
      <w:r>
        <w:rPr>
          <w:rFonts w:ascii="Arial" w:cs="Arial" w:eastAsia="Arial" w:hAnsi="Arial"/>
          <w:sz w:val="16"/>
          <w:szCs w:val="16"/>
          <w:color w:val="auto"/>
        </w:rPr>
        <w:t>. With respect to the transactions contemplated hereby, the Company has satisfied the home country practice requirements of The NASDAQ Global Market pursuant to Rule 4350(a) of the NASDAQ Rules or has otherwise complied with the NASDAQ Rules.</w:t>
      </w:r>
    </w:p>
    <w:p>
      <w:pPr>
        <w:spacing w:after="0" w:line="168"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780"/>
          </w:cols>
          <w:pgMar w:left="800" w:top="144" w:right="319" w:bottom="1440" w:gutter="0" w:footer="0" w:header="0"/>
        </w:sectPr>
      </w:pPr>
    </w:p>
    <w:bookmarkStart w:id="22" w:name="page23"/>
    <w:bookmarkEnd w:id="22"/>
    <w:p>
      <w:pPr>
        <w:ind w:left="380"/>
        <w:spacing w:after="0"/>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Representations and Warranties of the Purchasers</w:t>
      </w:r>
      <w:r>
        <w:rPr>
          <w:rFonts w:ascii="Arial" w:cs="Arial" w:eastAsia="Arial" w:hAnsi="Arial"/>
          <w:sz w:val="14"/>
          <w:szCs w:val="14"/>
          <w:color w:val="auto"/>
        </w:rPr>
        <w:t>. Each Purchaser hereby, for itself and for no other Purchaser, represents and warrants as of the date hereof and as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Closing Date to the Company as follows:</w:t>
      </w:r>
    </w:p>
    <w:p>
      <w:pPr>
        <w:spacing w:after="0" w:line="204" w:lineRule="exact"/>
        <w:rPr>
          <w:sz w:val="20"/>
          <w:szCs w:val="20"/>
          <w:color w:val="auto"/>
        </w:rPr>
      </w:pPr>
    </w:p>
    <w:p>
      <w:pPr>
        <w:ind w:left="560" w:right="80" w:firstLine="395"/>
        <w:spacing w:after="0" w:line="291" w:lineRule="auto"/>
        <w:tabs>
          <w:tab w:leader="none" w:pos="1507"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Organization; Authority</w:t>
      </w:r>
      <w:r>
        <w:rPr>
          <w:rFonts w:ascii="Arial" w:cs="Arial" w:eastAsia="Arial" w:hAnsi="Arial"/>
          <w:sz w:val="14"/>
          <w:szCs w:val="14"/>
          <w:color w:val="auto"/>
        </w:rPr>
        <w:t>. Such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hereunder and thereunder. The execution, delivery and performance by such Purchaser of the transactions contemplated by this Agreement have been duly authorized by all necessary corporate or similar action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96" w:lineRule="exact"/>
        <w:rPr>
          <w:rFonts w:ascii="Arial" w:cs="Arial" w:eastAsia="Arial" w:hAnsi="Arial"/>
          <w:sz w:val="14"/>
          <w:szCs w:val="14"/>
          <w:color w:val="auto"/>
        </w:rPr>
      </w:pPr>
    </w:p>
    <w:p>
      <w:pPr>
        <w:ind w:left="560" w:firstLine="395"/>
        <w:spacing w:after="0" w:line="293" w:lineRule="auto"/>
        <w:tabs>
          <w:tab w:leader="none" w:pos="1516"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Own Account</w:t>
      </w:r>
      <w:r>
        <w:rPr>
          <w:rFonts w:ascii="Arial" w:cs="Arial" w:eastAsia="Arial" w:hAnsi="Arial"/>
          <w:sz w:val="14"/>
          <w:szCs w:val="14"/>
          <w:color w:val="auto"/>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(this representation and warranty not limiting such Purchaser’s right to sell the Securities or requiring the Securities to be held for any minimum period pursuant to the Registration Statement or otherwise in compliance with applicable federal and state securities laws) in violation of the Securities Act or any applicable state securities law. Such Purchaser is acquiring the Securities hereunder in the ordinary course of its business.</w:t>
      </w:r>
    </w:p>
    <w:p>
      <w:pPr>
        <w:spacing w:after="0" w:line="91" w:lineRule="exact"/>
        <w:rPr>
          <w:rFonts w:ascii="Arial" w:cs="Arial" w:eastAsia="Arial" w:hAnsi="Arial"/>
          <w:sz w:val="14"/>
          <w:szCs w:val="14"/>
          <w:color w:val="auto"/>
        </w:rPr>
      </w:pPr>
    </w:p>
    <w:p>
      <w:pPr>
        <w:ind w:left="560" w:firstLine="395"/>
        <w:spacing w:after="0" w:line="301" w:lineRule="auto"/>
        <w:tabs>
          <w:tab w:leader="none" w:pos="1507"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Purchaser Status</w:t>
      </w:r>
      <w:r>
        <w:rPr>
          <w:rFonts w:ascii="Arial" w:cs="Arial" w:eastAsia="Arial" w:hAnsi="Arial"/>
          <w:sz w:val="14"/>
          <w:szCs w:val="14"/>
          <w:color w:val="auto"/>
        </w:rPr>
        <w:t>. At the time such Purchaser was offered the Securities, it was, and at the date hereof it is, and on each date on which it exercises any Warrants, it will be either: (i) an “accredited investor” as defined in Rule 501(a)(1), (a)(2), (a)(3), (a)(7) or (a)(8) under the Securities Act or (ii) a “qualified institutional buyer” as defined in Rule 144A(a) under the Securities Act. No Purchaser is resident of or organized under the laws of a state that either (a) is at war with the State of Israel or (b) has been declared by the Israel Minister of Defense as a state “hostile” to Israel. No Purchaser is a resident of or organized under the laws of the State of Israel.</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 w:name="page24"/>
    <w:bookmarkEnd w:id="23"/>
    <w:p>
      <w:pPr>
        <w:ind w:right="60" w:firstLine="395"/>
        <w:spacing w:after="0" w:line="343" w:lineRule="auto"/>
        <w:tabs>
          <w:tab w:leader="none" w:pos="956" w:val="left"/>
        </w:tabs>
        <w:numPr>
          <w:ilvl w:val="0"/>
          <w:numId w:val="21"/>
        </w:numPr>
        <w:rPr>
          <w:rFonts w:ascii="Arial" w:cs="Arial" w:eastAsia="Arial" w:hAnsi="Arial"/>
          <w:sz w:val="13"/>
          <w:szCs w:val="13"/>
          <w:color w:val="auto"/>
        </w:rPr>
      </w:pPr>
      <w:r>
        <w:rPr>
          <w:rFonts w:ascii="Arial" w:cs="Arial" w:eastAsia="Arial" w:hAnsi="Arial"/>
          <w:sz w:val="13"/>
          <w:szCs w:val="13"/>
          <w:u w:val="single" w:color="auto"/>
          <w:color w:val="auto"/>
        </w:rPr>
        <w:t>Experience of Such Purchaser</w:t>
      </w:r>
      <w:r>
        <w:rPr>
          <w:rFonts w:ascii="Arial" w:cs="Arial" w:eastAsia="Arial" w:hAnsi="Arial"/>
          <w:sz w:val="13"/>
          <w:szCs w:val="13"/>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62" w:lineRule="exact"/>
        <w:rPr>
          <w:rFonts w:ascii="Arial" w:cs="Arial" w:eastAsia="Arial" w:hAnsi="Arial"/>
          <w:sz w:val="13"/>
          <w:szCs w:val="13"/>
          <w:color w:val="auto"/>
        </w:rPr>
      </w:pPr>
    </w:p>
    <w:p>
      <w:pPr>
        <w:ind w:right="120" w:firstLine="395"/>
        <w:spacing w:after="0" w:line="256" w:lineRule="auto"/>
        <w:tabs>
          <w:tab w:leader="none" w:pos="947"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General Solicitation</w:t>
      </w:r>
      <w:r>
        <w:rPr>
          <w:rFonts w:ascii="Arial" w:cs="Arial" w:eastAsia="Arial" w:hAnsi="Arial"/>
          <w:sz w:val="16"/>
          <w:szCs w:val="16"/>
          <w:color w:val="auto"/>
        </w:rPr>
        <w:t>. Such Purchaser is not purchasing the Securities as a result of any advertisement, article, notice or other communication regarding the Securities published in any newspaper, magazine or similar media, broadcast over television or radio, disseminated over the Internet or presented at any seminar or any other general solicitation or general advertisement.</w:t>
      </w:r>
    </w:p>
    <w:p>
      <w:pPr>
        <w:spacing w:after="0" w:line="114" w:lineRule="exact"/>
        <w:rPr>
          <w:rFonts w:ascii="Arial" w:cs="Arial" w:eastAsia="Arial" w:hAnsi="Arial"/>
          <w:sz w:val="16"/>
          <w:szCs w:val="16"/>
          <w:color w:val="auto"/>
        </w:rPr>
      </w:pPr>
    </w:p>
    <w:p>
      <w:pPr>
        <w:ind w:right="40" w:firstLine="395"/>
        <w:spacing w:after="0" w:line="291" w:lineRule="auto"/>
        <w:tabs>
          <w:tab w:leader="none" w:pos="930"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Short Sales and Confidentiality Prior To The Date Hereof</w:t>
      </w:r>
      <w:r>
        <w:rPr>
          <w:rFonts w:ascii="Arial" w:cs="Arial" w:eastAsia="Arial" w:hAnsi="Arial"/>
          <w:sz w:val="14"/>
          <w:szCs w:val="14"/>
          <w:color w:val="auto"/>
        </w:rPr>
        <w:t>. Other than the transaction contemplated hereunder, such Purchaser has not directly or indirectly, nor has any Person acting on behalf of or pursuant to any understanding with such Purchaser, executed any disposition, including Short Sales, in the securities of the Company during the period commencing from the time that such Purchaser was first informed (either written or orally) of the transactions contemplated hereunder until the date hereof and through the Closing Date (“</w:t>
      </w:r>
      <w:r>
        <w:rPr>
          <w:rFonts w:ascii="Arial" w:cs="Arial" w:eastAsia="Arial" w:hAnsi="Arial"/>
          <w:sz w:val="14"/>
          <w:szCs w:val="14"/>
          <w:u w:val="single" w:color="auto"/>
          <w:color w:val="auto"/>
        </w:rPr>
        <w:t>Discussion Time</w:t>
      </w:r>
      <w:r>
        <w:rPr>
          <w:rFonts w:ascii="Arial" w:cs="Arial" w:eastAsia="Arial" w:hAnsi="Arial"/>
          <w:sz w:val="14"/>
          <w:szCs w:val="14"/>
          <w:color w:val="auto"/>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such Purchaser has maintained the confidentiality of all disclosures made to it in connection with this transaction (including the existence and terms of this transaction).</w:t>
      </w:r>
    </w:p>
    <w:p>
      <w:pPr>
        <w:spacing w:after="0" w:line="96" w:lineRule="exact"/>
        <w:rPr>
          <w:rFonts w:ascii="Arial" w:cs="Arial" w:eastAsia="Arial" w:hAnsi="Arial"/>
          <w:sz w:val="14"/>
          <w:szCs w:val="14"/>
          <w:color w:val="auto"/>
        </w:rPr>
      </w:pPr>
    </w:p>
    <w:p>
      <w:pPr>
        <w:ind w:firstLine="395"/>
        <w:spacing w:after="0" w:line="293" w:lineRule="auto"/>
        <w:tabs>
          <w:tab w:leader="none" w:pos="956"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Access to Information</w:t>
      </w:r>
      <w:r>
        <w:rPr>
          <w:rFonts w:ascii="Arial" w:cs="Arial" w:eastAsia="Arial" w:hAnsi="Arial"/>
          <w:sz w:val="14"/>
          <w:szCs w:val="14"/>
          <w:color w:val="auto"/>
        </w:rPr>
        <w:t>. Each Purchaser acknowledges that it has reviewed the Disclosure Materials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the Subsidiaries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investigation conducted by or on behalf of each Purchaser or its representatives or counsel shall modify, amend or affect such Purchaser’s right to rely on the truth, accuracy and completeness of the Disclosure Materials and the Company’s representations and warranties contained in the Transaction Documents.</w:t>
      </w:r>
    </w:p>
    <w:p>
      <w:pPr>
        <w:spacing w:after="0" w:line="151"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24" w:name="page25"/>
    <w:bookmarkEnd w:id="24"/>
    <w:p>
      <w:pPr>
        <w:ind w:right="60" w:firstLine="395"/>
        <w:spacing w:after="0" w:line="301" w:lineRule="auto"/>
        <w:tabs>
          <w:tab w:leader="none" w:pos="956"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Independent Investment Decision</w:t>
      </w:r>
      <w:r>
        <w:rPr>
          <w:rFonts w:ascii="Arial" w:cs="Arial" w:eastAsia="Arial" w:hAnsi="Arial"/>
          <w:sz w:val="14"/>
          <w:szCs w:val="14"/>
          <w:color w:val="auto"/>
        </w:rPr>
        <w:t>. Each Purchaser has independently evaluated the merits of its decision to purchase Securities pursuant to this Agreement, such decision has been independently made by such Purchaser and such Purchaser confirms that it has only relied on the advice of its own business and/or legal counsel and not on the advice of any other Purchaser’s business and/or legal counsel, or the Company’s legal counsel, in making such decision. Each Purchaser has not relied on the truth, accuracy or completeness of the statements contained in any research report concerning the Company that was prepared by an investment banking firm.</w:t>
      </w:r>
    </w:p>
    <w:p>
      <w:pPr>
        <w:spacing w:after="0" w:line="86" w:lineRule="exact"/>
        <w:rPr>
          <w:rFonts w:ascii="Arial" w:cs="Arial" w:eastAsia="Arial" w:hAnsi="Arial"/>
          <w:sz w:val="14"/>
          <w:szCs w:val="14"/>
          <w:color w:val="auto"/>
        </w:rPr>
      </w:pPr>
    </w:p>
    <w:p>
      <w:pPr>
        <w:ind w:firstLine="395"/>
        <w:spacing w:after="0" w:line="310" w:lineRule="auto"/>
        <w:tabs>
          <w:tab w:leader="none" w:pos="922"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Reliance</w:t>
      </w:r>
      <w:r>
        <w:rPr>
          <w:rFonts w:ascii="Arial" w:cs="Arial" w:eastAsia="Arial" w:hAnsi="Arial"/>
          <w:sz w:val="14"/>
          <w:szCs w:val="14"/>
          <w:color w:val="auto"/>
        </w:rPr>
        <w:t>. Each Purchaser understands and acknowledges that: (i) the Securities are being offered and sold to it without registration under the Securities Act in a private placement that is exempt from the registration provisions of the Securities Act and (ii) the availability of such exemption depends in part on, and the Company will rely upon the accuracy and truthfulness of, the foregoing representations and such Investor hereby consents to such reliance.</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ARTICLE IV.</w:t>
      </w:r>
    </w:p>
    <w:p>
      <w:pPr>
        <w:spacing w:after="0" w:line="12"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OTHER AGREEMENTS OF THE PARTIES</w:t>
      </w:r>
    </w:p>
    <w:p>
      <w:pPr>
        <w:spacing w:after="0" w:line="204" w:lineRule="exact"/>
        <w:rPr>
          <w:sz w:val="20"/>
          <w:szCs w:val="20"/>
          <w:color w:val="auto"/>
        </w:rPr>
      </w:pPr>
    </w:p>
    <w:p>
      <w:pPr>
        <w:ind w:right="40" w:firstLine="194"/>
        <w:spacing w:after="0" w:line="293"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Transfer Restrictions</w:t>
      </w:r>
      <w:r>
        <w:rPr>
          <w:rFonts w:ascii="Arial" w:cs="Arial" w:eastAsia="Arial" w:hAnsi="Arial"/>
          <w:sz w:val="14"/>
          <w:szCs w:val="14"/>
          <w:color w:val="auto"/>
        </w:rPr>
        <w:t>. The Securities may only be disposed of in compliance with state and federal securities laws and Israeli securities laws. In connection with any transfer of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and that Company’s counsel provide the Company with an opinion to the effect that such transfer does not require registration of such transferred securities under Israeli securities laws. As a condition of transfer, any such transferee shall agree in writing to be bound by the terms of this Agreement and shall have the rights of a Purchaser under this Agreement and the Registration Rights Agreement.</w:t>
      </w:r>
    </w:p>
    <w:p>
      <w:pPr>
        <w:spacing w:after="0" w:line="91" w:lineRule="exact"/>
        <w:rPr>
          <w:sz w:val="20"/>
          <w:szCs w:val="20"/>
          <w:color w:val="auto"/>
        </w:rPr>
      </w:pPr>
    </w:p>
    <w:p>
      <w:pPr>
        <w:ind w:left="960" w:hanging="565"/>
        <w:spacing w:after="0"/>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Purchasers agree to the imprinting, so long as is required by this Section 4.1, of a legend on any of the Securities in the following form:</w:t>
      </w:r>
    </w:p>
    <w:p>
      <w:pPr>
        <w:spacing w:after="0" w:line="233" w:lineRule="exact"/>
        <w:rPr>
          <w:sz w:val="20"/>
          <w:szCs w:val="20"/>
          <w:color w:val="auto"/>
        </w:rPr>
      </w:pPr>
    </w:p>
    <w:p>
      <w:pPr>
        <w:ind w:left="580"/>
        <w:spacing w:after="0" w:line="291" w:lineRule="auto"/>
        <w:rPr>
          <w:sz w:val="20"/>
          <w:szCs w:val="20"/>
          <w:color w:val="auto"/>
        </w:rPr>
      </w:pPr>
      <w:r>
        <w:rPr>
          <w:rFonts w:ascii="Arial" w:cs="Arial" w:eastAsia="Arial" w:hAnsi="Arial"/>
          <w:sz w:val="14"/>
          <w:szCs w:val="14"/>
          <w:color w:val="auto"/>
        </w:rPr>
        <w:t>THESE SECURITIES HAVE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THESE SECURITIES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51"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40"/>
          </w:cols>
          <w:pgMar w:left="800" w:top="144" w:right="259" w:bottom="1440" w:gutter="0" w:footer="0" w:header="0"/>
        </w:sectPr>
      </w:pPr>
    </w:p>
    <w:bookmarkStart w:id="25" w:name="page26"/>
    <w:bookmarkEnd w:id="25"/>
    <w:p>
      <w:pPr>
        <w:ind w:firstLine="385"/>
        <w:spacing w:after="0" w:line="289" w:lineRule="auto"/>
        <w:rPr>
          <w:sz w:val="20"/>
          <w:szCs w:val="20"/>
          <w:color w:val="auto"/>
        </w:rPr>
      </w:pPr>
      <w:r>
        <w:rPr>
          <w:rFonts w:ascii="Arial" w:cs="Arial" w:eastAsia="Arial" w:hAnsi="Arial"/>
          <w:sz w:val="14"/>
          <w:szCs w:val="14"/>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 to be bound by the provisions of this Agreement and the Registration Rights Agreement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but such legal opinion shall be required in connection with a subsequent transfer or foreclosure following default by the Purchaser transferee of the pledge. Further, no notice shall be required of such pledge.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 Each Purchaser acknowledges that the Company shall not be responsible for any pledges relating to, or the grant of any security interest in, any of the Securities or for any agreement, understanding or arrangement between any Purchaser and its pledgee or secured party.</w:t>
      </w:r>
    </w:p>
    <w:p>
      <w:pPr>
        <w:spacing w:after="0" w:line="15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740"/>
          </w:cols>
          <w:pgMar w:left="800" w:top="144" w:right="359" w:bottom="1440" w:gutter="0" w:footer="0" w:header="0"/>
        </w:sectPr>
      </w:pPr>
    </w:p>
    <w:bookmarkStart w:id="26" w:name="page27"/>
    <w:bookmarkEnd w:id="26"/>
    <w:p>
      <w:pPr>
        <w:ind w:left="-395" w:firstLine="395"/>
        <w:spacing w:after="0" w:line="286" w:lineRule="auto"/>
        <w:tabs>
          <w:tab w:leader="none" w:pos="5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Certificates evidencing the Shares and Warrant Shares shall not contain any legend (including the legend set forth in Section 4.1(b)), (i) while a registration statement (including the Registration Statement) covering the resale of such security is effective under the Securities Act, or (ii) following any sale of such Shares or Warrant Shares pursuant to Rule 144, or (iii) if such Shares or Warrant Shares are eligible for sale under Rule 144(k) (to the extent that the applicable Purchaser provides a certification or legal opinion to the Company to that effect), or (iv) if such legend is not required under applicable requirements of the Securities Act (including judicial interpretations and pronouncements issued by the staff of the Commission). The Company shall cause its counsel to issue a legal opinion to the Company’s transfer agent promptly after the Effective Date if required by the Company’s transfer agent to effect the removal of the legend hereunder. If all or any portion of a Warrant is exercised at a time when there is an effective registration statement to cover the resale of the Warrant Shares, such Warrant Shares shall be issued free of all legends. The Company agrees that following the Effective Date or at such time as such legend is no longer required under this Section 4.1(c), it will, no later than three Trading Days following the delivery by a Purchaser to the Company or the Company’s transfer agent of a certificate representing Shares or Warrant Shares, as the case may be, issued with a restrictive legend (endorsed or with stock powers attached, signatures guaranteed, and otherwise in form necessary to affect the reissuance and/or transfer) (such third Trading Day, the “</w:t>
      </w:r>
      <w:r>
        <w:rPr>
          <w:rFonts w:ascii="Arial" w:cs="Arial" w:eastAsia="Arial" w:hAnsi="Arial"/>
          <w:sz w:val="14"/>
          <w:szCs w:val="14"/>
          <w:u w:val="single" w:color="auto"/>
          <w:color w:val="auto"/>
        </w:rPr>
        <w:t>Legend Removal Date</w:t>
      </w:r>
      <w:r>
        <w:rPr>
          <w:rFonts w:ascii="Arial" w:cs="Arial" w:eastAsia="Arial" w:hAnsi="Arial"/>
          <w:sz w:val="14"/>
          <w:szCs w:val="14"/>
          <w:color w:val="auto"/>
        </w:rPr>
        <w:t xml:space="preserve">”), deliver or cause to be delivered to such Purchaser a certificate representing such shares that is free from all restrictive and other legends. The Company may not make any notation on its records or give instructions to any transfer agent of the Company that enlarge the restrictions on transfer set forth in this Section. Certificates for Securities subject to legend removal hereunder shall be transmitted by the transfer agent of the Company to the Purchasers by crediting the account of the Purchaser’s prime broker with the Depository Trust Company System, if practicable. If the Company shall fail for any reason or for no reason to issue to the holder of the Securities within three (3) Trading Days after the occurrence of any of (i) through (iii) above following the delivery by a Purchaser to the Company or the Company’s transfer agent of a certificate representing Shares or Warrant Shares, as the case may be, as aforesaid, a certificate without such legend to the holder or to issue such Securities to such holder by electronic delivery at the applicable balance account at the Depository Trust Company, and if on or after such Trading Day the holder purchases (in an open market transaction or otherwise) shares of Common Stock to deliver in satisfaction of a sale by the holder of such Securities that the holder anticipated receiving without legend from the Company (a </w:t>
      </w:r>
      <w:r>
        <w:rPr>
          <w:rFonts w:ascii="Arial" w:cs="Arial" w:eastAsia="Arial" w:hAnsi="Arial"/>
          <w:sz w:val="14"/>
          <w:szCs w:val="14"/>
          <w:b w:val="1"/>
          <w:bCs w:val="1"/>
          <w:color w:val="auto"/>
        </w:rPr>
        <w:t>“Buy-In”</w:t>
      </w:r>
      <w:r>
        <w:rPr>
          <w:rFonts w:ascii="Arial" w:cs="Arial" w:eastAsia="Arial" w:hAnsi="Arial"/>
          <w:sz w:val="14"/>
          <w:szCs w:val="14"/>
          <w:color w:val="auto"/>
        </w:rPr>
        <w:t xml:space="preserve">), then the Company shall, within three (3) Business Days after the holder’s request and in the Company’s discretion, either (i) pay cash to the holder in an amount equal to the holder’s total purchase price (including brokerage commissions, if any) for the shares of Common Stock so purchased (the </w:t>
      </w:r>
      <w:r>
        <w:rPr>
          <w:rFonts w:ascii="Arial" w:cs="Arial" w:eastAsia="Arial" w:hAnsi="Arial"/>
          <w:sz w:val="14"/>
          <w:szCs w:val="14"/>
          <w:b w:val="1"/>
          <w:bCs w:val="1"/>
          <w:color w:val="auto"/>
        </w:rPr>
        <w:t>“Buy-In Price”</w:t>
      </w:r>
      <w:r>
        <w:rPr>
          <w:rFonts w:ascii="Arial" w:cs="Arial" w:eastAsia="Arial" w:hAnsi="Arial"/>
          <w:sz w:val="14"/>
          <w:szCs w:val="14"/>
          <w:color w:val="auto"/>
        </w:rPr>
        <w:t>), at which point the Company’s obligation to deliver such unlegended Securities shall terminate, or (ii) follow the procedures set forth in the remainder of the this section. If the Company elects pursuant to clause (ii) above to follow these procedures, the Company shall promptly honor its obligation to deliver to the holder such unlegended Shares and unlegended Warrant Shares (the “Buy-In Shares”) equal to the number of shares which the Company failed to deliver on a timely basis and a cash payment equal to (x) the Buy-In-Price less (y) the VWAP on the on the Trading Day prior to the actual delivery of such certificate or certificates multiplied by the Buy-In-Shares. If the Holder elects to sell all or some of the Buy-In-Shares it shall promptly so notify the Company and shall proceed to make reasonable efforts to sell such shares as soon as possible. The Holder shall then notify the Company if the net proceeds received by the Holder upon the sale of the Buy-In Shares are less than the Buy-In-Price less any cash payment made pursuant to the preceding sentence (such difference, the “</w:t>
      </w:r>
      <w:r>
        <w:rPr>
          <w:rFonts w:ascii="Arial" w:cs="Arial" w:eastAsia="Arial" w:hAnsi="Arial"/>
          <w:sz w:val="14"/>
          <w:szCs w:val="14"/>
          <w:b w:val="1"/>
          <w:bCs w:val="1"/>
          <w:color w:val="auto"/>
        </w:rPr>
        <w:t>Buy-In Shortfall</w:t>
      </w:r>
      <w:r>
        <w:rPr>
          <w:rFonts w:ascii="Arial" w:cs="Arial" w:eastAsia="Arial" w:hAnsi="Arial"/>
          <w:sz w:val="14"/>
          <w:szCs w:val="14"/>
          <w:color w:val="auto"/>
        </w:rPr>
        <w:t>”), in which case the Company shall then pay to the Holder an additional cash payment equal to the Buy-In Shortfall.</w:t>
      </w:r>
    </w:p>
    <w:p>
      <w:pPr>
        <w:spacing w:after="0" w:line="103" w:lineRule="exact"/>
        <w:rPr>
          <w:rFonts w:ascii="Arial" w:cs="Arial" w:eastAsia="Arial" w:hAnsi="Arial"/>
          <w:sz w:val="14"/>
          <w:szCs w:val="14"/>
          <w:color w:val="auto"/>
        </w:rPr>
      </w:pPr>
    </w:p>
    <w:p>
      <w:pPr>
        <w:ind w:left="-395" w:right="40" w:firstLine="395"/>
        <w:spacing w:after="0" w:line="252" w:lineRule="auto"/>
        <w:tabs>
          <w:tab w:leader="none" w:pos="561"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Purchaser, severally and not jointly with the other Purchasers, agrees that the removal of the restrictive legend from certificates representing Securities as set forth in this Section 4.1 is predicated upon the Company’s reliance that the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Both the Company and its transfer agent, and their respective directors, officers, employees and agents, may rely on this subsection (d).</w:t>
      </w:r>
    </w:p>
    <w:p>
      <w:pPr>
        <w:spacing w:after="0" w:line="179" w:lineRule="exact"/>
        <w:rPr>
          <w:sz w:val="20"/>
          <w:szCs w:val="20"/>
          <w:color w:val="auto"/>
        </w:rPr>
      </w:pPr>
    </w:p>
    <w:p>
      <w:pPr>
        <w:ind w:left="4685"/>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104775</wp:posOffset>
            </wp:positionV>
            <wp:extent cx="7282815"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485"/>
          </w:cols>
          <w:pgMar w:left="1195" w:top="144" w:right="219" w:bottom="1440" w:gutter="0" w:footer="0" w:header="0"/>
        </w:sectPr>
      </w:pPr>
    </w:p>
    <w:bookmarkStart w:id="27" w:name="page28"/>
    <w:bookmarkEnd w:id="27"/>
    <w:p>
      <w:pPr>
        <w:ind w:right="60" w:firstLine="388"/>
        <w:spacing w:after="0" w:line="293"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Furnishing of Information</w:t>
      </w:r>
      <w:r>
        <w:rPr>
          <w:rFonts w:ascii="Arial" w:cs="Arial" w:eastAsia="Arial" w:hAnsi="Arial"/>
          <w:sz w:val="14"/>
          <w:szCs w:val="14"/>
          <w:color w:val="auto"/>
        </w:rPr>
        <w:t>. As long as any Purchaser owns Securities, the Company covenants to timely file (or obtain extensions in respect thereof and file within the applicable grace period) all reports required to be filed by the Company after the date hereof pursuant to the Exchange Act. As long as any Purchaser owns Securities, if the Company is not required to file reports pursuant to the Exchange Act, it will prepare and furnish to the Purchasers and make publicly available in accordance with Rule 144(c) such information as is required for the Purchasers to sell the Securities under Rule 144. The Company further covenants that it will use commercially reasonable efforts to take such further action as any holder of Securities may reasonably request, to the extent required from time to time to enable such Person to sell such Securities without registration under the Securities Act within the requirements of the exemption provided by (a) Rule 144 under the Securities Act, as such Rule may be amended from time to time, or (b) any similar rule or regulation hereafter adopted by the Commission. Upon request, the Company will provide to a Purchaser written certification of its compliance with the provisions of this Section 4.2.</w:t>
      </w:r>
    </w:p>
    <w:p>
      <w:pPr>
        <w:spacing w:after="0" w:line="151" w:lineRule="exact"/>
        <w:rPr>
          <w:sz w:val="20"/>
          <w:szCs w:val="20"/>
          <w:color w:val="auto"/>
        </w:rPr>
      </w:pPr>
    </w:p>
    <w:p>
      <w:pPr>
        <w:jc w:val="both"/>
        <w:ind w:right="120" w:firstLine="388"/>
        <w:spacing w:after="0" w:line="301"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Integration</w:t>
      </w:r>
      <w:r>
        <w:rPr>
          <w:rFonts w:ascii="Arial" w:cs="Arial" w:eastAsia="Arial" w:hAnsi="Arial"/>
          <w:sz w:val="14"/>
          <w:szCs w:val="14"/>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to the Purchasers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46" w:lineRule="exact"/>
        <w:rPr>
          <w:sz w:val="20"/>
          <w:szCs w:val="20"/>
          <w:color w:val="auto"/>
        </w:rPr>
      </w:pPr>
    </w:p>
    <w:p>
      <w:pPr>
        <w:ind w:firstLine="388"/>
        <w:spacing w:after="0" w:line="289"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Securities Laws Disclosure; Publicity</w:t>
      </w:r>
      <w:r>
        <w:rPr>
          <w:rFonts w:ascii="Arial" w:cs="Arial" w:eastAsia="Arial" w:hAnsi="Arial"/>
          <w:sz w:val="14"/>
          <w:szCs w:val="14"/>
          <w:color w:val="auto"/>
        </w:rPr>
        <w:t>. The Company shall, by 9:00 a.m. Eastern time on the Trading Day immediately following the date hereof, issue a Current Report on Form 6-K, reasonably acceptable to Schulte Roth &amp; Zabel LLP (“</w:t>
      </w:r>
      <w:r>
        <w:rPr>
          <w:rFonts w:ascii="Arial" w:cs="Arial" w:eastAsia="Arial" w:hAnsi="Arial"/>
          <w:sz w:val="14"/>
          <w:szCs w:val="14"/>
          <w:u w:val="single" w:color="auto"/>
          <w:color w:val="auto"/>
        </w:rPr>
        <w:t>Purchaser Counsel</w:t>
      </w:r>
      <w:r>
        <w:rPr>
          <w:rFonts w:ascii="Arial" w:cs="Arial" w:eastAsia="Arial" w:hAnsi="Arial"/>
          <w:sz w:val="14"/>
          <w:szCs w:val="14"/>
          <w:color w:val="auto"/>
        </w:rPr>
        <w:t>”) disclosing the material terms of the transactions contemplated hereby, and shall attach the Transaction Documents thereto. The Company and Purchaser Counsel shall consult with each other in issuing any other press releases with respect to the transactions contemplated hereby, and neither the Company nor any Purchaser shall issue any such press release or otherwise make any such public statement without the prior consent of the Company, with respect to any press release of any Purchaser, or without the prior consent of Purchaser Counsel,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(i) as required by federal securities law in connection with (A) any registration statement contemplated by the Registration Rights Agreement and (B) the filing of final Transaction Documents (including signature pages thereto) with the Commission and (ii) to the extent such disclosure is required by law, a regulatory authority, or Trading Market regulations, in which case the Company shall provide the Purchasers with prior notice of such disclosure permitted under this subclause (ii). From and after the filing of the Form 6-K with the Commission, no Purchaser shall be in possession of any material, nonpublic information received from the Company, any of its Subsidiaries or any of their respective officers, directors, employees or agents, that is not disclosed in the Form 6-K.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28" w:name="page29"/>
    <w:bookmarkEnd w:id="28"/>
    <w:p>
      <w:pPr>
        <w:ind w:firstLine="388"/>
        <w:spacing w:after="0" w:line="25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Shareholder Rights Plan</w:t>
      </w:r>
      <w:r>
        <w:rPr>
          <w:rFonts w:ascii="Arial" w:cs="Arial" w:eastAsia="Arial" w:hAnsi="Arial"/>
          <w:sz w:val="16"/>
          <w:szCs w:val="16"/>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 The Company shall conduct its business in a manner so that it will not become subject to the Investment Company Act.</w:t>
      </w:r>
    </w:p>
    <w:p>
      <w:pPr>
        <w:spacing w:after="0" w:line="179" w:lineRule="exact"/>
        <w:rPr>
          <w:sz w:val="20"/>
          <w:szCs w:val="20"/>
          <w:color w:val="auto"/>
        </w:rPr>
      </w:pPr>
    </w:p>
    <w:p>
      <w:pPr>
        <w:ind w:right="60" w:firstLine="388"/>
        <w:spacing w:after="0" w:line="301"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u w:val="single" w:color="auto"/>
          <w:color w:val="auto"/>
        </w:rPr>
        <w:t>Non-Public Information</w:t>
      </w:r>
      <w:r>
        <w:rPr>
          <w:rFonts w:ascii="Arial" w:cs="Arial" w:eastAsia="Arial" w:hAnsi="Arial"/>
          <w:sz w:val="14"/>
          <w:szCs w:val="14"/>
          <w:color w:val="auto"/>
        </w:rPr>
        <w:t>. Except with respect to the material terms and conditions of the transactions contemplated by the Transaction Documents, the Company covenants and agrees that neither it nor, with the consent of the Company, any other Person acting on its behalf, will provide any Purchaser with any information that the Company believes constitutes material non-public information, unless prior thereto such Purchaser shall have executed a written agreement regarding the confidentiality and use of such information. The Company understands and confirms that each Purchaser shall be relying on the foregoing representations in effecting transactions in securities of the Company.</w:t>
      </w:r>
    </w:p>
    <w:p>
      <w:pPr>
        <w:spacing w:after="0" w:line="146" w:lineRule="exact"/>
        <w:rPr>
          <w:sz w:val="20"/>
          <w:szCs w:val="20"/>
          <w:color w:val="auto"/>
        </w:rPr>
      </w:pPr>
    </w:p>
    <w:p>
      <w:pPr>
        <w:jc w:val="both"/>
        <w:ind w:right="120" w:firstLine="388"/>
        <w:spacing w:after="0" w:line="256"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shall use the net proceeds from the sale of the Securities hereunder for working capital purposes, the purchase of equipment, and not for the satisfaction of any portion of the Company’s debt (other than payment of trade payables in the ordinary course of the Company’s business and prior practices and scheduled payments of the Company’s other debt) or to redeem any Common Stock or Common Stock Equivalents.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29" w:name="page30"/>
    <w:bookmarkEnd w:id="29"/>
    <w:p>
      <w:pPr>
        <w:ind w:firstLine="388"/>
        <w:spacing w:after="0" w:line="286" w:lineRule="auto"/>
        <w:rPr>
          <w:sz w:val="20"/>
          <w:szCs w:val="20"/>
          <w:color w:val="auto"/>
        </w:rPr>
      </w:pPr>
      <w:r>
        <w:rPr>
          <w:rFonts w:ascii="Arial" w:cs="Arial" w:eastAsia="Arial" w:hAnsi="Arial"/>
          <w:sz w:val="14"/>
          <w:szCs w:val="14"/>
          <w:color w:val="auto"/>
        </w:rPr>
        <w:t xml:space="preserve">4.8 </w:t>
      </w:r>
      <w:r>
        <w:rPr>
          <w:rFonts w:ascii="Arial" w:cs="Arial" w:eastAsia="Arial" w:hAnsi="Arial"/>
          <w:sz w:val="14"/>
          <w:szCs w:val="14"/>
          <w:u w:val="single" w:color="auto"/>
          <w:color w:val="auto"/>
        </w:rPr>
        <w:t>Indemnification of Purchasers</w:t>
      </w:r>
      <w:r>
        <w:rPr>
          <w:rFonts w:ascii="Arial" w:cs="Arial" w:eastAsia="Arial" w:hAnsi="Arial"/>
          <w:sz w:val="14"/>
          <w:szCs w:val="14"/>
          <w:color w:val="auto"/>
        </w:rPr>
        <w:t>. Subject to the provisions of this Section 4.8, in consideration of each Purchaser’s execution and delivery of the Transaction Documents and acquiring the Securities thereunder and in addition to all of the Company’s other obligations under the Transaction Documents, the Company will indemnify, protect and hold the Purchasers and their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4"/>
          <w:szCs w:val="14"/>
          <w:u w:val="single" w:color="auto"/>
          <w:color w:val="auto"/>
        </w:rPr>
        <w:t>Purchaser Party</w:t>
      </w:r>
      <w:r>
        <w:rPr>
          <w:rFonts w:ascii="Arial" w:cs="Arial" w:eastAsia="Arial" w:hAnsi="Arial"/>
          <w:sz w:val="14"/>
          <w:szCs w:val="14"/>
          <w:color w:val="auto"/>
        </w:rPr>
        <w:t>”) harmless from any and all losses, liabilities, obligations, claims, contingencies, damages, actions, causes of action, suits, penalties, fees, costs and expenses, (irrespective of whether any such Purchaser Party is a party to the action for which indemnification hereunder is sought), including all judgments, amounts paid in settlements, court costs and reasonable attorneys’ fees and costs of investigation (collectively, the “</w:t>
      </w:r>
      <w:r>
        <w:rPr>
          <w:rFonts w:ascii="Arial" w:cs="Arial" w:eastAsia="Arial" w:hAnsi="Arial"/>
          <w:sz w:val="14"/>
          <w:szCs w:val="14"/>
          <w:u w:val="single" w:color="auto"/>
          <w:color w:val="auto"/>
        </w:rPr>
        <w:t>Indemnified Liabilities</w:t>
      </w:r>
      <w:r>
        <w:rPr>
          <w:rFonts w:ascii="Arial" w:cs="Arial" w:eastAsia="Arial" w:hAnsi="Arial"/>
          <w:sz w:val="14"/>
          <w:szCs w:val="14"/>
          <w:color w:val="auto"/>
        </w:rPr>
        <w:t>”) that any such Purchaser Party may suffer or incur as a result of, arising out or, or relating to (a) any misrepresentation or breach of any representation or warranty made by the Company in the Transaction Documents or any other certificate, instrument or document contemplated hereby or thereby, (b) any breach of any covenant, agreement or obligation of the Company contained in the Transaction Documents or any other certificate, instrument or document contemplated hereby or thereby or (c) any cause of action, suit or claim brought or made against such Purchaser Party by a third party (including for these purposes a derivative action brought on behalf of the Company) and arising out of or resulting from (i) the execution, delivery, performance or enforcement of the Transaction Documents or any other certificate, instrument or document contemplated hereby or thereby, or (ii) the status of such Purchaser or holder of the Securities as an investor in the Company pursuant to the transactions contemplated by the Transaction Documents (unless, and only to the extent that, such action is based, including in part, upon a breach of such Purchaser’s representations, warranties or covenants under the Transaction Documents or any conduct by such Purchaser which constitutes fraud, gross negligence or willful misconduct). The Company shall reimburse the indemnified Purchaser, promptly as such expenses are incurred and are due and payable, for any legal fees or other reasonable expenses incurred by them in connection with investigating or defending any such Indemnified Liabilities. To the extent that the foregoing undertaking by the Company may be unenforceable for any reason, the Company shall make the maximum contribution to the payment and satisfaction of each of the Indemnified Liabilities which is permissible under applicable law.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such Purchaser. Any Purchaser Party shall have the right to employ separate counsel in any such action and participate in the defense thereof, but the fees and expenses of such counsel shall be at the expense of such Purchaser Party except to the extent that (i) the Company has failed after a reasonable period of time to assume such defense and to employ counsel reasonably acceptable to such Purchaser, or (ii) in such action there is, in the reasonable opinion of such separate counsel, a material conflict on any material issue between the position of the Company and the position of such Purchaser Party. The Company will not be liable to any Purchaser Party under this Agreement (i) for any settlement by a Purchaser Party effected without the Company’s prior written consent, which shall not be unreasonably withheld or delayed; or (ii) to the extent, but only to the extent that a loss, claim, damage or liability is attributable to any Purchaser Party’s breach of any of the representations, warranties, covenants or agreements made by the Purchasers in this Agreement or in the other Transaction Documents. The Company shall not, without the prior written consent of the applicable Purchaser Party, consent to entry of any judgment or enter into any settlement or other compromise which does not include as an unconditional term thereof the giving by the claimant or plaintiff to the applicable Purchaser Party of a release from all liability in respect to such Claim (as defined in the Registration Rights Agreement) or litigation. The failure to deliver written notice to the Company within a reasonable time of the commencement of any such action shall not relieve the Company party of any liability to the Purchase Party under this Section 4.8, except to the extent that the Company is prejudiced in its ability to defend such action.</w:t>
      </w:r>
    </w:p>
    <w:p>
      <w:pPr>
        <w:spacing w:after="0" w:line="159" w:lineRule="exact"/>
        <w:rPr>
          <w:sz w:val="20"/>
          <w:szCs w:val="20"/>
          <w:color w:val="auto"/>
        </w:rPr>
      </w:pPr>
    </w:p>
    <w:p>
      <w:pPr>
        <w:ind w:right="60" w:firstLine="388"/>
        <w:spacing w:after="0" w:line="25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Reservation of Common Stock</w:t>
      </w:r>
      <w:r>
        <w:rPr>
          <w:rFonts w:ascii="Arial" w:cs="Arial" w:eastAsia="Arial" w:hAnsi="Arial"/>
          <w:sz w:val="16"/>
          <w:szCs w:val="16"/>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0" w:name="page31"/>
    <w:bookmarkEnd w:id="30"/>
    <w:p>
      <w:pPr>
        <w:ind w:right="120" w:firstLine="388"/>
        <w:spacing w:after="0" w:line="301" w:lineRule="auto"/>
        <w:rPr>
          <w:sz w:val="20"/>
          <w:szCs w:val="20"/>
          <w:color w:val="auto"/>
        </w:rPr>
      </w:pPr>
      <w:r>
        <w:rPr>
          <w:rFonts w:ascii="Arial" w:cs="Arial" w:eastAsia="Arial" w:hAnsi="Arial"/>
          <w:sz w:val="14"/>
          <w:szCs w:val="14"/>
          <w:color w:val="auto"/>
        </w:rPr>
        <w:t xml:space="preserve">4.10 </w:t>
      </w:r>
      <w:r>
        <w:rPr>
          <w:rFonts w:ascii="Arial" w:cs="Arial" w:eastAsia="Arial" w:hAnsi="Arial"/>
          <w:sz w:val="14"/>
          <w:szCs w:val="14"/>
          <w:u w:val="single" w:color="auto"/>
          <w:color w:val="auto"/>
        </w:rPr>
        <w:t>Equal Treatment of Purchasers</w:t>
      </w:r>
      <w:r>
        <w:rPr>
          <w:rFonts w:ascii="Arial" w:cs="Arial" w:eastAsia="Arial" w:hAnsi="Arial"/>
          <w:sz w:val="14"/>
          <w:szCs w:val="14"/>
          <w:color w:val="auto"/>
        </w:rPr>
        <w:t>. No consideration shall be offered or paid to any Person to amend or consent to a waiver or modification of any provision of any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to treat for the Company the Purchasers as a class and shall not in any way be construed as the Purchasers acting in concert or as a group with respect to the purchase, disposition or voting of Securities or otherwise.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Participation in Future Financing</w:t>
      </w:r>
      <w:r>
        <w:rPr>
          <w:rFonts w:ascii="Arial" w:cs="Arial" w:eastAsia="Arial" w:hAnsi="Arial"/>
          <w:sz w:val="16"/>
          <w:szCs w:val="16"/>
          <w:color w:val="auto"/>
        </w:rPr>
        <w:t>.</w:t>
      </w:r>
    </w:p>
    <w:p>
      <w:pPr>
        <w:spacing w:after="0" w:line="210" w:lineRule="exact"/>
        <w:rPr>
          <w:sz w:val="20"/>
          <w:szCs w:val="20"/>
          <w:color w:val="auto"/>
        </w:rPr>
      </w:pPr>
    </w:p>
    <w:p>
      <w:pPr>
        <w:ind w:left="560" w:firstLine="395"/>
        <w:spacing w:after="0" w:line="294" w:lineRule="auto"/>
        <w:tabs>
          <w:tab w:leader="none" w:pos="15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From the date hereof until the date that is the 9 month anniversary of the Effective Date, upon any issuance by the Company or any of its Subsidiaries of Common Stock or Common Stock Equivalents (a “</w:t>
      </w:r>
      <w:r>
        <w:rPr>
          <w:rFonts w:ascii="Arial" w:cs="Arial" w:eastAsia="Arial" w:hAnsi="Arial"/>
          <w:sz w:val="14"/>
          <w:szCs w:val="14"/>
          <w:u w:val="single" w:color="auto"/>
          <w:color w:val="auto"/>
        </w:rPr>
        <w:t>Subsequent Financing</w:t>
      </w:r>
      <w:r>
        <w:rPr>
          <w:rFonts w:ascii="Arial" w:cs="Arial" w:eastAsia="Arial" w:hAnsi="Arial"/>
          <w:sz w:val="14"/>
          <w:szCs w:val="14"/>
          <w:color w:val="auto"/>
        </w:rPr>
        <w:t>”), each Purchaser shall have the right to purchase in the Subsequent Financing (x) that portion of the Subsequent Financing as the number of shares of Common Stock which such Purchaser purchased at the Closing bears to the number of shares of Common Stock that are outstanding as of the date of the Subsequent Financing Notice (the “</w:t>
      </w:r>
      <w:r>
        <w:rPr>
          <w:rFonts w:ascii="Arial" w:cs="Arial" w:eastAsia="Arial" w:hAnsi="Arial"/>
          <w:sz w:val="14"/>
          <w:szCs w:val="14"/>
          <w:u w:val="single" w:color="auto"/>
          <w:color w:val="auto"/>
        </w:rPr>
        <w:t>Participation Amount</w:t>
      </w:r>
      <w:r>
        <w:rPr>
          <w:rFonts w:ascii="Arial" w:cs="Arial" w:eastAsia="Arial" w:hAnsi="Arial"/>
          <w:sz w:val="14"/>
          <w:szCs w:val="14"/>
          <w:color w:val="auto"/>
        </w:rPr>
        <w:t>”) and (y) such additional portion of the Subsequent Financing as such Purchaser shall indicate it will purchase should the other Purchasers subscribe for less than their Participation Amount (the “</w:t>
      </w:r>
      <w:r>
        <w:rPr>
          <w:rFonts w:ascii="Arial" w:cs="Arial" w:eastAsia="Arial" w:hAnsi="Arial"/>
          <w:sz w:val="14"/>
          <w:szCs w:val="14"/>
          <w:u w:val="single" w:color="auto"/>
          <w:color w:val="auto"/>
        </w:rPr>
        <w:t>Undersubscription Amount</w:t>
      </w:r>
      <w:r>
        <w:rPr>
          <w:rFonts w:ascii="Arial" w:cs="Arial" w:eastAsia="Arial" w:hAnsi="Arial"/>
          <w:sz w:val="14"/>
          <w:szCs w:val="14"/>
          <w:color w:val="auto"/>
        </w:rPr>
        <w:t>”), at a price and on such terms as shall have been specified by the Company in a Subsequent Financing Notice.</w:t>
      </w:r>
    </w:p>
    <w:p>
      <w:pPr>
        <w:spacing w:after="0" w:line="92" w:lineRule="exact"/>
        <w:rPr>
          <w:rFonts w:ascii="Arial" w:cs="Arial" w:eastAsia="Arial" w:hAnsi="Arial"/>
          <w:sz w:val="14"/>
          <w:szCs w:val="14"/>
          <w:color w:val="auto"/>
        </w:rPr>
      </w:pPr>
    </w:p>
    <w:p>
      <w:pPr>
        <w:ind w:left="560" w:right="60" w:firstLine="395"/>
        <w:spacing w:after="0" w:line="294" w:lineRule="auto"/>
        <w:tabs>
          <w:tab w:leader="none" w:pos="1507"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least 5 Trading Days prior to the closing of the Subsequent Financing, the Company shall deliver to each Purchaser a written notice of its intention to effect a Subsequent Financing (“</w:t>
      </w:r>
      <w:r>
        <w:rPr>
          <w:rFonts w:ascii="Arial" w:cs="Arial" w:eastAsia="Arial" w:hAnsi="Arial"/>
          <w:sz w:val="14"/>
          <w:szCs w:val="14"/>
          <w:u w:val="single" w:color="auto"/>
          <w:color w:val="auto"/>
        </w:rPr>
        <w:t>Pre-Notice</w:t>
      </w:r>
      <w:r>
        <w:rPr>
          <w:rFonts w:ascii="Arial" w:cs="Arial" w:eastAsia="Arial" w:hAnsi="Arial"/>
          <w:sz w:val="14"/>
          <w:szCs w:val="14"/>
          <w:color w:val="auto"/>
        </w:rPr>
        <w:t>”), which Pre-Notice shall ask such Purchaser if it wants to review the details of such financing (such additional notice, a “</w:t>
      </w:r>
      <w:r>
        <w:rPr>
          <w:rFonts w:ascii="Arial" w:cs="Arial" w:eastAsia="Arial" w:hAnsi="Arial"/>
          <w:sz w:val="14"/>
          <w:szCs w:val="14"/>
          <w:u w:val="single" w:color="auto"/>
          <w:color w:val="auto"/>
        </w:rPr>
        <w:t>Subsequent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Financing Notice</w:t>
      </w:r>
      <w:r>
        <w:rPr>
          <w:rFonts w:ascii="Arial" w:cs="Arial" w:eastAsia="Arial" w:hAnsi="Arial"/>
          <w:sz w:val="14"/>
          <w:szCs w:val="14"/>
          <w:color w:val="auto"/>
        </w:rPr>
        <w:t>”). Upon the request of a Purchaser, and only upon a request by such Purchaser, for a Subsequent Financing Notice, the Company shall promptly, but no later than 2 Trading Days after such request, deliver a Subsequent Financing Notice to such Purchaser. The Subsequent Financing Notice shall describe in reasonable detail the proposed terms of such Subsequent Financing, the amount of proceeds intended to be raised thereunder, the Person or Persons through or with whom such Subsequent Financing is proposed to be effected, and attached to which shall be a term sheet or similar document relating thereto.</w:t>
      </w:r>
    </w:p>
    <w:p>
      <w:pPr>
        <w:spacing w:after="0" w:line="92" w:lineRule="exact"/>
        <w:rPr>
          <w:rFonts w:ascii="Arial" w:cs="Arial" w:eastAsia="Arial" w:hAnsi="Arial"/>
          <w:sz w:val="14"/>
          <w:szCs w:val="14"/>
          <w:color w:val="auto"/>
        </w:rPr>
      </w:pPr>
    </w:p>
    <w:p>
      <w:pPr>
        <w:ind w:left="1500" w:hanging="545"/>
        <w:spacing w:after="0"/>
        <w:tabs>
          <w:tab w:leader="none" w:pos="15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Purchaser desiring to participate in such Subsequent Financing must provide written notice to the Company by not later than 5:30 p.m. (New York City</w:t>
      </w:r>
    </w:p>
    <w:p>
      <w:pPr>
        <w:spacing w:after="0" w:line="35" w:lineRule="exact"/>
        <w:rPr>
          <w:sz w:val="20"/>
          <w:szCs w:val="20"/>
          <w:color w:val="auto"/>
        </w:rPr>
      </w:pPr>
    </w:p>
    <w:p>
      <w:pPr>
        <w:ind w:left="560" w:right="40"/>
        <w:spacing w:after="0" w:line="278" w:lineRule="auto"/>
        <w:rPr>
          <w:sz w:val="20"/>
          <w:szCs w:val="20"/>
          <w:color w:val="auto"/>
        </w:rPr>
      </w:pPr>
      <w:r>
        <w:rPr>
          <w:rFonts w:ascii="Arial" w:cs="Arial" w:eastAsia="Arial" w:hAnsi="Arial"/>
          <w:sz w:val="14"/>
          <w:szCs w:val="14"/>
          <w:color w:val="auto"/>
        </w:rPr>
        <w:t>time) on the 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Trading Day after all of the Purchasers have received the Pre-Notice that the Purchaser is willing to participate in the Subsequent Financing, the amount of the Purchaser’s participation, and that the Purchaser has such funds ready, willing, and available for investment on the terms set forth in the Subsequent Financing Notice. If the Company receives no notice from a Purchaser as of such 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Trading Day, such Purchaser shall be deemed to have notified the Company that it does not elect to participate.</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132" w:right="219" w:bottom="1440" w:gutter="0" w:footer="0" w:header="0"/>
        </w:sectPr>
      </w:pPr>
    </w:p>
    <w:bookmarkStart w:id="31" w:name="page32"/>
    <w:bookmarkEnd w:id="31"/>
    <w:p>
      <w:pPr>
        <w:jc w:val="both"/>
        <w:ind w:left="180" w:right="40" w:firstLine="395"/>
        <w:spacing w:after="0" w:line="292" w:lineRule="auto"/>
        <w:tabs>
          <w:tab w:leader="none" w:pos="1136" w:val="left"/>
        </w:tabs>
        <w:numPr>
          <w:ilvl w:val="0"/>
          <w:numId w:val="26"/>
        </w:numPr>
        <w:rPr>
          <w:rFonts w:ascii="Arial" w:cs="Arial" w:eastAsia="Arial" w:hAnsi="Arial"/>
          <w:sz w:val="13"/>
          <w:szCs w:val="13"/>
          <w:color w:val="auto"/>
        </w:rPr>
      </w:pPr>
      <w:r>
        <w:rPr>
          <w:rFonts w:ascii="Arial" w:cs="Arial" w:eastAsia="Arial" w:hAnsi="Arial"/>
          <w:sz w:val="13"/>
          <w:szCs w:val="13"/>
          <w:color w:val="auto"/>
        </w:rPr>
        <w:t>If by 5:30 p.m. (New York City time) on the 5</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Trading Day after all of the Purchasers have received the Pre-Notice, notifications by the Purchasers of their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spacing w:after="0" w:line="95" w:lineRule="exact"/>
        <w:rPr>
          <w:rFonts w:ascii="Arial" w:cs="Arial" w:eastAsia="Arial" w:hAnsi="Arial"/>
          <w:sz w:val="13"/>
          <w:szCs w:val="13"/>
          <w:color w:val="auto"/>
        </w:rPr>
      </w:pPr>
    </w:p>
    <w:p>
      <w:pPr>
        <w:ind w:left="180" w:firstLine="395"/>
        <w:spacing w:after="0" w:line="253" w:lineRule="auto"/>
        <w:tabs>
          <w:tab w:leader="none" w:pos="1127"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by 5:30 p.m. (New York City time) on the 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Trading Day after all of the Purchasers have received the Pre-Notice, the Participation Amount subscribed for by all Purchasers is less than the Subsequent Financing, then each Purchaser who has set forth Undersubscription Amounts in its response shall be entitled to purchase, in addition to the Participation Amounts subscribed for, all Undersubscription Amounts it has subscribed for; provided, however, that should the Undersubscription Amounts subscribed for exceed the difference between the Subsequent Financing and the Participation Amounts subscribed for (the “</w:t>
      </w:r>
      <w:r>
        <w:rPr>
          <w:rFonts w:ascii="Arial" w:cs="Arial" w:eastAsia="Arial" w:hAnsi="Arial"/>
          <w:sz w:val="15"/>
          <w:szCs w:val="15"/>
          <w:u w:val="single" w:color="auto"/>
          <w:color w:val="auto"/>
        </w:rPr>
        <w:t>Available Undersubscription Amount</w:t>
      </w:r>
      <w:r>
        <w:rPr>
          <w:rFonts w:ascii="Arial" w:cs="Arial" w:eastAsia="Arial" w:hAnsi="Arial"/>
          <w:sz w:val="15"/>
          <w:szCs w:val="15"/>
          <w:color w:val="auto"/>
        </w:rPr>
        <w:t>”), each Purchaser who has subscribed for any Undersubscription Amount shall be entitled to purchase only that portion of the Available Undersubscription Amount as the Undersubscription Amount subscribed for by such Purchaser bears to the total Undersubscription Amounts subscribed for by all Purchasers, subject to rounding by the Company to the extent it reasonably deems necessary.</w:t>
      </w:r>
    </w:p>
    <w:p>
      <w:pPr>
        <w:spacing w:after="0" w:line="119" w:lineRule="exact"/>
        <w:rPr>
          <w:rFonts w:ascii="Arial" w:cs="Arial" w:eastAsia="Arial" w:hAnsi="Arial"/>
          <w:sz w:val="15"/>
          <w:szCs w:val="15"/>
          <w:color w:val="auto"/>
        </w:rPr>
      </w:pPr>
    </w:p>
    <w:p>
      <w:pPr>
        <w:ind w:left="180" w:right="60" w:firstLine="395"/>
        <w:spacing w:after="0" w:line="310" w:lineRule="auto"/>
        <w:tabs>
          <w:tab w:leader="none" w:pos="1107"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Company must provide the Purchasers with a second Subsequent Financing Notice, and the Purchasers will again have the right of participation set forth above in this Section 4.11, if the Subsequent Financing subject to the initial Subsequent Financing Notice is not consummated for any reason on the terms set forth in such Subsequent Financing Notice within 60 Trading Days after the date of the initial Subsequent Financing Notice.</w:t>
      </w:r>
    </w:p>
    <w:p>
      <w:pPr>
        <w:spacing w:after="0" w:line="79" w:lineRule="exact"/>
        <w:rPr>
          <w:rFonts w:ascii="Arial" w:cs="Arial" w:eastAsia="Arial" w:hAnsi="Arial"/>
          <w:sz w:val="14"/>
          <w:szCs w:val="14"/>
          <w:color w:val="auto"/>
        </w:rPr>
      </w:pPr>
    </w:p>
    <w:p>
      <w:pPr>
        <w:ind w:left="1140" w:hanging="565"/>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Notwithstanding the foregoing, this Section 4.11 shall not apply in respect of an Exempt Issuance or to a registered primary public offering.</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Subsequent Equity Sales</w:t>
      </w:r>
      <w:r>
        <w:rPr>
          <w:rFonts w:ascii="Arial" w:cs="Arial" w:eastAsia="Arial" w:hAnsi="Arial"/>
          <w:sz w:val="16"/>
          <w:szCs w:val="16"/>
          <w:color w:val="auto"/>
        </w:rPr>
        <w:t>.</w:t>
      </w:r>
    </w:p>
    <w:p>
      <w:pPr>
        <w:spacing w:after="0" w:line="210" w:lineRule="exact"/>
        <w:rPr>
          <w:sz w:val="20"/>
          <w:szCs w:val="20"/>
          <w:color w:val="auto"/>
        </w:rPr>
      </w:pPr>
    </w:p>
    <w:p>
      <w:pPr>
        <w:ind w:left="180" w:firstLine="395"/>
        <w:spacing w:after="0" w:line="252" w:lineRule="auto"/>
        <w:tabs>
          <w:tab w:leader="none" w:pos="1127" w:val="left"/>
        </w:tabs>
        <w:numPr>
          <w:ilvl w:val="0"/>
          <w:numId w:val="27"/>
        </w:numPr>
        <w:rPr>
          <w:rFonts w:ascii="Arial" w:cs="Arial" w:eastAsia="Arial" w:hAnsi="Arial"/>
          <w:sz w:val="16"/>
          <w:szCs w:val="16"/>
          <w:color w:val="auto"/>
        </w:rPr>
      </w:pPr>
      <w:r>
        <w:rPr>
          <w:rFonts w:ascii="Arial" w:cs="Arial" w:eastAsia="Arial" w:hAnsi="Arial"/>
          <w:sz w:val="16"/>
          <w:szCs w:val="16"/>
          <w:color w:val="auto"/>
        </w:rPr>
        <w:t>From the date hereof until the date that all of the Series II Warrants have expired or been exercised in full by all holders, in addition to any other vote required by law or the Articles of Association of the Company, without the prior written consent of a majority of the Purchasers, the Company will not create or authorize the creation of any additional class or series of shares of stock (or any debt security which by its terms is convertible into or exercisable or exchangeable for any equity security of the Company and any security which is a combination of debt and equity) unless the same ranks equal to or junior to the Common Stock as to dividends and the distribution of assets on the liquidation, dissolution or winding up of the Company.</w:t>
      </w:r>
    </w:p>
    <w:p>
      <w:pPr>
        <w:spacing w:after="0" w:line="179"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104775</wp:posOffset>
            </wp:positionV>
            <wp:extent cx="7282815" cy="35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940"/>
          </w:cols>
          <w:pgMar w:left="620" w:top="146" w:right="339" w:bottom="1440" w:gutter="0" w:footer="0" w:header="0"/>
        </w:sectPr>
      </w:pPr>
    </w:p>
    <w:bookmarkStart w:id="32" w:name="page33"/>
    <w:bookmarkEnd w:id="32"/>
    <w:p>
      <w:pPr>
        <w:ind w:left="560" w:right="60" w:firstLine="395"/>
        <w:spacing w:after="0" w:line="293" w:lineRule="auto"/>
        <w:tabs>
          <w:tab w:leader="none" w:pos="1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From the date hereof until the later of (i) 3 months from the Closing and (ii) 30 days from the Effective Date, without the prior written consent of a majority of the Purchasers, the Company will not issue, or agree to issue, any equity security (or any security convertible, exercisable or exchangeable for or into any equity security). In addition, from the date hereof until the later of (i) the date that all of the Series II Warrants have expired or been exercised in full by all holders and (ii) 90 days from the Effective Date, without the prior written consent of Highbridge International LLC, the Company will not, directly or indirectly, offer, sell, grant any option to purchase, or otherwise dispose of (or announce any offer, sale, grant or any option to purchase or other disposition of) any of its or its Subsidiaries’ equity or equity equivalent securities, including without limitation any debt, preferred stock or other instrument or security that is, at any time during its life and under any circumstances, convertible into or exchangeable or exercisable for shares of Common Stock, Options (as defined in the Warrants) or Convertible Securities (as defined in the Warrants).</w:t>
      </w:r>
    </w:p>
    <w:p>
      <w:pPr>
        <w:spacing w:after="0" w:line="91" w:lineRule="exact"/>
        <w:rPr>
          <w:rFonts w:ascii="Arial" w:cs="Arial" w:eastAsia="Arial" w:hAnsi="Arial"/>
          <w:sz w:val="14"/>
          <w:szCs w:val="14"/>
          <w:color w:val="auto"/>
        </w:rPr>
      </w:pPr>
    </w:p>
    <w:p>
      <w:pPr>
        <w:ind w:left="560" w:right="40" w:firstLine="395"/>
        <w:spacing w:after="0" w:line="291" w:lineRule="auto"/>
        <w:tabs>
          <w:tab w:leader="none" w:pos="1507" w:val="left"/>
        </w:tabs>
        <w:numPr>
          <w:ilvl w:val="0"/>
          <w:numId w:val="28"/>
        </w:numPr>
        <w:rPr>
          <w:rFonts w:ascii="Arial" w:cs="Arial" w:eastAsia="Arial" w:hAnsi="Arial"/>
          <w:sz w:val="14"/>
          <w:szCs w:val="14"/>
          <w:color w:val="auto"/>
        </w:rPr>
      </w:pPr>
      <w:r>
        <w:rPr>
          <w:rFonts w:ascii="Arial" w:cs="Arial" w:eastAsia="Arial" w:hAnsi="Arial"/>
          <w:sz w:val="14"/>
          <w:szCs w:val="14"/>
          <w:color w:val="auto"/>
        </w:rPr>
        <w:t>From the date hereof until 18 months from the Effective Date, the Company shall be prohibited from effecting or entering into an agreement to effect any Subsequent Financing involving a “Variable Rate Transaction”. The term “</w:t>
      </w:r>
      <w:r>
        <w:rPr>
          <w:rFonts w:ascii="Arial" w:cs="Arial" w:eastAsia="Arial" w:hAnsi="Arial"/>
          <w:sz w:val="14"/>
          <w:szCs w:val="14"/>
          <w:u w:val="single" w:color="auto"/>
          <w:color w:val="auto"/>
        </w:rPr>
        <w:t>Variable Rate Transaction</w:t>
      </w:r>
      <w:r>
        <w:rPr>
          <w:rFonts w:ascii="Arial" w:cs="Arial" w:eastAsia="Arial" w:hAnsi="Arial"/>
          <w:sz w:val="14"/>
          <w:szCs w:val="14"/>
          <w:color w:val="auto"/>
        </w:rPr>
        <w:t>” shall mean a transaction in which the Company issues or sells (i) any debt or equity securities that are convertible into, exchangeable or exercisable for, or include the right to receive additional shares of Common Stock either (A) at a conversion, exercise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other than pursuant to a customary “weighted average” anti-dilution provision or (ii) enters into any agreement, including, but not limited to, an equity line of credit, whereby the Company may sell securities at a future determined price. Any Purchaser shall be entitled to obtain injunctive relief against the Company to preclude any such issuance, which remedy shall be in addition to any right to collect damages.</w:t>
      </w:r>
    </w:p>
    <w:p>
      <w:pPr>
        <w:spacing w:after="0" w:line="91" w:lineRule="exact"/>
        <w:rPr>
          <w:rFonts w:ascii="Arial" w:cs="Arial" w:eastAsia="Arial" w:hAnsi="Arial"/>
          <w:sz w:val="14"/>
          <w:szCs w:val="14"/>
          <w:color w:val="auto"/>
        </w:rPr>
      </w:pPr>
    </w:p>
    <w:p>
      <w:pPr>
        <w:ind w:left="560" w:firstLine="395"/>
        <w:spacing w:after="0" w:line="297" w:lineRule="auto"/>
        <w:tabs>
          <w:tab w:leader="none" w:pos="1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Notwithstanding the foregoing, (1) this Section 4.12 shall not apply in respect of (i) an Exempt Issuance, except that for the purposes of this Section 4.12, no Variable Rate Transaction shall be an Exempt Issuance or (ii) the issuance of non-convertible, interest-bearing debt with an equity or equity-linked component no greater than 20%; (2) Section 4.12(a) shall not apply with respect to a debt security which by its terms is convertible into or exchangeable for any equity security of the Company, provided such is not a Variable Rate Transaction; (3) with respect to Section 4.12(b), an issuance of Common Stock or Common Stock Equivalents that represents 2% or less of the Company’s issued and outstanding shares on a fully diluted basis shall be deemed to be an Exempt Issuance.</w:t>
      </w:r>
    </w:p>
    <w:p>
      <w:pPr>
        <w:spacing w:after="0" w:line="149" w:lineRule="exact"/>
        <w:rPr>
          <w:sz w:val="20"/>
          <w:szCs w:val="20"/>
          <w:color w:val="auto"/>
        </w:rPr>
      </w:pPr>
    </w:p>
    <w:p>
      <w:pPr>
        <w:ind w:right="780" w:firstLine="388"/>
        <w:spacing w:after="0" w:line="336" w:lineRule="auto"/>
        <w:rPr>
          <w:sz w:val="20"/>
          <w:szCs w:val="20"/>
          <w:color w:val="auto"/>
        </w:rPr>
      </w:pPr>
      <w:r>
        <w:rPr>
          <w:rFonts w:ascii="Arial" w:cs="Arial" w:eastAsia="Arial" w:hAnsi="Arial"/>
          <w:sz w:val="14"/>
          <w:szCs w:val="14"/>
          <w:color w:val="auto"/>
        </w:rPr>
        <w:t xml:space="preserve">4.13 </w:t>
      </w:r>
      <w:r>
        <w:rPr>
          <w:rFonts w:ascii="Arial" w:cs="Arial" w:eastAsia="Arial" w:hAnsi="Arial"/>
          <w:sz w:val="14"/>
          <w:szCs w:val="14"/>
          <w:u w:val="single" w:color="auto"/>
          <w:color w:val="auto"/>
        </w:rPr>
        <w:t>Stock Splits and Reclassification</w:t>
      </w:r>
      <w:r>
        <w:rPr>
          <w:rFonts w:ascii="Arial" w:cs="Arial" w:eastAsia="Arial" w:hAnsi="Arial"/>
          <w:sz w:val="14"/>
          <w:szCs w:val="14"/>
          <w:color w:val="auto"/>
        </w:rPr>
        <w:t>. From the date hereof until the later of (i) December 31, 2007 and (ii) 9 months after the Effective Date, the Company shall not consummate, undertake, or announce any intention to consummate or undertake a reverse or forward stock split or reclassification of the Common Stock.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bookmarkStart w:id="33" w:name="page34"/>
    <w:bookmarkEnd w:id="33"/>
    <w:p>
      <w:pPr>
        <w:ind w:firstLine="388"/>
        <w:spacing w:after="0" w:line="291" w:lineRule="auto"/>
        <w:rPr>
          <w:sz w:val="20"/>
          <w:szCs w:val="20"/>
          <w:color w:val="auto"/>
        </w:rPr>
      </w:pPr>
      <w:r>
        <w:rPr>
          <w:rFonts w:ascii="Arial" w:cs="Arial" w:eastAsia="Arial" w:hAnsi="Arial"/>
          <w:sz w:val="14"/>
          <w:szCs w:val="14"/>
          <w:color w:val="auto"/>
        </w:rPr>
        <w:t xml:space="preserve">4.14 </w:t>
      </w:r>
      <w:r>
        <w:rPr>
          <w:rFonts w:ascii="Arial" w:cs="Arial" w:eastAsia="Arial" w:hAnsi="Arial"/>
          <w:sz w:val="14"/>
          <w:szCs w:val="14"/>
          <w:u w:val="single" w:color="auto"/>
          <w:color w:val="auto"/>
        </w:rPr>
        <w:t>Short Sales and Confidentiality After The Date Hereof</w:t>
      </w:r>
      <w:r>
        <w:rPr>
          <w:rFonts w:ascii="Arial" w:cs="Arial" w:eastAsia="Arial" w:hAnsi="Arial"/>
          <w:sz w:val="14"/>
          <w:szCs w:val="14"/>
          <w:color w:val="auto"/>
        </w:rPr>
        <w:t>. Each Purchaser, severally and not jointly with the other Purchasers, covenants that until the earlier of such time as (i) the transactions contemplated by this Agreement are publicly disclosed by the Company as described in Section 4.4 and (ii) this Agreement is terminated pursuant to Section 5.1, such Purchaser will maintain the confidentiality of all disclosures made to it in connection with this transaction (including the existence and terms of this transaction). Each Purchaser acknowledges the Commission’s position set forth in Item 65, Section A, of the Manual of Publicly Available Telephone Interpretations, dated July 1997, compiled by the Office of Chief Counsel, Division of Corporation Finance, and such Purchaser will adhere to such position.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56" w:lineRule="exact"/>
        <w:rPr>
          <w:sz w:val="20"/>
          <w:szCs w:val="20"/>
          <w:color w:val="auto"/>
        </w:rPr>
      </w:pPr>
    </w:p>
    <w:p>
      <w:pPr>
        <w:ind w:right="80" w:firstLine="388"/>
        <w:spacing w:after="0" w:line="264"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Delivery of Securities After Closing</w:t>
      </w:r>
      <w:r>
        <w:rPr>
          <w:rFonts w:ascii="Arial" w:cs="Arial" w:eastAsia="Arial" w:hAnsi="Arial"/>
          <w:sz w:val="16"/>
          <w:szCs w:val="16"/>
          <w:color w:val="auto"/>
        </w:rPr>
        <w:t>. The Company shall deliver, or cause to be delivered, the respective Securities purchased by each Purchaser to such Purchaser within 3 Trading Days of the Closing Date.</w:t>
      </w:r>
    </w:p>
    <w:p>
      <w:pPr>
        <w:spacing w:after="0" w:line="168" w:lineRule="exact"/>
        <w:rPr>
          <w:sz w:val="20"/>
          <w:szCs w:val="20"/>
          <w:color w:val="auto"/>
        </w:rPr>
      </w:pPr>
    </w:p>
    <w:p>
      <w:pPr>
        <w:ind w:right="60" w:firstLine="388"/>
        <w:spacing w:after="0" w:line="254"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Form D; Blue Sky Filings</w:t>
      </w:r>
      <w:r>
        <w:rPr>
          <w:rFonts w:ascii="Arial" w:cs="Arial" w:eastAsia="Arial" w:hAnsi="Arial"/>
          <w:sz w:val="16"/>
          <w:szCs w:val="16"/>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75" w:lineRule="exact"/>
        <w:rPr>
          <w:sz w:val="20"/>
          <w:szCs w:val="20"/>
          <w:color w:val="auto"/>
        </w:rPr>
      </w:pPr>
    </w:p>
    <w:p>
      <w:pPr>
        <w:ind w:right="160" w:firstLine="388"/>
        <w:spacing w:after="0" w:line="264"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OCS Undertaking</w:t>
      </w:r>
      <w:r>
        <w:rPr>
          <w:rFonts w:ascii="Arial" w:cs="Arial" w:eastAsia="Arial" w:hAnsi="Arial"/>
          <w:sz w:val="16"/>
          <w:szCs w:val="16"/>
          <w:color w:val="auto"/>
        </w:rPr>
        <w:t>. Each Purchaser hereby agrees to execute an undertaking to the Israeli Office of the Chief Scientist in the form attached hereto as Exhibit 2.2(iv) if such Purchaser shall hold 5% or more of the issued and outstanding shares of Common Stock.</w:t>
      </w:r>
    </w:p>
    <w:p>
      <w:pPr>
        <w:spacing w:after="0" w:line="168" w:lineRule="exact"/>
        <w:rPr>
          <w:sz w:val="20"/>
          <w:szCs w:val="20"/>
          <w:color w:val="auto"/>
        </w:rPr>
      </w:pPr>
    </w:p>
    <w:p>
      <w:pPr>
        <w:ind w:right="80" w:firstLine="388"/>
        <w:spacing w:after="0" w:line="254"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No Isuances Below NIS 1.00</w:t>
      </w:r>
      <w:r>
        <w:rPr>
          <w:rFonts w:ascii="Arial" w:cs="Arial" w:eastAsia="Arial" w:hAnsi="Arial"/>
          <w:sz w:val="16"/>
          <w:szCs w:val="16"/>
          <w:color w:val="auto"/>
        </w:rPr>
        <w:t>. From the date hereof until the date that all of the Series I Warrants have expired or been exercised in full by all holders thereof, the Company will not issue, or agree to issue any shares of Common Stock in exchange for consideration of less than NIS 1.00 per share, including, without limitation, the issuance of, or upon exercise, conversion or exchange of, any Options or Convertible Securities (as such terms are defined in the Series I Warrants) containing an exercise, conversion or exchange price of less than NIS 1.00 per share.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V.</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MISCELLANEOUS</w:t>
      </w:r>
    </w:p>
    <w:p>
      <w:pPr>
        <w:spacing w:after="0" w:line="192" w:lineRule="exact"/>
        <w:rPr>
          <w:sz w:val="20"/>
          <w:szCs w:val="20"/>
          <w:color w:val="auto"/>
        </w:rPr>
      </w:pPr>
    </w:p>
    <w:p>
      <w:pPr>
        <w:jc w:val="both"/>
        <w:ind w:right="60" w:firstLine="388"/>
        <w:spacing w:after="0" w:line="310"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Termination</w:t>
      </w:r>
      <w:r>
        <w:rPr>
          <w:rFonts w:ascii="Arial" w:cs="Arial" w:eastAsia="Arial" w:hAnsi="Arial"/>
          <w:sz w:val="14"/>
          <w:szCs w:val="14"/>
          <w:color w:val="auto"/>
        </w:rPr>
        <w:t xml:space="preserve">. This Agreement may be terminated by any Purchaser, as to such Purchaser’s obligations hereunder (and the Company’s obligations to such Purchaser) only and without any effect whatsoever on the obligations between the Company and the other Purchasers, by written notice to the other parties, if the Closing has not been consummated on or before March 16, 2007;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no such termination will affect the right of any party to sue for any breach by the other party (or parties).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34" w:name="page35"/>
    <w:bookmarkEnd w:id="34"/>
    <w:p>
      <w:pPr>
        <w:ind w:right="460" w:firstLine="388"/>
        <w:spacing w:after="0" w:line="25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Fees and Expenses</w:t>
      </w:r>
      <w:r>
        <w:rPr>
          <w:rFonts w:ascii="Arial" w:cs="Arial" w:eastAsia="Arial" w:hAnsi="Arial"/>
          <w:sz w:val="16"/>
          <w:szCs w:val="16"/>
          <w:color w:val="auto"/>
        </w:rPr>
        <w:t>. The Company shall pay the reasonable fees and expenses of Purchaser Counsel.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Securities to the Purchasers.</w:t>
      </w:r>
    </w:p>
    <w:p>
      <w:pPr>
        <w:spacing w:after="0" w:line="175" w:lineRule="exact"/>
        <w:rPr>
          <w:sz w:val="20"/>
          <w:szCs w:val="20"/>
          <w:color w:val="auto"/>
        </w:rPr>
      </w:pPr>
    </w:p>
    <w:p>
      <w:pPr>
        <w:ind w:right="240" w:firstLine="388"/>
        <w:spacing w:after="0" w:line="25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contain the entire understanding of the parties with respect to the subject matter hereof and supersede all prior agreements and understandings, oral or written, with respect to such matters, which the parties acknowledge have been merged into such documents, exhibits and schedules.</w:t>
      </w:r>
    </w:p>
    <w:p>
      <w:pPr>
        <w:spacing w:after="0" w:line="175" w:lineRule="exact"/>
        <w:rPr>
          <w:sz w:val="20"/>
          <w:szCs w:val="20"/>
          <w:color w:val="auto"/>
        </w:rPr>
      </w:pPr>
    </w:p>
    <w:p>
      <w:pPr>
        <w:ind w:firstLine="388"/>
        <w:spacing w:after="0" w:line="288"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Notices</w:t>
      </w:r>
      <w:r>
        <w:rPr>
          <w:rFonts w:ascii="Arial" w:cs="Arial" w:eastAsia="Arial" w:hAnsi="Arial"/>
          <w:sz w:val="14"/>
          <w:szCs w:val="14"/>
          <w:color w:val="auto"/>
        </w:rPr>
        <w:t>. Any and all notices or other communications or deliveries required or permitted to be provided hereunder shall be in writing and shall be deemed given and effective on the earliest of (a) the next Trading Day after the date of transmission, if such notice or communication is delivered via facsimile at the facsimile number set forth on the signature</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pages attached hereto (b) the 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Trading Day following the date of mailing, if sent overnight via a U.S. or Israeli nationally recognized overnight courier service, or (c) upon actual receipt by the party to whom such notice is required to be given. The address for such notices and communications shall be as set forth on the signature pages attached hereto. A notice delivered to the Purchasers must be delivered to each Purchaser hereto in accordance with this Section 5.4 with a copy (for informational purposes only) to:</w:t>
      </w:r>
    </w:p>
    <w:p>
      <w:pPr>
        <w:spacing w:after="0" w:line="185"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Schulte Roth &amp; Zabel LLP</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919 Third Avenue</w:t>
      </w:r>
    </w:p>
    <w:p>
      <w:pPr>
        <w:spacing w:after="0" w:line="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New York, New York 10022</w:t>
      </w:r>
    </w:p>
    <w:p>
      <w:pPr>
        <w:spacing w:after="0" w:line="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Telephone: (212) 756-2000</w:t>
      </w:r>
    </w:p>
    <w:p>
      <w:pPr>
        <w:spacing w:after="0" w:line="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Facsimile: (212) 593-5955</w:t>
      </w:r>
    </w:p>
    <w:p>
      <w:pPr>
        <w:spacing w:after="0" w:line="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Attention: Eleazer N. Klein, Esq.</w:t>
      </w:r>
    </w:p>
    <w:p>
      <w:pPr>
        <w:spacing w:after="0" w:line="192" w:lineRule="exact"/>
        <w:rPr>
          <w:sz w:val="20"/>
          <w:szCs w:val="20"/>
          <w:color w:val="auto"/>
        </w:rPr>
      </w:pPr>
    </w:p>
    <w:p>
      <w:pPr>
        <w:ind w:right="100" w:firstLine="388"/>
        <w:spacing w:after="0" w:line="25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Except as expressly set forth herein, no provision of this Agreement may be waived or amended except in a written instrument signed, in the case of an amendment, by the Company and Purchasers subscribing for at least fifty percent (50%) of the Securities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Headings</w:t>
      </w:r>
      <w:r>
        <w:rPr>
          <w:rFonts w:ascii="Arial" w:cs="Arial" w:eastAsia="Arial" w:hAnsi="Arial"/>
          <w:sz w:val="14"/>
          <w:szCs w:val="14"/>
          <w:color w:val="auto"/>
        </w:rPr>
        <w:t>. The headings herein are for convenience only, do not constitute a part of this Agreement and shall not be deemed to limit or affect any of the provisions hereof.</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35" w:name="page36"/>
    <w:bookmarkEnd w:id="35"/>
    <w:p>
      <w:pPr>
        <w:ind w:firstLine="388"/>
        <w:spacing w:after="0" w:line="25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such transferee agrees in writing to be bound (a copy of which shall be provided to the Company), with respect to the transferred Securities, by the provisions of the Transaction Documents that apply to the “Purchasers”, including, for the sake of clarity, any restrictions imposed by applicable securities laws.</w:t>
      </w:r>
    </w:p>
    <w:p>
      <w:pPr>
        <w:spacing w:after="0" w:line="179" w:lineRule="exact"/>
        <w:rPr>
          <w:sz w:val="20"/>
          <w:szCs w:val="20"/>
          <w:color w:val="auto"/>
        </w:rPr>
      </w:pPr>
    </w:p>
    <w:p>
      <w:pPr>
        <w:ind w:right="60" w:firstLine="388"/>
        <w:spacing w:after="0" w:line="26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Agreement is intended for the benefit of the parties hereto and their respective successors and permitted assigns and is not for the benefit of, nor may any provision hereof be enforced by, any other Person, except as otherwise set forth in Section 4.8.</w:t>
      </w:r>
    </w:p>
    <w:p>
      <w:pPr>
        <w:spacing w:after="0" w:line="168" w:lineRule="exact"/>
        <w:rPr>
          <w:sz w:val="20"/>
          <w:szCs w:val="20"/>
          <w:color w:val="auto"/>
        </w:rPr>
      </w:pPr>
    </w:p>
    <w:p>
      <w:pPr>
        <w:ind w:right="40" w:firstLine="388"/>
        <w:spacing w:after="0" w:line="288" w:lineRule="auto"/>
        <w:rPr>
          <w:sz w:val="20"/>
          <w:szCs w:val="20"/>
          <w:color w:val="auto"/>
        </w:rPr>
      </w:pPr>
      <w:r>
        <w:rPr>
          <w:rFonts w:ascii="Arial" w:cs="Arial" w:eastAsia="Arial" w:hAnsi="Arial"/>
          <w:sz w:val="14"/>
          <w:szCs w:val="14"/>
          <w:color w:val="auto"/>
        </w:rPr>
        <w:t xml:space="preserve">5.9 </w:t>
      </w:r>
      <w:r>
        <w:rPr>
          <w:rFonts w:ascii="Arial" w:cs="Arial" w:eastAsia="Arial" w:hAnsi="Arial"/>
          <w:sz w:val="14"/>
          <w:szCs w:val="14"/>
          <w:u w:val="single" w:color="auto"/>
          <w:color w:val="auto"/>
        </w:rPr>
        <w:t>Governing Law</w:t>
      </w:r>
      <w:r>
        <w:rPr>
          <w:rFonts w:ascii="Arial" w:cs="Arial" w:eastAsia="Arial" w:hAnsi="Arial"/>
          <w:sz w:val="14"/>
          <w:szCs w:val="14"/>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parties hereby waive all rights to a trial by jury.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Shares and Warrant Shares.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36" w:name="page37"/>
    <w:bookmarkEnd w:id="36"/>
    <w:p>
      <w:pPr>
        <w:ind w:right="100" w:firstLine="388"/>
        <w:spacing w:after="0" w:line="301" w:lineRule="auto"/>
        <w:rPr>
          <w:sz w:val="20"/>
          <w:szCs w:val="20"/>
          <w:color w:val="auto"/>
        </w:rPr>
      </w:pPr>
      <w:r>
        <w:rPr>
          <w:rFonts w:ascii="Arial" w:cs="Arial" w:eastAsia="Arial" w:hAnsi="Arial"/>
          <w:sz w:val="14"/>
          <w:szCs w:val="14"/>
          <w:color w:val="auto"/>
        </w:rPr>
        <w:t xml:space="preserve">5.11 </w:t>
      </w:r>
      <w:r>
        <w:rPr>
          <w:rFonts w:ascii="Arial" w:cs="Arial" w:eastAsia="Arial" w:hAnsi="Arial"/>
          <w:sz w:val="14"/>
          <w:szCs w:val="14"/>
          <w:u w:val="single" w:color="auto"/>
          <w:color w:val="auto"/>
        </w:rPr>
        <w:t>Execution</w:t>
      </w:r>
      <w:r>
        <w:rPr>
          <w:rFonts w:ascii="Arial" w:cs="Arial" w:eastAsia="Arial" w:hAnsi="Arial"/>
          <w:sz w:val="14"/>
          <w:szCs w:val="14"/>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46" w:lineRule="exact"/>
        <w:rPr>
          <w:sz w:val="20"/>
          <w:szCs w:val="20"/>
          <w:color w:val="auto"/>
        </w:rPr>
      </w:pPr>
    </w:p>
    <w:p>
      <w:pPr>
        <w:ind w:right="20" w:firstLine="388"/>
        <w:spacing w:after="0" w:line="297" w:lineRule="auto"/>
        <w:rPr>
          <w:sz w:val="20"/>
          <w:szCs w:val="20"/>
          <w:color w:val="auto"/>
        </w:rPr>
      </w:pPr>
      <w:r>
        <w:rPr>
          <w:rFonts w:ascii="Arial" w:cs="Arial" w:eastAsia="Arial" w:hAnsi="Arial"/>
          <w:sz w:val="14"/>
          <w:szCs w:val="14"/>
          <w:color w:val="auto"/>
        </w:rPr>
        <w:t xml:space="preserve">5.12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49" w:lineRule="exact"/>
        <w:rPr>
          <w:sz w:val="20"/>
          <w:szCs w:val="20"/>
          <w:color w:val="auto"/>
        </w:rPr>
      </w:pPr>
    </w:p>
    <w:p>
      <w:pPr>
        <w:jc w:val="both"/>
        <w:ind w:right="280" w:firstLine="388"/>
        <w:spacing w:after="0" w:line="254"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Rescission and Withdrawal Right</w:t>
      </w:r>
      <w:r>
        <w:rPr>
          <w:rFonts w:ascii="Arial" w:cs="Arial" w:eastAsia="Arial" w:hAnsi="Arial"/>
          <w:sz w:val="16"/>
          <w:szCs w:val="16"/>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75" w:lineRule="exact"/>
        <w:rPr>
          <w:sz w:val="20"/>
          <w:szCs w:val="20"/>
          <w:color w:val="auto"/>
        </w:rPr>
      </w:pPr>
    </w:p>
    <w:p>
      <w:pPr>
        <w:ind w:firstLine="388"/>
        <w:spacing w:after="0" w:line="301" w:lineRule="auto"/>
        <w:rPr>
          <w:sz w:val="20"/>
          <w:szCs w:val="20"/>
          <w:color w:val="auto"/>
        </w:rPr>
      </w:pPr>
      <w:r>
        <w:rPr>
          <w:rFonts w:ascii="Arial" w:cs="Arial" w:eastAsia="Arial" w:hAnsi="Arial"/>
          <w:sz w:val="14"/>
          <w:szCs w:val="14"/>
          <w:color w:val="auto"/>
        </w:rPr>
        <w:t xml:space="preserve">5.14 </w:t>
      </w:r>
      <w:r>
        <w:rPr>
          <w:rFonts w:ascii="Arial" w:cs="Arial" w:eastAsia="Arial" w:hAnsi="Arial"/>
          <w:sz w:val="14"/>
          <w:szCs w:val="14"/>
          <w:u w:val="single" w:color="auto"/>
          <w:color w:val="auto"/>
        </w:rPr>
        <w:t>Replacement of Securities</w:t>
      </w:r>
      <w:r>
        <w:rPr>
          <w:rFonts w:ascii="Arial" w:cs="Arial" w:eastAsia="Arial" w:hAnsi="Arial"/>
          <w:sz w:val="14"/>
          <w:szCs w:val="14"/>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46" w:lineRule="exact"/>
        <w:rPr>
          <w:sz w:val="20"/>
          <w:szCs w:val="20"/>
          <w:color w:val="auto"/>
        </w:rPr>
      </w:pPr>
    </w:p>
    <w:p>
      <w:pPr>
        <w:ind w:firstLine="388"/>
        <w:spacing w:after="0" w:line="254"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agrees to waive and not to assert in any action for specific performance of any such obligation the defense that a remedy at law would be adequate.</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60"/>
          </w:cols>
          <w:pgMar w:left="240" w:top="133" w:right="299" w:bottom="1440" w:gutter="0" w:footer="0" w:header="0"/>
        </w:sectPr>
      </w:pPr>
    </w:p>
    <w:bookmarkStart w:id="37" w:name="page38"/>
    <w:bookmarkEnd w:id="37"/>
    <w:p>
      <w:pPr>
        <w:ind w:right="140" w:firstLine="388"/>
        <w:spacing w:after="0" w:line="252"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subject to applicable law, the obligation or part thereof originally intended to be satisfied shall be revived and continued in full force and effect as if such payment had not been made or such enforcement or setoff had not occurred.</w:t>
      </w:r>
    </w:p>
    <w:p>
      <w:pPr>
        <w:spacing w:after="0" w:line="177" w:lineRule="exact"/>
        <w:rPr>
          <w:sz w:val="20"/>
          <w:szCs w:val="20"/>
          <w:color w:val="auto"/>
        </w:rPr>
      </w:pPr>
    </w:p>
    <w:p>
      <w:pPr>
        <w:ind w:right="20" w:firstLine="388"/>
        <w:spacing w:after="0" w:line="290" w:lineRule="auto"/>
        <w:rPr>
          <w:sz w:val="20"/>
          <w:szCs w:val="20"/>
          <w:color w:val="auto"/>
        </w:rPr>
      </w:pPr>
      <w:r>
        <w:rPr>
          <w:rFonts w:ascii="Arial" w:cs="Arial" w:eastAsia="Arial" w:hAnsi="Arial"/>
          <w:sz w:val="14"/>
          <w:szCs w:val="14"/>
          <w:color w:val="auto"/>
        </w:rPr>
        <w:t xml:space="preserve">5.17 </w:t>
      </w:r>
      <w:r>
        <w:rPr>
          <w:rFonts w:ascii="Arial" w:cs="Arial" w:eastAsia="Arial" w:hAnsi="Arial"/>
          <w:sz w:val="14"/>
          <w:szCs w:val="14"/>
          <w:u w:val="single" w:color="auto"/>
          <w:color w:val="auto"/>
        </w:rPr>
        <w:t>Independent Nature of Purchasers’ Obligations and Rights</w:t>
      </w:r>
      <w:r>
        <w:rPr>
          <w:rFonts w:ascii="Arial" w:cs="Arial" w:eastAsia="Arial" w:hAnsi="Arial"/>
          <w:sz w:val="14"/>
          <w:szCs w:val="14"/>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thereto, shall be deemed to constitute the Purchasers as a partnership, an association, a joint venture or any other kind of group or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their review and negotiation of the Transaction Documents. For reasons of administrative convenience only, Purchasers and their respective counsel have chosen to communicate with the Company through Goodwin Procter LLP. Goodwin Procter LLP does not represent the Purchasers but only Citigroup Global Markets, Inc., who has acted as placement agent to the transaction. The Company has elected to provide all Purchasers with the same terms and Transaction Documents for the convenience of the Company and not because it was required or requested to do so by the Purchasers.</w:t>
      </w:r>
    </w:p>
    <w:p>
      <w:pPr>
        <w:spacing w:after="0" w:line="154" w:lineRule="exact"/>
        <w:rPr>
          <w:sz w:val="20"/>
          <w:szCs w:val="20"/>
          <w:color w:val="auto"/>
        </w:rPr>
      </w:pPr>
    </w:p>
    <w:p>
      <w:pPr>
        <w:ind w:right="120" w:firstLine="388"/>
        <w:spacing w:after="0" w:line="256"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Damages</w:t>
      </w:r>
      <w:r>
        <w:rPr>
          <w:rFonts w:ascii="Arial" w:cs="Arial" w:eastAsia="Arial" w:hAnsi="Arial"/>
          <w:sz w:val="16"/>
          <w:szCs w:val="16"/>
          <w:color w:val="auto"/>
        </w:rPr>
        <w:t>. The Company’s obligations to pay any damages or other amounts owing under the Transaction Documents is a continuing obligation of the Company and shall not terminate until all unpaid damages and other amounts have been paid or such payments have been waived or otherwise satisfied, notwithstanding the fact that the instrument or security pursuant to which such damages or other amounts are due and payable shall have been canceled.</w:t>
      </w:r>
    </w:p>
    <w:p>
      <w:pPr>
        <w:spacing w:after="0" w:line="175" w:lineRule="exact"/>
        <w:rPr>
          <w:sz w:val="20"/>
          <w:szCs w:val="20"/>
          <w:color w:val="auto"/>
        </w:rPr>
      </w:pPr>
    </w:p>
    <w:p>
      <w:pPr>
        <w:jc w:val="both"/>
        <w:ind w:right="80" w:firstLine="388"/>
        <w:spacing w:after="0" w:line="256"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agree that each of them and/or their respective counsel has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hereto.</w:t>
      </w:r>
    </w:p>
    <w:p>
      <w:pPr>
        <w:spacing w:after="0" w:line="175" w:lineRule="exact"/>
        <w:rPr>
          <w:sz w:val="20"/>
          <w:szCs w:val="20"/>
          <w:color w:val="auto"/>
        </w:rPr>
      </w:pPr>
    </w:p>
    <w:p>
      <w:pPr>
        <w:ind w:firstLine="388"/>
        <w:spacing w:after="0" w:line="297" w:lineRule="auto"/>
        <w:rPr>
          <w:sz w:val="20"/>
          <w:szCs w:val="20"/>
          <w:color w:val="auto"/>
        </w:rPr>
      </w:pPr>
      <w:r>
        <w:rPr>
          <w:rFonts w:ascii="Arial" w:cs="Arial" w:eastAsia="Arial" w:hAnsi="Arial"/>
          <w:sz w:val="14"/>
          <w:szCs w:val="14"/>
          <w:color w:val="auto"/>
        </w:rPr>
        <w:t xml:space="preserve">5.20 </w:t>
      </w:r>
      <w:r>
        <w:rPr>
          <w:rFonts w:ascii="Arial" w:cs="Arial" w:eastAsia="Arial" w:hAnsi="Arial"/>
          <w:sz w:val="14"/>
          <w:szCs w:val="14"/>
          <w:u w:val="single" w:color="auto"/>
          <w:color w:val="auto"/>
        </w:rPr>
        <w:t>Appointment of Agent for Service of Process</w:t>
      </w:r>
      <w:r>
        <w:rPr>
          <w:rFonts w:ascii="Arial" w:cs="Arial" w:eastAsia="Arial" w:hAnsi="Arial"/>
          <w:sz w:val="14"/>
          <w:szCs w:val="14"/>
          <w:color w:val="auto"/>
        </w:rPr>
        <w:t>. The Company hereby irrevocably appoints Tower Semiconductor USA, 4300 Stevens Creek Boulevard, Suite 175, San Jose, California 95129, Telephone: (408) 551-6500, Facsimile: (408) 551-6509, Attention: Russell Ellwanger, CEO</w:t>
      </w:r>
      <w:r>
        <w:rPr>
          <w:rFonts w:ascii="Arial" w:cs="Arial" w:eastAsia="Arial" w:hAnsi="Arial"/>
          <w:sz w:val="14"/>
          <w:szCs w:val="14"/>
          <w:b w:val="1"/>
          <w:bCs w:val="1"/>
          <w:color w:val="auto"/>
        </w:rPr>
        <w:t>,</w:t>
      </w:r>
      <w:r>
        <w:rPr>
          <w:rFonts w:ascii="Arial" w:cs="Arial" w:eastAsia="Arial" w:hAnsi="Arial"/>
          <w:sz w:val="14"/>
          <w:szCs w:val="14"/>
          <w:color w:val="auto"/>
        </w:rPr>
        <w:t xml:space="preserve"> as its agent for the receipt of service of process in the United States. The Company agrees that any document may be effectively served on it in connection with any action, suit or proceeding in the United States by service on its agents. Each of the Purchasers consents and agrees that the Company may, in its reasonable discretion, irrevocably appoint a substitute agent for the receipt of service of process located within the Untied States, and that upon such appointment, the appointment of Tower Semiconductor USA may be revoked.</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38" w:name="page39"/>
    <w:bookmarkEnd w:id="38"/>
    <w:p>
      <w:pPr>
        <w:ind w:right="300" w:firstLine="960"/>
        <w:spacing w:after="0" w:line="336" w:lineRule="auto"/>
        <w:rPr>
          <w:sz w:val="20"/>
          <w:szCs w:val="20"/>
          <w:color w:val="auto"/>
        </w:rPr>
      </w:pPr>
      <w:r>
        <w:rPr>
          <w:rFonts w:ascii="Arial" w:cs="Arial" w:eastAsia="Arial" w:hAnsi="Arial"/>
          <w:sz w:val="14"/>
          <w:szCs w:val="14"/>
          <w:color w:val="auto"/>
        </w:rPr>
        <w:t>Any document shall be deemed to have been duly served if marked for the attention of the agent at its address (as set out above) or such other address in the United States as may be notified to the party wishing to serve the document and delivered in accordance with the notice provisions set forth in this Section 5.20.</w:t>
      </w:r>
    </w:p>
    <w:p>
      <w:pPr>
        <w:spacing w:after="0" w:line="122" w:lineRule="exact"/>
        <w:rPr>
          <w:sz w:val="20"/>
          <w:szCs w:val="20"/>
          <w:color w:val="auto"/>
        </w:rPr>
      </w:pPr>
    </w:p>
    <w:p>
      <w:pPr>
        <w:ind w:firstLine="969"/>
        <w:spacing w:after="0" w:line="254" w:lineRule="auto"/>
        <w:rPr>
          <w:sz w:val="20"/>
          <w:szCs w:val="20"/>
          <w:color w:val="auto"/>
        </w:rPr>
      </w:pPr>
      <w:r>
        <w:rPr>
          <w:rFonts w:ascii="Arial" w:cs="Arial" w:eastAsia="Arial" w:hAnsi="Arial"/>
          <w:sz w:val="16"/>
          <w:szCs w:val="16"/>
          <w:color w:val="auto"/>
        </w:rPr>
        <w:t>If the Company’s agent at any time ceases for any reason to act as such, the Company shall appoint a replacement agent having an address for service in the United States and shall notify each Purchaser in writing of the name and address of the replacement agent. Failing such appointment and notification, each Purchaser shall be entitled by notice to the Company to appoint a replacement agent to act on the Company’s behalf. The provisions of this Section 5.20 applying to service on an agent apply equally to service on a replacement agent.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Pages Follow)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39" w:name="page40"/>
    <w:bookmarkEnd w:id="39"/>
    <w:p>
      <w:pPr>
        <w:ind w:firstLine="969"/>
        <w:spacing w:after="0" w:line="264" w:lineRule="auto"/>
        <w:rPr>
          <w:sz w:val="20"/>
          <w:szCs w:val="20"/>
          <w:color w:val="auto"/>
        </w:rPr>
      </w:pPr>
      <w:r>
        <w:rPr>
          <w:rFonts w:ascii="Arial" w:cs="Arial" w:eastAsia="Arial" w:hAnsi="Arial"/>
          <w:sz w:val="16"/>
          <w:szCs w:val="16"/>
          <w:color w:val="auto"/>
        </w:rPr>
        <w:t>IN WITNESS WHEREOF, the parties hereto have caused this Securities Purchase Agreement to be duly executed by their respective authorized signatories as of the date first indicated above.</w:t>
      </w:r>
    </w:p>
    <w:p>
      <w:pPr>
        <w:spacing w:after="0" w:line="180"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color w:val="auto"/>
        </w:rPr>
        <w:t>TOWER SEMICONDUCTOR LTD.</w:t>
      </w:r>
      <w:r>
        <w:rPr>
          <w:sz w:val="20"/>
          <w:szCs w:val="20"/>
          <w:color w:val="auto"/>
        </w:rPr>
        <w:tab/>
      </w:r>
      <w:r>
        <w:rPr>
          <w:rFonts w:ascii="Arial" w:cs="Arial" w:eastAsia="Arial" w:hAnsi="Arial"/>
          <w:sz w:val="14"/>
          <w:szCs w:val="14"/>
          <w:u w:val="single" w:color="auto"/>
          <w:color w:val="auto"/>
        </w:rPr>
        <w:t>Address for Notice:</w:t>
      </w:r>
    </w:p>
    <w:p>
      <w:pPr>
        <w:spacing w:after="0" w:line="13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Tower Semiconductor Ltd.</w:t>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Ramat Gavriel Industrial Area</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P.O. Box 619</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Migdal Haemek Israel 23105</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Fax. 972-4-6047242</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Attention: Chief Financial Officer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69215</wp:posOffset>
            </wp:positionV>
            <wp:extent cx="31730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73095" cy="7620"/>
                    </a:xfrm>
                    <a:prstGeom prst="rect">
                      <a:avLst/>
                    </a:prstGeom>
                    <a:noFill/>
                  </pic:spPr>
                </pic:pic>
              </a:graphicData>
            </a:graphic>
          </wp:anchor>
        </w:drawing>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Name: Oren Shirazi</w:t>
      </w:r>
    </w:p>
    <w:p>
      <w:pPr>
        <w:spacing w:after="0" w:line="1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Title: Chief Financial Officer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With a copy to (which shall not constitute notice):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Yigal Arnon &amp; Co.</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 Azrieli Center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46th Floor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Tel Aviv, Israel, 67021</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Fax: 972-3-608-7714</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Attn: David Schapiro, Adv.</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and a copy to (which shall not constitute notice):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Eilenberg, Krause &amp; Paul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11 East 44th Street, 19th Floor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10017</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Fax: 212-986-2399</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Attention: Sheldon Krause, Esq.</w:t>
      </w:r>
    </w:p>
    <w:p>
      <w:pPr>
        <w:spacing w:after="0" w:line="19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[REMAINDER OF PAGE INTENTIONALLY LEFT BLANK</w:t>
      </w:r>
    </w:p>
    <w:p>
      <w:pPr>
        <w:spacing w:after="0" w:line="1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SIGNATURE PAGE FOR PURCHASER FOLLOWS]</w:t>
      </w:r>
    </w:p>
    <w:p>
      <w:pPr>
        <w:spacing w:after="0" w:line="19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180"/>
          </w:cols>
          <w:pgMar w:left="240" w:top="132" w:right="479" w:bottom="1440" w:gutter="0" w:footer="0" w:header="0"/>
        </w:sectPr>
      </w:pPr>
    </w:p>
    <w:bookmarkStart w:id="40" w:name="page41"/>
    <w:bookmarkEnd w:id="40"/>
    <w:p>
      <w:pPr>
        <w:jc w:val="center"/>
        <w:ind w:right="-319"/>
        <w:spacing w:after="0"/>
        <w:rPr>
          <w:sz w:val="20"/>
          <w:szCs w:val="20"/>
          <w:color w:val="auto"/>
        </w:rPr>
      </w:pPr>
      <w:r>
        <w:rPr>
          <w:rFonts w:ascii="Arial" w:cs="Arial" w:eastAsia="Arial" w:hAnsi="Arial"/>
          <w:sz w:val="16"/>
          <w:szCs w:val="16"/>
          <w:color w:val="auto"/>
        </w:rPr>
        <w:t>PURCHASER SIGNATURE PAGES TO TOWER SEMICONDUCTOR LTD.</w:t>
      </w:r>
    </w:p>
    <w:p>
      <w:pPr>
        <w:spacing w:after="0" w:line="1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SECURITIES PURCHASE AGREEMENT</w:t>
      </w:r>
    </w:p>
    <w:p>
      <w:pPr>
        <w:spacing w:after="0" w:line="192" w:lineRule="exact"/>
        <w:rPr>
          <w:sz w:val="20"/>
          <w:szCs w:val="20"/>
          <w:color w:val="auto"/>
        </w:rPr>
      </w:pPr>
    </w:p>
    <w:p>
      <w:pPr>
        <w:ind w:firstLine="388"/>
        <w:spacing w:after="0" w:line="264" w:lineRule="auto"/>
        <w:rPr>
          <w:sz w:val="20"/>
          <w:szCs w:val="20"/>
          <w:color w:val="auto"/>
        </w:rPr>
      </w:pPr>
      <w:r>
        <w:rPr>
          <w:rFonts w:ascii="Arial" w:cs="Arial" w:eastAsia="Arial" w:hAnsi="Arial"/>
          <w:sz w:val="16"/>
          <w:szCs w:val="16"/>
          <w:color w:val="auto"/>
        </w:rPr>
        <w:t>IN WITNESS WHEREOF, the undersigned have caused this Securities Purchase Agreement to be duly executed by their respective authorized signatories as of the date first indicated above.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1148080</wp:posOffset>
            </wp:positionH>
            <wp:positionV relativeFrom="paragraph">
              <wp:posOffset>69215</wp:posOffset>
            </wp:positionV>
            <wp:extent cx="248412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4120" cy="762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of Authorized Signatory of Purchaser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69215</wp:posOffset>
            </wp:positionV>
            <wp:extent cx="444563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45635" cy="762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69215</wp:posOffset>
            </wp:positionV>
            <wp:extent cx="53917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91785" cy="762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1799590</wp:posOffset>
            </wp:positionH>
            <wp:positionV relativeFrom="paragraph">
              <wp:posOffset>69215</wp:posOffset>
            </wp:positionV>
            <wp:extent cx="546036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60365" cy="762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Email Address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69215</wp:posOffset>
            </wp:positionV>
            <wp:extent cx="560387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03875" cy="762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Fax Number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69215</wp:posOffset>
            </wp:positionV>
            <wp:extent cx="568007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0075" cy="762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 of Purchaser: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Address for Delivery of Securities for Purchaser (if not same as above):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Subscription Amount:</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Shares: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Series I Warrant Shares: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Series II Warrant Shares:</w:t>
      </w:r>
    </w:p>
    <w:p>
      <w:pPr>
        <w:spacing w:after="0" w:line="7" w:lineRule="exact"/>
        <w:rPr>
          <w:sz w:val="20"/>
          <w:szCs w:val="20"/>
          <w:color w:val="auto"/>
        </w:rPr>
      </w:pPr>
    </w:p>
    <w:p>
      <w:pPr>
        <w:spacing w:after="0"/>
        <w:tabs>
          <w:tab w:leader="none" w:pos="1340" w:val="left"/>
        </w:tabs>
        <w:rPr>
          <w:sz w:val="20"/>
          <w:szCs w:val="20"/>
          <w:color w:val="auto"/>
        </w:rPr>
      </w:pPr>
      <w:r>
        <w:rPr>
          <w:rFonts w:ascii="Arial" w:cs="Arial" w:eastAsia="Arial" w:hAnsi="Arial"/>
          <w:sz w:val="16"/>
          <w:szCs w:val="16"/>
          <w:color w:val="auto"/>
        </w:rPr>
        <w:t>EIN Number:</w:t>
      </w:r>
      <w:r>
        <w:rPr>
          <w:sz w:val="20"/>
          <w:szCs w:val="20"/>
          <w:color w:val="auto"/>
        </w:rPr>
        <w:tab/>
      </w:r>
      <w:r>
        <w:rPr>
          <w:rFonts w:ascii="Arial" w:cs="Arial" w:eastAsia="Arial" w:hAnsi="Arial"/>
          <w:sz w:val="14"/>
          <w:szCs w:val="14"/>
          <w:b w:val="1"/>
          <w:bCs w:val="1"/>
          <w:color w:val="auto"/>
        </w:rPr>
        <w:t>[MAY BE PROVIDED UNDER SEPARATE COVER]</w:t>
      </w:r>
    </w:p>
    <w:p>
      <w:pPr>
        <w:spacing w:after="0" w:line="19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6420485</wp:posOffset>
            </wp:positionV>
            <wp:extent cx="7282815" cy="292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2815" cy="29210"/>
                    </a:xfrm>
                    <a:prstGeom prst="rect">
                      <a:avLst/>
                    </a:prstGeom>
                    <a:noFill/>
                  </pic:spPr>
                </pic:pic>
              </a:graphicData>
            </a:graphic>
          </wp:anchor>
        </w:drawing>
      </w:r>
    </w:p>
    <w:p>
      <w:pPr>
        <w:sectPr>
          <w:pgSz w:w="11900" w:h="16838" w:orient="portrait"/>
          <w:cols w:equalWidth="0" w:num="1">
            <w:col w:w="11120"/>
          </w:cols>
          <w:pgMar w:left="240" w:top="133" w:right="5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auto"/>
        </w:rPr>
        <w:t>EXHIBIT 99.3</w:t>
      </w:r>
    </w:p>
    <w:p>
      <w:pPr>
        <w:spacing w:after="0" w:line="257" w:lineRule="exact"/>
        <w:rPr>
          <w:sz w:val="20"/>
          <w:szCs w:val="20"/>
          <w:color w:val="auto"/>
        </w:rPr>
      </w:pPr>
    </w:p>
    <w:p>
      <w:pPr>
        <w:ind w:left="4805"/>
        <w:spacing w:after="0"/>
        <w:rPr>
          <w:sz w:val="20"/>
          <w:szCs w:val="20"/>
          <w:color w:val="auto"/>
        </w:rPr>
      </w:pPr>
      <w:r>
        <w:rPr>
          <w:rFonts w:ascii="Arial" w:cs="Arial" w:eastAsia="Arial" w:hAnsi="Arial"/>
          <w:sz w:val="16"/>
          <w:szCs w:val="16"/>
          <w:b w:val="1"/>
          <w:bCs w:val="1"/>
          <w:u w:val="single" w:color="auto"/>
          <w:color w:val="auto"/>
        </w:rPr>
        <w:t>Disclosure Schedules to the</w:t>
      </w:r>
    </w:p>
    <w:p>
      <w:pPr>
        <w:spacing w:after="0" w:line="18" w:lineRule="exact"/>
        <w:rPr>
          <w:sz w:val="20"/>
          <w:szCs w:val="20"/>
          <w:color w:val="auto"/>
        </w:rPr>
      </w:pPr>
    </w:p>
    <w:p>
      <w:pPr>
        <w:ind w:left="4685"/>
        <w:spacing w:after="0"/>
        <w:rPr>
          <w:sz w:val="20"/>
          <w:szCs w:val="20"/>
          <w:color w:val="auto"/>
        </w:rPr>
      </w:pPr>
      <w:r>
        <w:rPr>
          <w:rFonts w:ascii="Arial" w:cs="Arial" w:eastAsia="Arial" w:hAnsi="Arial"/>
          <w:sz w:val="16"/>
          <w:szCs w:val="16"/>
          <w:b w:val="1"/>
          <w:bCs w:val="1"/>
          <w:u w:val="single" w:color="auto"/>
          <w:color w:val="auto"/>
        </w:rPr>
        <w:t>Securities Purchase Agreement</w:t>
      </w:r>
    </w:p>
    <w:p>
      <w:pPr>
        <w:spacing w:after="0" w:line="258"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General Terms</w:t>
      </w:r>
    </w:p>
    <w:p>
      <w:pPr>
        <w:spacing w:after="0" w:line="263" w:lineRule="exact"/>
        <w:rPr>
          <w:sz w:val="20"/>
          <w:szCs w:val="20"/>
          <w:color w:val="auto"/>
        </w:rPr>
      </w:pPr>
    </w:p>
    <w:p>
      <w:pPr>
        <w:ind w:left="565" w:right="140" w:hanging="565"/>
        <w:spacing w:after="0" w:line="336" w:lineRule="auto"/>
        <w:tabs>
          <w:tab w:leader="none" w:pos="565"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terms used in this Disclosure Schedule but not defined herein shall have the same meanings ascribed thereto in the Securities Purchase Agreement by and among Tower Semiconductor Ltd. (the “Company”) and the Purchasers (as defined therein), dated March 14, 2007 (the “Agreement”).</w:t>
      </w:r>
    </w:p>
    <w:p>
      <w:pPr>
        <w:spacing w:after="0" w:line="145" w:lineRule="exact"/>
        <w:rPr>
          <w:rFonts w:ascii="Arial" w:cs="Arial" w:eastAsia="Arial" w:hAnsi="Arial"/>
          <w:sz w:val="14"/>
          <w:szCs w:val="14"/>
          <w:color w:val="auto"/>
        </w:rPr>
      </w:pPr>
    </w:p>
    <w:p>
      <w:pPr>
        <w:ind w:left="565" w:right="40" w:hanging="565"/>
        <w:spacing w:after="0" w:line="301" w:lineRule="auto"/>
        <w:tabs>
          <w:tab w:leader="none" w:pos="565"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This Disclosure Schedule is qualified in its entirety by reference to the specific provisions of the Agreement, and is not intended to constitute, and shall not be construed as constituting, representations and warranties of the Company, except as and to the extent provided in the Agreement. Inclusion of information herein shall not be construed as an admission that such information is material to the businesses of the Company, or give rise to circumstances which may result in a Material Adverse Effect on the Company, or that such information reflects facts or circumstances that are outside of the ordinary course of business.</w:t>
      </w:r>
    </w:p>
    <w:p>
      <w:pPr>
        <w:spacing w:after="0" w:line="170" w:lineRule="exact"/>
        <w:rPr>
          <w:rFonts w:ascii="Arial" w:cs="Arial" w:eastAsia="Arial" w:hAnsi="Arial"/>
          <w:sz w:val="14"/>
          <w:szCs w:val="14"/>
          <w:color w:val="auto"/>
        </w:rPr>
      </w:pPr>
    </w:p>
    <w:p>
      <w:pPr>
        <w:ind w:left="565" w:right="220" w:hanging="565"/>
        <w:spacing w:after="0" w:line="264" w:lineRule="auto"/>
        <w:tabs>
          <w:tab w:leader="none" w:pos="5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section numbers in this Disclosure Schedule correspond to the section numbers in the Agreement. The headings contained in this Disclosure Schedule are for reference purposes only and shall not affect in any way the meaning or interpretation of this Disclosure Schedule.</w:t>
      </w:r>
    </w:p>
    <w:p>
      <w:pPr>
        <w:spacing w:after="0" w:line="191" w:lineRule="exact"/>
        <w:rPr>
          <w:rFonts w:ascii="Arial" w:cs="Arial" w:eastAsia="Arial" w:hAnsi="Arial"/>
          <w:sz w:val="16"/>
          <w:szCs w:val="16"/>
          <w:color w:val="auto"/>
        </w:rPr>
      </w:pPr>
    </w:p>
    <w:p>
      <w:pPr>
        <w:jc w:val="both"/>
        <w:ind w:left="565" w:right="140" w:hanging="565"/>
        <w:spacing w:after="0" w:line="256" w:lineRule="auto"/>
        <w:tabs>
          <w:tab w:leader="none" w:pos="56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Where the terms of a contract or other disclosure item have been summarized or described in this Disclosure Schedule, such summary or description does not purport to be a complete statement of the material terms of such contract or other item, provided, however, that such disclosure does set forth material terms required to be responsive to the representation or warranty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226060</wp:posOffset>
            </wp:positionV>
            <wp:extent cx="726757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Schedule 3.1(a) – Subsidiaries</w:t>
      </w:r>
    </w:p>
    <w:p>
      <w:pPr>
        <w:spacing w:after="0" w:line="263"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Company’s sole subsidiary, which is wholly-owned by the Company, is Tower Semiconductor USA, Inc.</w:t>
      </w:r>
    </w:p>
    <w:p>
      <w:pPr>
        <w:spacing w:after="0" w:line="192" w:lineRule="exact"/>
        <w:rPr>
          <w:sz w:val="20"/>
          <w:szCs w:val="20"/>
          <w:color w:val="auto"/>
        </w:rPr>
      </w:pPr>
    </w:p>
    <w:p>
      <w:pPr>
        <w:ind w:left="5" w:right="220"/>
        <w:spacing w:after="0" w:line="260" w:lineRule="auto"/>
        <w:rPr>
          <w:sz w:val="20"/>
          <w:szCs w:val="20"/>
          <w:color w:val="auto"/>
        </w:rPr>
      </w:pPr>
      <w:r>
        <w:rPr>
          <w:rFonts w:ascii="Arial" w:cs="Arial" w:eastAsia="Arial" w:hAnsi="Arial"/>
          <w:sz w:val="16"/>
          <w:szCs w:val="16"/>
          <w:color w:val="auto"/>
        </w:rPr>
        <w:t>In connection with the Company’s Facility Agreement, dated January 18, 2001, with Bank Hapoalim B.M. and Bank Leumi Le-Israel B.M. (together, the “</w:t>
      </w:r>
      <w:r>
        <w:rPr>
          <w:rFonts w:ascii="Arial" w:cs="Arial" w:eastAsia="Arial" w:hAnsi="Arial"/>
          <w:sz w:val="16"/>
          <w:szCs w:val="16"/>
          <w:b w:val="1"/>
          <w:bCs w:val="1"/>
          <w:color w:val="auto"/>
        </w:rPr>
        <w:t>Banks</w:t>
      </w:r>
      <w:r>
        <w:rPr>
          <w:rFonts w:ascii="Arial" w:cs="Arial" w:eastAsia="Arial" w:hAnsi="Arial"/>
          <w:sz w:val="16"/>
          <w:szCs w:val="16"/>
          <w:color w:val="auto"/>
        </w:rPr>
        <w:t>”), as amended, the Company has registered first ranking fixed and floating charges in favor of the Banks on substantially all its present and future assets (the “</w:t>
      </w:r>
      <w:r>
        <w:rPr>
          <w:rFonts w:ascii="Arial" w:cs="Arial" w:eastAsia="Arial" w:hAnsi="Arial"/>
          <w:sz w:val="16"/>
          <w:szCs w:val="16"/>
          <w:b w:val="1"/>
          <w:bCs w:val="1"/>
          <w:color w:val="auto"/>
        </w:rPr>
        <w:t>Banks’ Charge</w:t>
      </w:r>
      <w:r>
        <w:rPr>
          <w:rFonts w:ascii="Arial" w:cs="Arial" w:eastAsia="Arial" w:hAnsi="Arial"/>
          <w:sz w:val="16"/>
          <w:szCs w:val="16"/>
          <w:color w:val="auto"/>
        </w:rPr>
        <w:t>”), including its shareholdings in the Subsidiary.</w:t>
      </w:r>
    </w:p>
    <w:p>
      <w:pPr>
        <w:spacing w:after="0" w:line="23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Schedule 3.1(e) – Filings, Consents and Approvals</w:t>
      </w:r>
    </w:p>
    <w:p>
      <w:pPr>
        <w:spacing w:after="0" w:line="263" w:lineRule="exact"/>
        <w:rPr>
          <w:sz w:val="20"/>
          <w:szCs w:val="20"/>
          <w:color w:val="auto"/>
        </w:rPr>
      </w:pPr>
    </w:p>
    <w:p>
      <w:pPr>
        <w:ind w:left="5" w:right="360"/>
        <w:spacing w:after="0" w:line="264" w:lineRule="auto"/>
        <w:rPr>
          <w:sz w:val="20"/>
          <w:szCs w:val="20"/>
          <w:color w:val="auto"/>
        </w:rPr>
      </w:pPr>
      <w:r>
        <w:rPr>
          <w:rFonts w:ascii="Arial" w:cs="Arial" w:eastAsia="Arial" w:hAnsi="Arial"/>
          <w:sz w:val="16"/>
          <w:szCs w:val="16"/>
          <w:color w:val="auto"/>
        </w:rPr>
        <w:t>The Company will file a routine request for the listing of the shares issuable to the Purchasers with the Tel Aviv Stock Exchange and expects to receive the approval therefor on or about the Closing Date.</w:t>
      </w:r>
    </w:p>
    <w:p>
      <w:pPr>
        <w:spacing w:after="0" w:line="168" w:lineRule="exact"/>
        <w:rPr>
          <w:sz w:val="20"/>
          <w:szCs w:val="20"/>
          <w:color w:val="auto"/>
        </w:rPr>
      </w:pPr>
    </w:p>
    <w:p>
      <w:pPr>
        <w:ind w:left="5"/>
        <w:spacing w:after="0"/>
        <w:rPr>
          <w:sz w:val="20"/>
          <w:szCs w:val="20"/>
          <w:color w:val="auto"/>
        </w:rPr>
      </w:pPr>
      <w:r>
        <w:rPr>
          <w:rFonts w:ascii="Arial" w:cs="Arial" w:eastAsia="Arial" w:hAnsi="Arial"/>
          <w:sz w:val="14"/>
          <w:szCs w:val="14"/>
          <w:color w:val="auto"/>
        </w:rPr>
        <w:t>Pursuant to Required Approvals received from the Israeli Investment Center the Company shall submit an updated capitalization table to such bodies following the Closing.</w:t>
      </w:r>
    </w:p>
    <w:p>
      <w:pPr>
        <w:spacing w:after="0" w:line="221"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Company has filed a routine request with the Israel Lands Administration for the consent to the issuance of the securities to non-Israeli residents.</w:t>
      </w:r>
    </w:p>
    <w:p>
      <w:pPr>
        <w:spacing w:after="0" w:line="198" w:lineRule="exact"/>
        <w:rPr>
          <w:sz w:val="20"/>
          <w:szCs w:val="20"/>
          <w:color w:val="auto"/>
        </w:rPr>
      </w:pPr>
    </w:p>
    <w:p>
      <w:pPr>
        <w:ind w:left="5" w:right="180"/>
        <w:spacing w:after="0" w:line="336" w:lineRule="auto"/>
        <w:rPr>
          <w:sz w:val="20"/>
          <w:szCs w:val="20"/>
          <w:color w:val="auto"/>
        </w:rPr>
      </w:pPr>
      <w:r>
        <w:rPr>
          <w:rFonts w:ascii="Arial" w:cs="Arial" w:eastAsia="Arial" w:hAnsi="Arial"/>
          <w:sz w:val="14"/>
          <w:szCs w:val="14"/>
          <w:color w:val="auto"/>
        </w:rPr>
        <w:t>If a Purchaser shall be required to provide the undertakings to the Israeli Office of the Chief Scientist (the “OCS”) as contemplated by Section 2.2(b)(iv) of the Agreement, following the Closing, the Company will provide notice of the issuance of the Securities to the OCS and deliver the executed undertakings to the OCS.</w:t>
      </w:r>
    </w:p>
    <w:p>
      <w:pPr>
        <w:spacing w:after="0" w:line="187"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Schedule 3.1(g) – Capitalization</w:t>
      </w:r>
    </w:p>
    <w:p>
      <w:pPr>
        <w:spacing w:after="0" w:line="263" w:lineRule="exact"/>
        <w:rPr>
          <w:sz w:val="20"/>
          <w:szCs w:val="20"/>
          <w:color w:val="auto"/>
        </w:rPr>
      </w:pPr>
    </w:p>
    <w:p>
      <w:pPr>
        <w:ind w:left="5" w:right="200"/>
        <w:spacing w:after="0" w:line="256" w:lineRule="auto"/>
        <w:rPr>
          <w:sz w:val="20"/>
          <w:szCs w:val="20"/>
          <w:color w:val="auto"/>
        </w:rPr>
      </w:pPr>
      <w:r>
        <w:rPr>
          <w:rFonts w:ascii="Arial" w:cs="Arial" w:eastAsia="Arial" w:hAnsi="Arial"/>
          <w:sz w:val="16"/>
          <w:szCs w:val="16"/>
          <w:color w:val="auto"/>
        </w:rPr>
        <w:t>In 2006, the Company’s CEO was granted options such that, in total, the CEO will hold options to purchase shares that represent 4% of the Company’s shares on a fully diluted basis during the two-year period from the approval of the Audit Committee in May 2006 (the “</w:t>
      </w:r>
      <w:r>
        <w:rPr>
          <w:rFonts w:ascii="Arial" w:cs="Arial" w:eastAsia="Arial" w:hAnsi="Arial"/>
          <w:sz w:val="16"/>
          <w:szCs w:val="16"/>
          <w:b w:val="1"/>
          <w:bCs w:val="1"/>
          <w:color w:val="auto"/>
        </w:rPr>
        <w:t>Protected Period</w:t>
      </w:r>
      <w:r>
        <w:rPr>
          <w:rFonts w:ascii="Arial" w:cs="Arial" w:eastAsia="Arial" w:hAnsi="Arial"/>
          <w:sz w:val="16"/>
          <w:szCs w:val="16"/>
          <w:color w:val="auto"/>
        </w:rPr>
        <w:t>”). Additional options will be granted to the CEO as a result of dilutive events during the Protected Period.</w:t>
      </w:r>
    </w:p>
    <w:p>
      <w:pPr>
        <w:spacing w:after="0" w:line="175" w:lineRule="exact"/>
        <w:rPr>
          <w:sz w:val="20"/>
          <w:szCs w:val="20"/>
          <w:color w:val="auto"/>
        </w:rPr>
      </w:pPr>
    </w:p>
    <w:p>
      <w:pPr>
        <w:ind w:left="5" w:right="20"/>
        <w:spacing w:after="0" w:line="256" w:lineRule="auto"/>
        <w:rPr>
          <w:sz w:val="20"/>
          <w:szCs w:val="20"/>
          <w:color w:val="auto"/>
        </w:rPr>
      </w:pPr>
      <w:r>
        <w:rPr>
          <w:rFonts w:ascii="Arial" w:cs="Arial" w:eastAsia="Arial" w:hAnsi="Arial"/>
          <w:sz w:val="16"/>
          <w:szCs w:val="16"/>
          <w:color w:val="auto"/>
        </w:rPr>
        <w:t>In 2006, the Board of Directors of the Company approved that if the total number of employee options, including the options to the CEO, during the Protected Period will represent less than 8% of the Company’s shares on a fully diluted basis, additional options will be allocated during the Protected Period for grants to the Company’s employees in order to increase the aggregate number of employee options to 8% of the Company’s shares on a fully diluted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90170</wp:posOffset>
            </wp:positionV>
            <wp:extent cx="7267575"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357" w:lineRule="exact"/>
        <w:rPr>
          <w:sz w:val="20"/>
          <w:szCs w:val="20"/>
          <w:color w:val="auto"/>
        </w:rPr>
      </w:pPr>
    </w:p>
    <w:p>
      <w:pPr>
        <w:ind w:left="5" w:right="80"/>
        <w:spacing w:after="0" w:line="297" w:lineRule="auto"/>
        <w:rPr>
          <w:sz w:val="20"/>
          <w:szCs w:val="20"/>
          <w:color w:val="auto"/>
        </w:rPr>
      </w:pPr>
      <w:r>
        <w:rPr>
          <w:rFonts w:ascii="Arial" w:cs="Arial" w:eastAsia="Arial" w:hAnsi="Arial"/>
          <w:sz w:val="14"/>
          <w:szCs w:val="14"/>
          <w:color w:val="auto"/>
        </w:rPr>
        <w:t>Pursuant to a shareholders agreement dated January 18, 2001, among Israel Corporation Ltd., Alliance Semiconductor Corporation, SanDisk Corporation and Macronix International Co., Ltd. (together, the “</w:t>
      </w:r>
      <w:r>
        <w:rPr>
          <w:rFonts w:ascii="Arial" w:cs="Arial" w:eastAsia="Arial" w:hAnsi="Arial"/>
          <w:sz w:val="14"/>
          <w:szCs w:val="14"/>
          <w:b w:val="1"/>
          <w:bCs w:val="1"/>
          <w:color w:val="auto"/>
        </w:rPr>
        <w:t>Lead Investors</w:t>
      </w:r>
      <w:r>
        <w:rPr>
          <w:rFonts w:ascii="Arial" w:cs="Arial" w:eastAsia="Arial" w:hAnsi="Arial"/>
          <w:sz w:val="14"/>
          <w:szCs w:val="14"/>
          <w:color w:val="auto"/>
        </w:rPr>
        <w:t>”), such parties have agreed, among other things, to vote or cause to be voted all their respective shares for the election to the Board of Directors of nominees designated by each party, nominees recommended by the Board, the election of a designee of Israel Corp. to serve as Chairman of the Board, unless agreed to otherwise, and against the election of any other persons to the Board of Directors. In addition, subject to certain exceptions, each shareholder agreed to restrictions on the transfer of its shares, including certain rights of first refusal, and through January 2008, to maintain minimum shareholdings.</w:t>
      </w:r>
    </w:p>
    <w:p>
      <w:pPr>
        <w:spacing w:after="0" w:line="149" w:lineRule="exact"/>
        <w:rPr>
          <w:sz w:val="20"/>
          <w:szCs w:val="20"/>
          <w:color w:val="auto"/>
        </w:rPr>
      </w:pPr>
    </w:p>
    <w:p>
      <w:pPr>
        <w:ind w:left="5" w:right="740"/>
        <w:spacing w:after="0" w:line="336" w:lineRule="auto"/>
        <w:rPr>
          <w:sz w:val="20"/>
          <w:szCs w:val="20"/>
          <w:color w:val="auto"/>
        </w:rPr>
      </w:pPr>
      <w:r>
        <w:rPr>
          <w:rFonts w:ascii="Arial" w:cs="Arial" w:eastAsia="Arial" w:hAnsi="Arial"/>
          <w:sz w:val="14"/>
          <w:szCs w:val="14"/>
          <w:color w:val="auto"/>
        </w:rPr>
        <w:t>Pursuant to agreements dated September 28, 2006, among the Lead Investors and the Banks, the Lead Investors are obligated towards any one acquirer of 5% or more of the outstanding share capital of the Company from each Bank to vote for the nominee of such acquirer to be appointed as a director of the Company.</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Schedule 3.1(k) – Labor Relations</w:t>
      </w:r>
    </w:p>
    <w:p>
      <w:pPr>
        <w:spacing w:after="0" w:line="275" w:lineRule="exact"/>
        <w:rPr>
          <w:sz w:val="20"/>
          <w:szCs w:val="20"/>
          <w:color w:val="auto"/>
        </w:rPr>
      </w:pPr>
    </w:p>
    <w:p>
      <w:pPr>
        <w:ind w:left="5" w:right="80"/>
        <w:spacing w:after="0" w:line="254" w:lineRule="auto"/>
        <w:rPr>
          <w:sz w:val="20"/>
          <w:szCs w:val="20"/>
          <w:color w:val="auto"/>
        </w:rPr>
      </w:pPr>
      <w:r>
        <w:rPr>
          <w:rFonts w:ascii="Arial" w:cs="Arial" w:eastAsia="Arial" w:hAnsi="Arial"/>
          <w:sz w:val="16"/>
          <w:szCs w:val="16"/>
          <w:color w:val="auto"/>
        </w:rPr>
        <w:t>The Company is a party to a Collective Bargaining Agreement with the General Labor Federation and Mivtachim, dated October 4, 1994, as amended, pursuant to which: (i) each employee who has worked at the Company for at least 12 months is to be included in the Mivtachim pension fund (unless alternative financial arrangements are made for such employee by the Company); and (ii) subject to applicable law, factory workers are to be included in the Mivtachim pension fund within 12 months of the commencement of their work at the Company.</w:t>
      </w:r>
    </w:p>
    <w:p>
      <w:pPr>
        <w:spacing w:after="0" w:line="22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Schedule 3.1(m) – Regulatory Permits</w:t>
      </w:r>
    </w:p>
    <w:p>
      <w:pPr>
        <w:spacing w:after="0" w:line="275" w:lineRule="exact"/>
        <w:rPr>
          <w:sz w:val="20"/>
          <w:szCs w:val="20"/>
          <w:color w:val="auto"/>
        </w:rPr>
      </w:pPr>
    </w:p>
    <w:p>
      <w:pPr>
        <w:ind w:left="5" w:right="180"/>
        <w:spacing w:after="0" w:line="336" w:lineRule="auto"/>
        <w:rPr>
          <w:sz w:val="20"/>
          <w:szCs w:val="20"/>
          <w:color w:val="auto"/>
        </w:rPr>
      </w:pPr>
      <w:r>
        <w:rPr>
          <w:rFonts w:ascii="Arial" w:cs="Arial" w:eastAsia="Arial" w:hAnsi="Arial"/>
          <w:sz w:val="14"/>
          <w:szCs w:val="14"/>
          <w:color w:val="auto"/>
        </w:rPr>
        <w:t>As of January 31, 2007, the Company has received a total of $11,499,000 from the OCS of which $769,000 were in the form of grants received for projects subject to royalties. As of January 31, 2007, there are $269,000 of additional grants pending, out of which $258,000 are for projects subject to royalties. No royalties have been payable by the Company.</w:t>
      </w:r>
    </w:p>
    <w:p>
      <w:pPr>
        <w:spacing w:after="0" w:line="175"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Schedule 3.1(n) – Title To Assets</w:t>
      </w:r>
    </w:p>
    <w:p>
      <w:pPr>
        <w:spacing w:after="0" w:line="275" w:lineRule="exact"/>
        <w:rPr>
          <w:sz w:val="20"/>
          <w:szCs w:val="20"/>
          <w:color w:val="auto"/>
        </w:rPr>
      </w:pPr>
    </w:p>
    <w:p>
      <w:pPr>
        <w:ind w:left="5"/>
        <w:spacing w:after="0"/>
        <w:rPr>
          <w:sz w:val="20"/>
          <w:szCs w:val="20"/>
          <w:color w:val="auto"/>
        </w:rPr>
      </w:pPr>
      <w:r>
        <w:rPr>
          <w:rFonts w:ascii="Arial" w:cs="Arial" w:eastAsia="Arial" w:hAnsi="Arial"/>
          <w:sz w:val="16"/>
          <w:szCs w:val="16"/>
          <w:color w:val="auto"/>
        </w:rPr>
        <w:t>See Schedule 3.1(a).</w:t>
      </w:r>
    </w:p>
    <w:p>
      <w:pPr>
        <w:sectPr>
          <w:pgSz w:w="11900" w:h="16838" w:orient="portrait"/>
          <w:cols w:equalWidth="0" w:num="1">
            <w:col w:w="11445"/>
          </w:cols>
          <w:pgMar w:left="235" w:top="127" w:right="219" w:bottom="0" w:gutter="0" w:footer="0" w:header="0"/>
        </w:sectPr>
      </w:pPr>
    </w:p>
    <w:bookmarkStart w:id="42" w:name="page43"/>
    <w:bookmarkEnd w:id="42"/>
    <w:p>
      <w:pPr>
        <w:ind w:right="140"/>
        <w:spacing w:after="0" w:line="264" w:lineRule="auto"/>
        <w:rPr>
          <w:sz w:val="20"/>
          <w:szCs w:val="20"/>
          <w:color w:val="auto"/>
        </w:rPr>
      </w:pPr>
      <w:r>
        <w:rPr>
          <w:rFonts w:ascii="Arial" w:cs="Arial" w:eastAsia="Arial" w:hAnsi="Arial"/>
          <w:sz w:val="16"/>
          <w:szCs w:val="16"/>
          <w:color w:val="auto"/>
        </w:rPr>
        <w:t>In connection with certain grants made by the Investment Center of the Ministry of Industry and Trade of the State of Israel, the Company registered a second-ranking floating charge over substantially all of the Company’s assets in favor of the State of Israel.</w:t>
      </w:r>
    </w:p>
    <w:p>
      <w:pPr>
        <w:spacing w:after="0" w:line="162" w:lineRule="exact"/>
        <w:rPr>
          <w:sz w:val="20"/>
          <w:szCs w:val="20"/>
          <w:color w:val="auto"/>
        </w:rPr>
      </w:pPr>
    </w:p>
    <w:p>
      <w:pPr>
        <w:ind w:right="620"/>
        <w:spacing w:after="0" w:line="345" w:lineRule="auto"/>
        <w:rPr>
          <w:sz w:val="20"/>
          <w:szCs w:val="20"/>
          <w:color w:val="auto"/>
        </w:rPr>
      </w:pPr>
      <w:r>
        <w:rPr>
          <w:rFonts w:ascii="Arial" w:cs="Arial" w:eastAsia="Arial" w:hAnsi="Arial"/>
          <w:sz w:val="14"/>
          <w:szCs w:val="14"/>
          <w:color w:val="auto"/>
        </w:rPr>
        <w:t>In connection with a joint development agreement with Matsushita Electronic Industrial Co. Ltd. (“</w:t>
      </w:r>
      <w:r>
        <w:rPr>
          <w:rFonts w:ascii="Arial" w:cs="Arial" w:eastAsia="Arial" w:hAnsi="Arial"/>
          <w:sz w:val="14"/>
          <w:szCs w:val="14"/>
          <w:b w:val="1"/>
          <w:bCs w:val="1"/>
          <w:color w:val="auto"/>
        </w:rPr>
        <w:t>MEI</w:t>
      </w:r>
      <w:r>
        <w:rPr>
          <w:rFonts w:ascii="Arial" w:cs="Arial" w:eastAsia="Arial" w:hAnsi="Arial"/>
          <w:sz w:val="14"/>
          <w:szCs w:val="14"/>
          <w:color w:val="auto"/>
        </w:rPr>
        <w:t>”) entered into in May 2002 (terminated in April 2005), the Company registered a fixed first-ranking charge over certain of its rights under the agreement in favor of MEI; which charge survives the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67575" cy="35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9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connection with the foundry agreement entered into with Siliconix incorporated (“</w:t>
      </w:r>
      <w:r>
        <w:rPr>
          <w:rFonts w:ascii="Arial" w:cs="Arial" w:eastAsia="Arial" w:hAnsi="Arial"/>
          <w:sz w:val="16"/>
          <w:szCs w:val="16"/>
          <w:b w:val="1"/>
          <w:bCs w:val="1"/>
          <w:color w:val="auto"/>
        </w:rPr>
        <w:t>Siliconix</w:t>
      </w:r>
      <w:r>
        <w:rPr>
          <w:rFonts w:ascii="Arial" w:cs="Arial" w:eastAsia="Arial" w:hAnsi="Arial"/>
          <w:sz w:val="16"/>
          <w:szCs w:val="16"/>
          <w:color w:val="auto"/>
        </w:rPr>
        <w:t>”) in May 2004, the Company registered first-ranking fixed charge on the bank account in which $20 million was deposited and over equipment purchased in connection with the transaction in favor of Siliconix.</w:t>
      </w:r>
    </w:p>
    <w:p>
      <w:pPr>
        <w:spacing w:after="0" w:line="155"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connection with an up to $10 million loan agreement entered into with SanDisk Corporation (“</w:t>
      </w:r>
      <w:r>
        <w:rPr>
          <w:rFonts w:ascii="Arial" w:cs="Arial" w:eastAsia="Arial" w:hAnsi="Arial"/>
          <w:sz w:val="16"/>
          <w:szCs w:val="16"/>
          <w:b w:val="1"/>
          <w:bCs w:val="1"/>
          <w:color w:val="auto"/>
        </w:rPr>
        <w:t>SanDisk</w:t>
      </w:r>
      <w:r>
        <w:rPr>
          <w:rFonts w:ascii="Arial" w:cs="Arial" w:eastAsia="Arial" w:hAnsi="Arial"/>
          <w:sz w:val="16"/>
          <w:szCs w:val="16"/>
          <w:color w:val="auto"/>
        </w:rPr>
        <w:t>”) in August 2006, the Company registered a first-ranking fixed charge on the equipment purchased therewith in favor of SanDisk.</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Schedule 3.1(s) – Certain Fees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With respect to the transactions contemplated by the Transaction Documents, fees and certain expenses will be payable by the Company to Citigroup Global Markets Inc. and C.E.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Unterberg, Towbin.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67575"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8340725</wp:posOffset>
            </wp:positionV>
            <wp:extent cx="7282815" cy="29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2815" cy="2921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auto"/>
        </w:rPr>
        <w:t>Exhibit 99.4</w:t>
      </w:r>
    </w:p>
    <w:p>
      <w:pPr>
        <w:spacing w:after="0" w:line="198" w:lineRule="exact"/>
        <w:rPr>
          <w:sz w:val="20"/>
          <w:szCs w:val="20"/>
          <w:color w:val="auto"/>
        </w:rPr>
      </w:pPr>
    </w:p>
    <w:p>
      <w:pPr>
        <w:ind w:left="10620"/>
        <w:spacing w:after="0"/>
        <w:rPr>
          <w:sz w:val="20"/>
          <w:szCs w:val="20"/>
          <w:color w:val="auto"/>
        </w:rPr>
      </w:pPr>
      <w:r>
        <w:rPr>
          <w:rFonts w:ascii="Arial" w:cs="Arial" w:eastAsia="Arial" w:hAnsi="Arial"/>
          <w:sz w:val="16"/>
          <w:szCs w:val="16"/>
          <w:b w:val="1"/>
          <w:bCs w:val="1"/>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REGISTRATION RIGHTS AGREEMENT</w:t>
      </w:r>
    </w:p>
    <w:p>
      <w:pPr>
        <w:spacing w:after="0" w:line="204" w:lineRule="exact"/>
        <w:rPr>
          <w:sz w:val="20"/>
          <w:szCs w:val="20"/>
          <w:color w:val="auto"/>
        </w:rPr>
      </w:pPr>
    </w:p>
    <w:p>
      <w:pPr>
        <w:ind w:right="220" w:firstLine="772"/>
        <w:spacing w:after="0" w:line="264"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March 15, 2007, by and among Tower Semiconductor Ltd., an Israeli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purchasers signatory hereto (each a “</w:t>
      </w:r>
      <w:r>
        <w:rPr>
          <w:rFonts w:ascii="Arial" w:cs="Arial" w:eastAsia="Arial" w:hAnsi="Arial"/>
          <w:sz w:val="16"/>
          <w:szCs w:val="16"/>
          <w:u w:val="single" w:color="auto"/>
          <w:color w:val="auto"/>
        </w:rPr>
        <w:t>Purchaser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Purchasers</w:t>
      </w:r>
      <w:r>
        <w:rPr>
          <w:rFonts w:ascii="Arial" w:cs="Arial" w:eastAsia="Arial" w:hAnsi="Arial"/>
          <w:sz w:val="16"/>
          <w:szCs w:val="16"/>
          <w:color w:val="auto"/>
        </w:rPr>
        <w:t>”).</w:t>
      </w:r>
    </w:p>
    <w:p>
      <w:pPr>
        <w:spacing w:after="0" w:line="168" w:lineRule="exact"/>
        <w:rPr>
          <w:sz w:val="20"/>
          <w:szCs w:val="20"/>
          <w:color w:val="auto"/>
        </w:rPr>
      </w:pPr>
    </w:p>
    <w:p>
      <w:pPr>
        <w:ind w:right="540" w:firstLine="772"/>
        <w:spacing w:after="0" w:line="264" w:lineRule="auto"/>
        <w:rPr>
          <w:sz w:val="20"/>
          <w:szCs w:val="20"/>
          <w:color w:val="auto"/>
        </w:rPr>
      </w:pPr>
      <w:r>
        <w:rPr>
          <w:rFonts w:ascii="Arial" w:cs="Arial" w:eastAsia="Arial" w:hAnsi="Arial"/>
          <w:sz w:val="16"/>
          <w:szCs w:val="16"/>
          <w:color w:val="auto"/>
        </w:rPr>
        <w:t>This Agreement is made pursuant to the Securities Purchase Agreement, dated as of the date hereof, by and among the Company and the Purchasers (the “</w:t>
      </w:r>
      <w:r>
        <w:rPr>
          <w:rFonts w:ascii="Arial" w:cs="Arial" w:eastAsia="Arial" w:hAnsi="Arial"/>
          <w:sz w:val="16"/>
          <w:szCs w:val="16"/>
          <w:u w:val="single" w:color="auto"/>
          <w:color w:val="auto"/>
        </w:rPr>
        <w:t>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and the Purchasers hereby agree as follows:</w:t>
      </w:r>
    </w:p>
    <w:p>
      <w:pPr>
        <w:spacing w:after="0" w:line="198" w:lineRule="exact"/>
        <w:rPr>
          <w:sz w:val="20"/>
          <w:szCs w:val="20"/>
          <w:color w:val="auto"/>
        </w:rPr>
      </w:pPr>
    </w:p>
    <w:p>
      <w:pPr>
        <w:ind w:right="100" w:firstLine="383"/>
        <w:spacing w:after="0" w:line="264" w:lineRule="auto"/>
        <w:tabs>
          <w:tab w:leader="none" w:pos="77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and not otherwise defined herein that are defined in the Purchase Agreement shall have the meanings given such terms in the Purchase Agreement. As used in this Agreement, the following terms shall have the following meanings:</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Advice</w:t>
      </w:r>
      <w:r>
        <w:rPr>
          <w:rFonts w:ascii="Arial" w:cs="Arial" w:eastAsia="Arial" w:hAnsi="Arial"/>
          <w:sz w:val="16"/>
          <w:szCs w:val="16"/>
          <w:color w:val="auto"/>
        </w:rPr>
        <w:t>” shall have the meaning set forth in Section 6(g).</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 business day in both the State of Israel and the State of New York.</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ordinary shares of the Company, par value NIS 1.00 per share.</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Securities and Exchange Commission.</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shall have the meaning set forth in Section 2(a).</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w:t>
      </w:r>
      <w:r>
        <w:rPr>
          <w:rFonts w:ascii="Arial" w:cs="Arial" w:eastAsia="Arial" w:hAnsi="Arial"/>
          <w:sz w:val="16"/>
          <w:szCs w:val="16"/>
          <w:color w:val="auto"/>
        </w:rPr>
        <w:t>” shall have the meaning set forth in Section 2(b).</w:t>
      </w:r>
    </w:p>
    <w:p>
      <w:pPr>
        <w:spacing w:after="0" w:line="19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Date</w:t>
      </w:r>
      <w:r>
        <w:rPr>
          <w:rFonts w:ascii="Arial" w:cs="Arial" w:eastAsia="Arial" w:hAnsi="Arial"/>
          <w:sz w:val="16"/>
          <w:szCs w:val="16"/>
          <w:color w:val="auto"/>
        </w:rPr>
        <w:t>” shall have the meaning set forth in Section 2(b).</w:t>
      </w:r>
    </w:p>
    <w:p>
      <w:pPr>
        <w:spacing w:after="0" w:line="198" w:lineRule="exact"/>
        <w:rPr>
          <w:sz w:val="20"/>
          <w:szCs w:val="20"/>
          <w:color w:val="auto"/>
        </w:rPr>
      </w:pPr>
    </w:p>
    <w:p>
      <w:pPr>
        <w:ind w:left="9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Exchange Act</w:t>
      </w:r>
      <w:r>
        <w:rPr>
          <w:rFonts w:ascii="Arial" w:cs="Arial" w:eastAsia="Arial" w:hAnsi="Arial"/>
          <w:sz w:val="14"/>
          <w:szCs w:val="14"/>
          <w:color w:val="auto"/>
        </w:rPr>
        <w:t>” means the Securities Exchange Act of 1934, as amended, or any successor statute, and the rules and regulations of the Commission thereunder.</w:t>
      </w:r>
    </w:p>
    <w:p>
      <w:pPr>
        <w:spacing w:after="0" w:line="222" w:lineRule="exact"/>
        <w:rPr>
          <w:sz w:val="20"/>
          <w:szCs w:val="20"/>
          <w:color w:val="auto"/>
        </w:rPr>
      </w:pPr>
    </w:p>
    <w:p>
      <w:pPr>
        <w:ind w:left="560" w:right="500" w:firstLine="388"/>
        <w:spacing w:after="0" w:line="21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Date</w:t>
      </w:r>
      <w:r>
        <w:rPr>
          <w:rFonts w:ascii="Arial" w:cs="Arial" w:eastAsia="Arial" w:hAnsi="Arial"/>
          <w:sz w:val="16"/>
          <w:szCs w:val="16"/>
          <w:color w:val="auto"/>
        </w:rPr>
        <w:t>” means, with respect to the Registration Statement required hereunder, the 30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calendar day following the issuance of the Securities pursuant to the Purchase Agreement.</w:t>
      </w:r>
    </w:p>
    <w:p>
      <w:pPr>
        <w:spacing w:after="0" w:line="187" w:lineRule="exact"/>
        <w:rPr>
          <w:sz w:val="20"/>
          <w:szCs w:val="20"/>
          <w:color w:val="auto"/>
        </w:rPr>
      </w:pPr>
    </w:p>
    <w:p>
      <w:pPr>
        <w:ind w:left="7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Free Writing Prospectus</w:t>
      </w:r>
      <w:r>
        <w:rPr>
          <w:rFonts w:ascii="Arial" w:cs="Arial" w:eastAsia="Arial" w:hAnsi="Arial"/>
          <w:sz w:val="16"/>
          <w:szCs w:val="16"/>
          <w:color w:val="auto"/>
        </w:rPr>
        <w:t>” means a free writing prospectus as defined in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4" w:name="page45"/>
    <w:bookmarkEnd w:id="44"/>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or “</w:t>
      </w:r>
      <w:r>
        <w:rPr>
          <w:rFonts w:ascii="Arial" w:cs="Arial" w:eastAsia="Arial" w:hAnsi="Arial"/>
          <w:sz w:val="16"/>
          <w:szCs w:val="16"/>
          <w:u w:val="single" w:color="auto"/>
          <w:color w:val="auto"/>
        </w:rPr>
        <w:t>Holders</w:t>
      </w:r>
      <w:r>
        <w:rPr>
          <w:rFonts w:ascii="Arial" w:cs="Arial" w:eastAsia="Arial" w:hAnsi="Arial"/>
          <w:sz w:val="16"/>
          <w:szCs w:val="16"/>
          <w:color w:val="auto"/>
        </w:rPr>
        <w:t>” means the holder or holders, as the case may be, from time to time of Registrable Securities.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have the meaning set forth in Section 5(c).</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shall have the meaning set forth in Section 5(c).</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means an issuer free writing prospectus as defined in Rule 433 under the Securities Act.</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shall have the meaning set forth in Section 5(a).</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shall have the meaning set forth in Section 6(d).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shall have the meaning set forth in Section 2(a).</w:t>
      </w:r>
    </w:p>
    <w:p>
      <w:pPr>
        <w:spacing w:after="0" w:line="198" w:lineRule="exact"/>
        <w:rPr>
          <w:sz w:val="20"/>
          <w:szCs w:val="20"/>
          <w:color w:val="auto"/>
        </w:rPr>
      </w:pPr>
    </w:p>
    <w:p>
      <w:pPr>
        <w:ind w:right="32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 action, claim, suit, investigation or proceeding (including, without limitation, an investigation or partial proceeding, such as a deposition), whether commenced or threatened.</w:t>
      </w:r>
    </w:p>
    <w:p>
      <w:pPr>
        <w:spacing w:after="0" w:line="168" w:lineRule="exact"/>
        <w:rPr>
          <w:sz w:val="20"/>
          <w:szCs w:val="20"/>
          <w:color w:val="auto"/>
        </w:rPr>
      </w:pPr>
    </w:p>
    <w:p>
      <w:pPr>
        <w:jc w:val="both"/>
        <w:ind w:right="440" w:firstLine="388"/>
        <w:spacing w:after="0" w:line="3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Prospectus</w:t>
      </w:r>
      <w:r>
        <w:rPr>
          <w:rFonts w:ascii="Arial" w:cs="Arial" w:eastAsia="Arial" w:hAnsi="Arial"/>
          <w:sz w:val="13"/>
          <w:szCs w:val="13"/>
          <w:color w:val="auto"/>
        </w:rPr>
        <w:t>” means the prospectus included in a Registration Statement as supplemented by any and all prospectus supplements and as amended by any and all amendments including post-effective amendments, and including all material incorporated by reference or deemed to be incorporated by reference in such Prospectus.</w:t>
      </w:r>
    </w:p>
    <w:p>
      <w:pPr>
        <w:spacing w:after="0" w:line="98" w:lineRule="exact"/>
        <w:rPr>
          <w:sz w:val="20"/>
          <w:szCs w:val="20"/>
          <w:color w:val="auto"/>
        </w:rPr>
      </w:pPr>
    </w:p>
    <w:p>
      <w:pPr>
        <w:ind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all of (i) the Shares, (ii) Warrant Shares and (iii) any shares of Common Stock issued or issuable upon any stock split, dividend or other distribution, recapitalization or similar event with respect to the foregoing.</w:t>
      </w:r>
    </w:p>
    <w:p>
      <w:pPr>
        <w:spacing w:after="0" w:line="168" w:lineRule="exact"/>
        <w:rPr>
          <w:sz w:val="20"/>
          <w:szCs w:val="20"/>
          <w:color w:val="auto"/>
        </w:rPr>
      </w:pPr>
    </w:p>
    <w:p>
      <w:pPr>
        <w:jc w:val="both"/>
        <w:ind w:right="440" w:firstLine="388"/>
        <w:spacing w:after="0" w:line="31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means any registration statement of the Company under the Securities Act that covers any of the Registrable Securities pursuant to the provisions of this Agreement, including the related Prospectus, all amendments and supplements to such registration statement or Prospectus, including post-effective amendments, all exhibits thereto, and all material incorporated by reference or deemed to be incorporated by reference in such registration statement.</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Effective Date</w:t>
      </w:r>
      <w:r>
        <w:rPr>
          <w:rFonts w:ascii="Arial" w:cs="Arial" w:eastAsia="Arial" w:hAnsi="Arial"/>
          <w:sz w:val="16"/>
          <w:szCs w:val="16"/>
          <w:color w:val="auto"/>
        </w:rPr>
        <w:t>” shall have the meaning set forth in Section 2(a).</w:t>
      </w:r>
    </w:p>
    <w:p>
      <w:pPr>
        <w:spacing w:after="0" w:line="198" w:lineRule="exact"/>
        <w:rPr>
          <w:sz w:val="20"/>
          <w:szCs w:val="20"/>
          <w:color w:val="auto"/>
        </w:rPr>
      </w:pPr>
    </w:p>
    <w:p>
      <w:pPr>
        <w:ind w:right="22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415</w:t>
      </w:r>
      <w:r>
        <w:rPr>
          <w:rFonts w:ascii="Arial" w:cs="Arial" w:eastAsia="Arial" w:hAnsi="Arial"/>
          <w:sz w:val="16"/>
          <w:szCs w:val="16"/>
          <w:color w:val="auto"/>
        </w:rPr>
        <w:t>” means Rule 415 promulgated by the Commission pursuant to the Securities Act, as such Rule may be amended from time to time, or any similar rule or regulation hereafter adopted by the Commission having substantially the same purpose and effect as such Rule.</w:t>
      </w:r>
    </w:p>
    <w:p>
      <w:pPr>
        <w:spacing w:after="0" w:line="168" w:lineRule="exact"/>
        <w:rPr>
          <w:sz w:val="20"/>
          <w:szCs w:val="20"/>
          <w:color w:val="auto"/>
        </w:rPr>
      </w:pPr>
    </w:p>
    <w:p>
      <w:pPr>
        <w:ind w:right="220" w:firstLine="388"/>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424</w:t>
      </w:r>
      <w:r>
        <w:rPr>
          <w:rFonts w:ascii="Arial" w:cs="Arial" w:eastAsia="Arial" w:hAnsi="Arial"/>
          <w:sz w:val="16"/>
          <w:szCs w:val="16"/>
          <w:color w:val="auto"/>
        </w:rPr>
        <w:t>” means Rule 424 promulgated by the Commission pursuant to the Securities Act, as such Rule may be amended from time to time, or any similar rule or regulation hereafter adopted by the Commission having substantially the same purpose and effect as such Rule.</w:t>
      </w:r>
    </w:p>
    <w:p>
      <w:pPr>
        <w:spacing w:after="0" w:line="168"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760"/>
          </w:cols>
          <w:pgMar w:left="800" w:top="132" w:right="339" w:bottom="1440" w:gutter="0" w:footer="0" w:header="0"/>
        </w:sectPr>
      </w:pPr>
    </w:p>
    <w:bookmarkStart w:id="45" w:name="page46"/>
    <w:bookmarkEnd w:id="45"/>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Securities Act</w:t>
      </w:r>
      <w:r>
        <w:rPr>
          <w:rFonts w:ascii="Arial" w:cs="Arial" w:eastAsia="Arial" w:hAnsi="Arial"/>
          <w:sz w:val="14"/>
          <w:szCs w:val="14"/>
          <w:color w:val="auto"/>
        </w:rPr>
        <w:t>” means the Securities Act of 1933, as amended, or any successor statute, and the rules and regulations of the Commission thereunder.</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Selling Shareholder Questionnaire</w:t>
      </w:r>
      <w:r>
        <w:rPr>
          <w:rFonts w:ascii="Arial" w:cs="Arial" w:eastAsia="Arial" w:hAnsi="Arial"/>
          <w:sz w:val="16"/>
          <w:szCs w:val="16"/>
          <w:color w:val="auto"/>
        </w:rPr>
        <w:t>” shall have the meaning set forth in Section 3(a).</w:t>
      </w:r>
    </w:p>
    <w:p>
      <w:pPr>
        <w:spacing w:after="0" w:line="198" w:lineRule="exact"/>
        <w:rPr>
          <w:sz w:val="20"/>
          <w:szCs w:val="20"/>
          <w:color w:val="auto"/>
        </w:rPr>
      </w:pPr>
    </w:p>
    <w:p>
      <w:pPr>
        <w:ind w:left="180" w:right="440" w:firstLine="388"/>
        <w:spacing w:after="0" w:line="33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Trading Market</w:t>
      </w:r>
      <w:r>
        <w:rPr>
          <w:rFonts w:ascii="Arial" w:cs="Arial" w:eastAsia="Arial" w:hAnsi="Arial"/>
          <w:sz w:val="14"/>
          <w:szCs w:val="14"/>
          <w:color w:val="auto"/>
        </w:rPr>
        <w:t>” means whichever of the New York Stock Exchange, the American Stock Exchange, the NASDAQ Global Select Market, the NASDAQ Global Market, the NASDAQ Capital Market or the OTC Bulletin Board on which the Common Stock is listed or quoted for trading on the date in question.</w:t>
      </w:r>
    </w:p>
    <w:p>
      <w:pPr>
        <w:spacing w:after="0" w:line="122" w:lineRule="exact"/>
        <w:rPr>
          <w:sz w:val="20"/>
          <w:szCs w:val="20"/>
          <w:color w:val="auto"/>
        </w:rPr>
      </w:pPr>
    </w:p>
    <w:p>
      <w:pPr>
        <w:ind w:left="420" w:hanging="417"/>
        <w:spacing w:after="0"/>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197" w:lineRule="exact"/>
        <w:rPr>
          <w:rFonts w:ascii="Arial" w:cs="Arial" w:eastAsia="Arial" w:hAnsi="Arial"/>
          <w:sz w:val="16"/>
          <w:szCs w:val="16"/>
          <w:color w:val="auto"/>
        </w:rPr>
      </w:pPr>
    </w:p>
    <w:p>
      <w:pPr>
        <w:ind w:left="180" w:right="80" w:firstLine="395"/>
        <w:spacing w:after="0" w:line="270" w:lineRule="auto"/>
        <w:tabs>
          <w:tab w:leader="none" w:pos="1127" w:val="left"/>
        </w:tabs>
        <w:numPr>
          <w:ilvl w:val="1"/>
          <w:numId w:val="31"/>
        </w:numPr>
        <w:rPr>
          <w:rFonts w:ascii="Arial" w:cs="Arial" w:eastAsia="Arial" w:hAnsi="Arial"/>
          <w:sz w:val="14"/>
          <w:szCs w:val="14"/>
          <w:color w:val="auto"/>
        </w:rPr>
      </w:pPr>
      <w:r>
        <w:rPr>
          <w:rFonts w:ascii="Arial" w:cs="Arial" w:eastAsia="Arial" w:hAnsi="Arial"/>
          <w:sz w:val="14"/>
          <w:szCs w:val="14"/>
          <w:color w:val="auto"/>
        </w:rPr>
        <w:t>On or prior to the Filing Date, the Company shall prepare and file with the Commission a Registration Statement covering the resale of all of the Registrable Securities for an offering to be made on a continuous basis pursuant to Rule 415, or if Rule 415 is not available for offers and sales of the Registrable Securities by such other means of distribution of Registrable Securities as the Holders may specify. The Registration Statement shall be on Form F-3 (except if the Company is not then eligible to register for resale the Registrable Securities on Form F-3, in which case the Registration Statement shall be on another appropriate form in accordance herewith) and shall contain (unless otherwise directed by the Holders) the “</w:t>
      </w:r>
      <w:r>
        <w:rPr>
          <w:rFonts w:ascii="Arial" w:cs="Arial" w:eastAsia="Arial" w:hAnsi="Arial"/>
          <w:sz w:val="14"/>
          <w:szCs w:val="14"/>
          <w:u w:val="single" w:color="auto"/>
          <w:color w:val="auto"/>
        </w:rPr>
        <w:t>Plan of Distribution</w:t>
      </w:r>
      <w:r>
        <w:rPr>
          <w:rFonts w:ascii="Arial" w:cs="Arial" w:eastAsia="Arial" w:hAnsi="Arial"/>
          <w:sz w:val="14"/>
          <w:szCs w:val="14"/>
          <w:color w:val="auto"/>
        </w:rPr>
        <w:t xml:space="preserve">” attached hereto as </w:t>
      </w:r>
      <w:r>
        <w:rPr>
          <w:rFonts w:ascii="Arial" w:cs="Arial" w:eastAsia="Arial" w:hAnsi="Arial"/>
          <w:sz w:val="14"/>
          <w:szCs w:val="14"/>
          <w:u w:val="single" w:color="auto"/>
          <w:color w:val="auto"/>
        </w:rPr>
        <w:t>Annex A</w:t>
      </w:r>
      <w:r>
        <w:rPr>
          <w:rFonts w:ascii="Arial" w:cs="Arial" w:eastAsia="Arial" w:hAnsi="Arial"/>
          <w:sz w:val="14"/>
          <w:szCs w:val="14"/>
          <w:color w:val="auto"/>
        </w:rPr>
        <w:t>. Subject to the terms of this Agreement, the Company shall use its reasonable best efforts to cause the Registration Statement to be declared effective under the Securities Act on or prior to the earlier of (i) the 90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calendar day following the</w:t>
      </w:r>
    </w:p>
    <w:p>
      <w:pPr>
        <w:spacing w:after="0" w:line="2" w:lineRule="exact"/>
        <w:rPr>
          <w:sz w:val="20"/>
          <w:szCs w:val="20"/>
          <w:color w:val="auto"/>
        </w:rPr>
      </w:pPr>
    </w:p>
    <w:p>
      <w:pPr>
        <w:ind w:left="180"/>
        <w:spacing w:after="0" w:line="275" w:lineRule="auto"/>
        <w:rPr>
          <w:sz w:val="20"/>
          <w:szCs w:val="20"/>
          <w:color w:val="auto"/>
        </w:rPr>
      </w:pPr>
      <w:r>
        <w:rPr>
          <w:rFonts w:ascii="Arial" w:cs="Arial" w:eastAsia="Arial" w:hAnsi="Arial"/>
          <w:sz w:val="14"/>
          <w:szCs w:val="14"/>
          <w:color w:val="auto"/>
        </w:rPr>
        <w:t>Filing Date (the 120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calendar day in the event of a full review by the Commission) and (ii) the fifth Business Day after the Commission advises the Company that the Registration Statement will not be reviewed or the Commission has no further comments on the Registration Statement, provided that in the opinion of Company Counsel no pre-effective amendment to the Registration Statement is required under the Securities Act (the “</w:t>
      </w:r>
      <w:r>
        <w:rPr>
          <w:rFonts w:ascii="Arial" w:cs="Arial" w:eastAsia="Arial" w:hAnsi="Arial"/>
          <w:sz w:val="14"/>
          <w:szCs w:val="14"/>
          <w:u w:val="single" w:color="auto"/>
          <w:color w:val="auto"/>
        </w:rPr>
        <w:t>Required Effective Date</w:t>
      </w:r>
      <w:r>
        <w:rPr>
          <w:rFonts w:ascii="Arial" w:cs="Arial" w:eastAsia="Arial" w:hAnsi="Arial"/>
          <w:sz w:val="14"/>
          <w:szCs w:val="14"/>
          <w:color w:val="auto"/>
        </w:rPr>
        <w:t>”). The Company shall use its reasonable best efforts to keep the Registration Statement continuously effective under the Securities Act until all Registrable Securities covered by such Registration Statement have been sold or may be sold without volume restrictions pursuant to Rule 144(k) as determined by the counsel to the Company pursuant to a written opinion letter to such effect, addressed and acceptable to the Company’s transfer agent (the “</w:t>
      </w:r>
      <w:r>
        <w:rPr>
          <w:rFonts w:ascii="Arial" w:cs="Arial" w:eastAsia="Arial" w:hAnsi="Arial"/>
          <w:sz w:val="14"/>
          <w:szCs w:val="14"/>
          <w:u w:val="single" w:color="auto"/>
          <w:color w:val="auto"/>
        </w:rPr>
        <w:t>Effectiveness Period</w:t>
      </w:r>
      <w:r>
        <w:rPr>
          <w:rFonts w:ascii="Arial" w:cs="Arial" w:eastAsia="Arial" w:hAnsi="Arial"/>
          <w:sz w:val="14"/>
          <w:szCs w:val="14"/>
          <w:color w:val="auto"/>
        </w:rPr>
        <w:t>”). The Company shall telephonically request effectiveness of a Registration Statement as of 5:00 pm Eastern Time on a Trading Day. The Company shall immediately notify the Holders via facsimile of the effectiveness of a Registration Statement on the same Trading Day that the Company telephonically confirms effectiveness with the Commission. The Company shall, on the Trading Day after the Effective Date (as defined in the Purchase Agreement), file a 424(b) prospectus with the Commission.</w:t>
      </w:r>
    </w:p>
    <w:p>
      <w:pPr>
        <w:spacing w:after="0" w:line="16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104775</wp:posOffset>
            </wp:positionV>
            <wp:extent cx="7282815"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040"/>
          </w:cols>
          <w:pgMar w:left="620" w:top="133" w:right="239" w:bottom="1440" w:gutter="0" w:footer="0" w:header="0"/>
        </w:sectPr>
      </w:pPr>
    </w:p>
    <w:bookmarkStart w:id="46" w:name="page47"/>
    <w:bookmarkEnd w:id="46"/>
    <w:p>
      <w:pPr>
        <w:ind w:right="20" w:firstLine="395"/>
        <w:spacing w:after="0" w:line="289" w:lineRule="auto"/>
        <w:tabs>
          <w:tab w:leader="none" w:pos="956" w:val="left"/>
        </w:tabs>
        <w:numPr>
          <w:ilvl w:val="1"/>
          <w:numId w:val="32"/>
        </w:numPr>
        <w:rPr>
          <w:rFonts w:ascii="Arial" w:cs="Arial" w:eastAsia="Arial" w:hAnsi="Arial"/>
          <w:sz w:val="14"/>
          <w:szCs w:val="14"/>
          <w:color w:val="auto"/>
        </w:rPr>
      </w:pPr>
      <w:r>
        <w:rPr>
          <w:rFonts w:ascii="Arial" w:cs="Arial" w:eastAsia="Arial" w:hAnsi="Arial"/>
          <w:sz w:val="14"/>
          <w:szCs w:val="14"/>
          <w:color w:val="auto"/>
        </w:rPr>
        <w:t>If: (i) a Registration Statement is not filed on or prior to its Filing Date; or (ii) a Registration Statement filed or required to be filed hereunder is not declared effective by the Commission by its Required Effective Date, (iii) the Company fails to keep the Common Stock continuously listed on the Trading Market (as defined in the Securities Purchase Agreement) or (iv) after the Required Effective Date, a Registration Statement ceases for any reason to remain continuously effective as to all Registrable Securities for which it is required to be effective, the Holders are not permitted to utilize the Prospectus therein to resell such Registrable Securities for 10 consecutive calendar days or an aggregate of 30 calendar days during any 12-month period (which need not be consecutive Trading Days) (any such failure or breach being referred to as an “</w:t>
      </w:r>
      <w:r>
        <w:rPr>
          <w:rFonts w:ascii="Arial" w:cs="Arial" w:eastAsia="Arial" w:hAnsi="Arial"/>
          <w:sz w:val="14"/>
          <w:szCs w:val="14"/>
          <w:u w:val="single" w:color="auto"/>
          <w:color w:val="auto"/>
        </w:rPr>
        <w:t>Event</w:t>
      </w:r>
      <w:r>
        <w:rPr>
          <w:rFonts w:ascii="Arial" w:cs="Arial" w:eastAsia="Arial" w:hAnsi="Arial"/>
          <w:sz w:val="14"/>
          <w:szCs w:val="14"/>
          <w:color w:val="auto"/>
        </w:rPr>
        <w:t>”, and for purposes of clause (i) or (ii) the date on which such Event occurs or for purposes of clause (iii) the date on which such 10 or 30 calendar day period, as applicable, is exceeded being referred to as “</w:t>
      </w:r>
      <w:r>
        <w:rPr>
          <w:rFonts w:ascii="Arial" w:cs="Arial" w:eastAsia="Arial" w:hAnsi="Arial"/>
          <w:sz w:val="14"/>
          <w:szCs w:val="14"/>
          <w:u w:val="single" w:color="auto"/>
          <w:color w:val="auto"/>
        </w:rPr>
        <w:t>Event Date</w:t>
      </w:r>
      <w:r>
        <w:rPr>
          <w:rFonts w:ascii="Arial" w:cs="Arial" w:eastAsia="Arial" w:hAnsi="Arial"/>
          <w:sz w:val="14"/>
          <w:szCs w:val="14"/>
          <w:color w:val="auto"/>
        </w:rPr>
        <w:t xml:space="preserve">”), then in addition to any other rights the Holders may have hereunder or under applicable law, on such Event Date and each monthly period following such Event Date until the applicable Event is cured, the Company shall pay to each Holder, entitled to be included in the Registration Statement under Section 3(b) hereof, an amount in cash as damages and not as a penalty, equal to 1% of the aggregate purchase price paid by such Holder pursuant to the Purchase Agreement for any Registrable Securities then held by such Holder; </w:t>
      </w:r>
      <w:r>
        <w:rPr>
          <w:rFonts w:ascii="Arial" w:cs="Arial" w:eastAsia="Arial" w:hAnsi="Arial"/>
          <w:sz w:val="14"/>
          <w:szCs w:val="14"/>
          <w:u w:val="single" w:color="auto"/>
          <w:color w:val="auto"/>
        </w:rPr>
        <w:t>provided</w:t>
      </w:r>
      <w:r>
        <w:rPr>
          <w:rFonts w:ascii="Arial" w:cs="Arial" w:eastAsia="Arial" w:hAnsi="Arial"/>
          <w:sz w:val="14"/>
          <w:szCs w:val="14"/>
          <w:color w:val="auto"/>
        </w:rPr>
        <w:t>, that such damages shall not exceed 10% of the aggregate purchase price paid by all Holders pursuant to the Purchase Agreement. The damages pursuant to the terms hereof shall apply on a daily pro-rata basis for any portion of a month prior to the cure of an Event.</w:t>
      </w:r>
    </w:p>
    <w:p>
      <w:pPr>
        <w:spacing w:after="0" w:line="154" w:lineRule="exact"/>
        <w:rPr>
          <w:rFonts w:ascii="Arial" w:cs="Arial" w:eastAsia="Arial" w:hAnsi="Arial"/>
          <w:sz w:val="14"/>
          <w:szCs w:val="14"/>
          <w:color w:val="auto"/>
        </w:rPr>
      </w:pPr>
    </w:p>
    <w:p>
      <w:pPr>
        <w:ind w:left="400" w:hanging="393"/>
        <w:spacing w:after="0"/>
        <w:tabs>
          <w:tab w:leader="none" w:pos="40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 connection with the Company’s registration obligations hereunder, the Company shall:</w:t>
      </w:r>
    </w:p>
    <w:p>
      <w:pPr>
        <w:spacing w:after="0" w:line="198" w:lineRule="exact"/>
        <w:rPr>
          <w:sz w:val="20"/>
          <w:szCs w:val="20"/>
          <w:color w:val="auto"/>
        </w:rPr>
      </w:pPr>
    </w:p>
    <w:p>
      <w:pPr>
        <w:ind w:right="20" w:firstLine="395"/>
        <w:spacing w:after="0" w:line="293" w:lineRule="auto"/>
        <w:tabs>
          <w:tab w:leader="none" w:pos="947" w:val="left"/>
        </w:tabs>
        <w:numPr>
          <w:ilvl w:val="1"/>
          <w:numId w:val="34"/>
        </w:numPr>
        <w:rPr>
          <w:rFonts w:ascii="Arial" w:cs="Arial" w:eastAsia="Arial" w:hAnsi="Arial"/>
          <w:sz w:val="14"/>
          <w:szCs w:val="14"/>
          <w:color w:val="auto"/>
        </w:rPr>
      </w:pPr>
      <w:r>
        <w:rPr>
          <w:rFonts w:ascii="Arial" w:cs="Arial" w:eastAsia="Arial" w:hAnsi="Arial"/>
          <w:sz w:val="14"/>
          <w:szCs w:val="14"/>
          <w:color w:val="auto"/>
        </w:rPr>
        <w:t>Not less than six (6) Trading Days prior to the filing of a Registration Statement or any related Prospectus or any amendment or supplement thereto, (i) furnish to each Holder copies of all such documents proposed to be filed, which documents (including documents incorporated or deemed to be incorporated by reference) will be subject to the review of such Holders, and (ii) cause its officers and directors, counsel and independent certified public accountants to respond to such inquiries as shall be necessary, in the reasonable opinion of respective legal counsel to allow the Holders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such documents.</w:t>
      </w:r>
    </w:p>
    <w:p>
      <w:pPr>
        <w:spacing w:after="0" w:line="150" w:lineRule="exact"/>
        <w:rPr>
          <w:rFonts w:ascii="Arial" w:cs="Arial" w:eastAsia="Arial" w:hAnsi="Arial"/>
          <w:sz w:val="14"/>
          <w:szCs w:val="14"/>
          <w:color w:val="auto"/>
        </w:rPr>
      </w:pPr>
    </w:p>
    <w:p>
      <w:pPr>
        <w:ind w:firstLine="356"/>
        <w:spacing w:after="0" w:line="291" w:lineRule="auto"/>
        <w:tabs>
          <w:tab w:leader="none" w:pos="917"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Inclusion in Registration Statement</w:t>
      </w:r>
      <w:r>
        <w:rPr>
          <w:rFonts w:ascii="Arial" w:cs="Arial" w:eastAsia="Arial" w:hAnsi="Arial"/>
          <w:sz w:val="14"/>
          <w:szCs w:val="14"/>
          <w:color w:val="auto"/>
        </w:rPr>
        <w:t xml:space="preserve">. Each Holder agrees to furnish to the Company a completed Questionnaire in the form attached to this Agreement as </w:t>
      </w:r>
      <w:r>
        <w:rPr>
          <w:rFonts w:ascii="Arial" w:cs="Arial" w:eastAsia="Arial" w:hAnsi="Arial"/>
          <w:sz w:val="14"/>
          <w:szCs w:val="14"/>
          <w:u w:val="single" w:color="auto"/>
          <w:color w:val="auto"/>
        </w:rPr>
        <w:t>Annex</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 “</w:t>
      </w:r>
      <w:r>
        <w:rPr>
          <w:rFonts w:ascii="Arial" w:cs="Arial" w:eastAsia="Arial" w:hAnsi="Arial"/>
          <w:sz w:val="14"/>
          <w:szCs w:val="14"/>
          <w:u w:val="single" w:color="auto"/>
          <w:color w:val="auto"/>
        </w:rPr>
        <w:t>Selling Shareholder Questionnaire</w:t>
      </w:r>
      <w:r>
        <w:rPr>
          <w:rFonts w:ascii="Arial" w:cs="Arial" w:eastAsia="Arial" w:hAnsi="Arial"/>
          <w:sz w:val="14"/>
          <w:szCs w:val="14"/>
          <w:color w:val="auto"/>
        </w:rPr>
        <w:t xml:space="preserve">”) not less than five (5) Trading Days following the date of this Agreement. Each Holder further agrees that it shall not be entitled to be named as a selling securityholder in a Registration Statement or use the Prospectus for offers and resales of Registrable Securities at any time, unless such Holder has returned to the Company a completed and signed Questionnaire. If a Holder of Registrable Securities returns a Questionnaire after the deadline specified in the previous sentence, the Company shall use its best efforts to take such actions as are required to name such Holder as a selling security holder in the Registration Statement or any pre-effective or post-effective amendment thereto and to include (to the extent not theretofore included) in the Registration Statement the Registrable Securities identified in such late Questionnaire. Each Holder acknowledges and agrees that the information in the </w:t>
      </w:r>
      <w:r>
        <w:rPr>
          <w:rFonts w:ascii="Arial" w:cs="Arial" w:eastAsia="Arial" w:hAnsi="Arial"/>
          <w:sz w:val="14"/>
          <w:szCs w:val="14"/>
          <w:u w:val="single" w:color="auto"/>
          <w:color w:val="auto"/>
        </w:rPr>
        <w:t>Selling Shareholder Questionnaire</w:t>
      </w:r>
      <w:r>
        <w:rPr>
          <w:rFonts w:ascii="Arial" w:cs="Arial" w:eastAsia="Arial" w:hAnsi="Arial"/>
          <w:sz w:val="14"/>
          <w:szCs w:val="14"/>
          <w:color w:val="auto"/>
        </w:rPr>
        <w:t xml:space="preserve"> will be used by the Company in the preparation of the Registration Statement and hereby consents to the inclusion of such information in the Registration Statement.</w:t>
      </w:r>
    </w:p>
    <w:p>
      <w:pPr>
        <w:spacing w:after="0" w:line="15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20"/>
          </w:cols>
          <w:pgMar w:left="800" w:top="133" w:right="279" w:bottom="1440" w:gutter="0" w:footer="0" w:header="0"/>
        </w:sectPr>
      </w:pPr>
    </w:p>
    <w:bookmarkStart w:id="47" w:name="page48"/>
    <w:bookmarkEnd w:id="47"/>
    <w:p>
      <w:pPr>
        <w:ind w:right="120" w:firstLine="395"/>
        <w:spacing w:after="0" w:line="291" w:lineRule="auto"/>
        <w:tabs>
          <w:tab w:leader="none" w:pos="947" w:val="left"/>
        </w:tabs>
        <w:numPr>
          <w:ilvl w:val="1"/>
          <w:numId w:val="36"/>
        </w:numPr>
        <w:rPr>
          <w:rFonts w:ascii="Arial" w:cs="Arial" w:eastAsia="Arial" w:hAnsi="Arial"/>
          <w:sz w:val="14"/>
          <w:szCs w:val="14"/>
          <w:color w:val="auto"/>
        </w:rPr>
      </w:pPr>
      <w:r>
        <w:rPr>
          <w:rFonts w:ascii="Arial" w:cs="Arial" w:eastAsia="Arial" w:hAnsi="Arial"/>
          <w:sz w:val="14"/>
          <w:szCs w:val="14"/>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as promptly as reasonably possible, upon request, provide the Holders true and complete copies of all correspondence from and to the Commission relating to a Registration Statement; and (iv) comply in all material respects with the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55" w:lineRule="exact"/>
        <w:rPr>
          <w:rFonts w:ascii="Arial" w:cs="Arial" w:eastAsia="Arial" w:hAnsi="Arial"/>
          <w:sz w:val="14"/>
          <w:szCs w:val="14"/>
          <w:color w:val="auto"/>
        </w:rPr>
      </w:pPr>
    </w:p>
    <w:p>
      <w:pPr>
        <w:ind w:right="80" w:firstLine="395"/>
        <w:spacing w:after="0" w:line="286" w:lineRule="auto"/>
        <w:tabs>
          <w:tab w:leader="none" w:pos="956" w:val="left"/>
        </w:tabs>
        <w:numPr>
          <w:ilvl w:val="1"/>
          <w:numId w:val="36"/>
        </w:numPr>
        <w:rPr>
          <w:rFonts w:ascii="Arial" w:cs="Arial" w:eastAsia="Arial" w:hAnsi="Arial"/>
          <w:sz w:val="14"/>
          <w:szCs w:val="14"/>
          <w:color w:val="auto"/>
        </w:rPr>
      </w:pPr>
      <w:r>
        <w:rPr>
          <w:rFonts w:ascii="Arial" w:cs="Arial" w:eastAsia="Arial" w:hAnsi="Arial"/>
          <w:sz w:val="14"/>
          <w:szCs w:val="14"/>
          <w:color w:val="auto"/>
        </w:rPr>
        <w:t>Notify the Holders of Registrable Securities to be sold as promptly as reasonably possible (and, in the case of (i)(A) below, not less than two (2) Trading Days prior to such filing):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(the Company shall, upon request, (x) provide true and complete copies thereof and all written responses thereto to each of the Holders who so requests provided such requesting Holders agree to keep such information confidential until it is publicly disclosed and to waive Section 4.6 of the Purchase Agreement with respect thereto or</w:t>
      </w:r>
    </w:p>
    <w:p>
      <w:pPr>
        <w:ind w:firstLine="7"/>
        <w:spacing w:after="0" w:line="288" w:lineRule="auto"/>
        <w:tabs>
          <w:tab w:leader="none" w:pos="219" w:val="left"/>
        </w:tabs>
        <w:numPr>
          <w:ilvl w:val="0"/>
          <w:numId w:val="37"/>
        </w:numPr>
        <w:rPr>
          <w:rFonts w:ascii="Arial" w:cs="Arial" w:eastAsia="Arial" w:hAnsi="Arial"/>
          <w:sz w:val="14"/>
          <w:szCs w:val="14"/>
          <w:color w:val="auto"/>
        </w:rPr>
      </w:pPr>
      <w:r>
        <w:rPr>
          <w:rFonts w:ascii="Arial" w:cs="Arial" w:eastAsia="Arial" w:hAnsi="Arial"/>
          <w:sz w:val="14"/>
          <w:szCs w:val="14"/>
          <w:color w:val="auto"/>
        </w:rPr>
        <w:t>provide such copies to counsel to the requesting Holder, provided such counsel agrees not to share the information in the comment letter with the Holder);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and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(provided that such Holder of Registrable Securities agrees to keep such information confidential until it is publicly disclosed and to waive Section 4.6 of the Purchase Agreement with respect thereto).</w:t>
      </w:r>
    </w:p>
    <w:p>
      <w:pPr>
        <w:spacing w:after="0" w:line="157"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33" w:right="239" w:bottom="1440" w:gutter="0" w:footer="0" w:header="0"/>
        </w:sectPr>
      </w:pPr>
    </w:p>
    <w:bookmarkStart w:id="48" w:name="page49"/>
    <w:bookmarkEnd w:id="48"/>
    <w:p>
      <w:pPr>
        <w:ind w:left="-395" w:right="480" w:firstLine="395"/>
        <w:spacing w:after="0" w:line="256" w:lineRule="auto"/>
        <w:tabs>
          <w:tab w:leader="none" w:pos="5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Use its reasonable best efforts to avoid the issuance of, or, if issued, obtain the withdrawal of (i) any order suspending the effectiveness of a Registration Statement, or (ii) any suspension of the qualification (or exemption from qualification) of any of the Registrable Securities for sale in any jurisdiction, at the earliest practicable moment.</w:t>
      </w:r>
    </w:p>
    <w:p>
      <w:pPr>
        <w:spacing w:after="0" w:line="114" w:lineRule="exact"/>
        <w:rPr>
          <w:rFonts w:ascii="Arial" w:cs="Arial" w:eastAsia="Arial" w:hAnsi="Arial"/>
          <w:sz w:val="16"/>
          <w:szCs w:val="16"/>
          <w:color w:val="auto"/>
        </w:rPr>
      </w:pPr>
    </w:p>
    <w:p>
      <w:pPr>
        <w:jc w:val="both"/>
        <w:ind w:left="-395" w:right="280" w:firstLine="395"/>
        <w:spacing w:after="0" w:line="310" w:lineRule="auto"/>
        <w:tabs>
          <w:tab w:leader="none" w:pos="532" w:val="left"/>
        </w:tabs>
        <w:numPr>
          <w:ilvl w:val="0"/>
          <w:numId w:val="38"/>
        </w:numPr>
        <w:rPr>
          <w:rFonts w:ascii="Arial" w:cs="Arial" w:eastAsia="Arial" w:hAnsi="Arial"/>
          <w:sz w:val="14"/>
          <w:szCs w:val="14"/>
          <w:color w:val="auto"/>
        </w:rPr>
      </w:pPr>
      <w:r>
        <w:rPr>
          <w:rFonts w:ascii="Arial" w:cs="Arial" w:eastAsia="Arial" w:hAnsi="Arial"/>
          <w:sz w:val="14"/>
          <w:szCs w:val="14"/>
          <w:color w:val="auto"/>
        </w:rPr>
        <w:t>To the extent requested by such Holders, furnish to each Holder, without charge, at least one conformed copy of each such Registration Statement and each amendment thereto, including financial statements and schedules, all documents incorporated or deemed to be incorporated therein by reference and all exhibits (including those previously furnished or incorporated by reference) promptly after the filing of such documents with the Commission.</w:t>
      </w:r>
    </w:p>
    <w:p>
      <w:pPr>
        <w:spacing w:after="0" w:line="79" w:lineRule="exact"/>
        <w:rPr>
          <w:rFonts w:ascii="Arial" w:cs="Arial" w:eastAsia="Arial" w:hAnsi="Arial"/>
          <w:sz w:val="14"/>
          <w:szCs w:val="14"/>
          <w:color w:val="auto"/>
        </w:rPr>
      </w:pPr>
    </w:p>
    <w:p>
      <w:pPr>
        <w:ind w:left="-395" w:firstLine="395"/>
        <w:spacing w:after="0" w:line="252" w:lineRule="auto"/>
        <w:tabs>
          <w:tab w:leader="none" w:pos="561"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Promptly deliver to each Holder, without charge, as many copies of the Prospectus or Prospectuses (including each form of prospectus) and each amendment or supplement thereto as such Persons may reasonably request in connection with resales by the Holder of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have no such obligation to furnish copies of a final prospectus if the conditions of Rule 172(c) under the Securities Act are satisfied by the Company.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3(d)(ii)-(v).</w:t>
      </w:r>
    </w:p>
    <w:p>
      <w:pPr>
        <w:spacing w:after="0" w:line="116" w:lineRule="exact"/>
        <w:rPr>
          <w:rFonts w:ascii="Arial" w:cs="Arial" w:eastAsia="Arial" w:hAnsi="Arial"/>
          <w:sz w:val="16"/>
          <w:szCs w:val="16"/>
          <w:color w:val="auto"/>
        </w:rPr>
      </w:pPr>
    </w:p>
    <w:p>
      <w:pPr>
        <w:ind w:left="-395" w:right="400" w:firstLine="395"/>
        <w:spacing w:after="0" w:line="310" w:lineRule="auto"/>
        <w:tabs>
          <w:tab w:leader="none" w:pos="561" w:val="left"/>
        </w:tabs>
        <w:numPr>
          <w:ilvl w:val="0"/>
          <w:numId w:val="38"/>
        </w:numPr>
        <w:rPr>
          <w:rFonts w:ascii="Arial" w:cs="Arial" w:eastAsia="Arial" w:hAnsi="Arial"/>
          <w:sz w:val="14"/>
          <w:szCs w:val="14"/>
          <w:color w:val="auto"/>
        </w:rPr>
      </w:pPr>
      <w:r>
        <w:rPr>
          <w:rFonts w:ascii="Arial" w:cs="Arial" w:eastAsia="Arial" w:hAnsi="Arial"/>
          <w:sz w:val="14"/>
          <w:szCs w:val="14"/>
          <w:color w:val="auto"/>
        </w:rPr>
        <w:t>If NASD Rule 2710 requires any broker-dealer to make a filing prior to executing a sale by a Holder, the Company shall, following a written request by a broker-dealer, (i) make an Issuer Filing with the NASDR, Inc. Corporate Financing Department pursuant to NASD Rule 2710(b)(10)(A)(i), (ii) respond within five (5) Trading Days to any comments received from NASDR in connection therewith, and (iii) pay the filing fee required in connection therewith.</w:t>
      </w:r>
    </w:p>
    <w:p>
      <w:pPr>
        <w:spacing w:after="0" w:line="271" w:lineRule="exact"/>
        <w:rPr>
          <w:sz w:val="20"/>
          <w:szCs w:val="20"/>
          <w:color w:val="auto"/>
        </w:rPr>
      </w:pPr>
    </w:p>
    <w:p>
      <w:pPr>
        <w:ind w:left="4725"/>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104775</wp:posOffset>
            </wp:positionV>
            <wp:extent cx="7282815" cy="35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485"/>
          </w:cols>
          <w:pgMar w:left="1195" w:top="276" w:right="219" w:bottom="1440" w:gutter="0" w:footer="0" w:header="0"/>
        </w:sectPr>
      </w:pPr>
    </w:p>
    <w:bookmarkStart w:id="49" w:name="page50"/>
    <w:bookmarkEnd w:id="49"/>
    <w:p>
      <w:pPr>
        <w:ind w:right="60" w:firstLine="395"/>
        <w:spacing w:after="0" w:line="251" w:lineRule="auto"/>
        <w:tabs>
          <w:tab w:leader="none" w:pos="9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Prior to any resale of Registrable Securities by a Holder, use its reasonable best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19" w:lineRule="exact"/>
        <w:rPr>
          <w:rFonts w:ascii="Arial" w:cs="Arial" w:eastAsia="Arial" w:hAnsi="Arial"/>
          <w:sz w:val="16"/>
          <w:szCs w:val="16"/>
          <w:color w:val="auto"/>
        </w:rPr>
      </w:pPr>
    </w:p>
    <w:p>
      <w:pPr>
        <w:ind w:firstLine="395"/>
        <w:spacing w:after="0" w:line="310" w:lineRule="auto"/>
        <w:tabs>
          <w:tab w:leader="none" w:pos="922" w:val="left"/>
        </w:tabs>
        <w:numPr>
          <w:ilvl w:val="0"/>
          <w:numId w:val="39"/>
        </w:numPr>
        <w:rPr>
          <w:rFonts w:ascii="Arial" w:cs="Arial" w:eastAsia="Arial" w:hAnsi="Arial"/>
          <w:sz w:val="14"/>
          <w:szCs w:val="14"/>
          <w:color w:val="auto"/>
        </w:rPr>
      </w:pPr>
      <w:r>
        <w:rPr>
          <w:rFonts w:ascii="Arial" w:cs="Arial" w:eastAsia="Arial" w:hAnsi="Arial"/>
          <w:sz w:val="14"/>
          <w:szCs w:val="14"/>
          <w:color w:val="auto"/>
        </w:rPr>
        <w:t>If requested by the Holders, cooperate with the Holders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Holders may request.</w:t>
      </w:r>
    </w:p>
    <w:p>
      <w:pPr>
        <w:spacing w:after="0" w:line="79" w:lineRule="exact"/>
        <w:rPr>
          <w:rFonts w:ascii="Arial" w:cs="Arial" w:eastAsia="Arial" w:hAnsi="Arial"/>
          <w:sz w:val="14"/>
          <w:szCs w:val="14"/>
          <w:color w:val="auto"/>
        </w:rPr>
      </w:pPr>
    </w:p>
    <w:p>
      <w:pPr>
        <w:ind w:right="160" w:firstLine="395"/>
        <w:spacing w:after="0" w:line="252" w:lineRule="auto"/>
        <w:tabs>
          <w:tab w:leader="none" w:pos="956" w:val="left"/>
        </w:tabs>
        <w:numPr>
          <w:ilvl w:val="0"/>
          <w:numId w:val="39"/>
        </w:numPr>
        <w:rPr>
          <w:rFonts w:ascii="Arial" w:cs="Arial" w:eastAsia="Arial" w:hAnsi="Arial"/>
          <w:sz w:val="16"/>
          <w:szCs w:val="16"/>
          <w:color w:val="auto"/>
        </w:rPr>
      </w:pPr>
      <w:r>
        <w:rPr>
          <w:rFonts w:ascii="Arial" w:cs="Arial" w:eastAsia="Arial" w:hAnsi="Arial"/>
          <w:sz w:val="16"/>
          <w:szCs w:val="16"/>
          <w:color w:val="auto"/>
        </w:rPr>
        <w:t>Upon the occurrence of any event contemplated by Section 3(d)(ii)-(v), as promptly as reasonably possible, prepare a supplement or amendment, including a post-effective amendment, to the Registration Statement or a supplement to the related Prospectus or any document incorporated or deemed to be incorporated therein by reference, and file any other required document so that, as thereafter delivered, neither the Registration Statement nor such Prospectus will contain an untrue statement of a material fact or omit to state a material fact required to be stated therein or necessary to make the statements therein, in light of the circumstances under which they were made, not misleading.</w:t>
      </w:r>
    </w:p>
    <w:p>
      <w:pPr>
        <w:spacing w:after="0" w:line="119" w:lineRule="exact"/>
        <w:rPr>
          <w:rFonts w:ascii="Arial" w:cs="Arial" w:eastAsia="Arial" w:hAnsi="Arial"/>
          <w:sz w:val="16"/>
          <w:szCs w:val="16"/>
          <w:color w:val="auto"/>
        </w:rPr>
      </w:pPr>
    </w:p>
    <w:p>
      <w:pPr>
        <w:ind w:right="420" w:firstLine="395"/>
        <w:spacing w:after="0" w:line="264" w:lineRule="auto"/>
        <w:tabs>
          <w:tab w:leader="none" w:pos="9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Comply with all applicable rules and regulations of the Commission and use its reasonable best efforts to cause all Registrable Securities to be listed on a Trading Market.</w:t>
      </w:r>
    </w:p>
    <w:p>
      <w:pPr>
        <w:spacing w:after="0" w:line="108" w:lineRule="exact"/>
        <w:rPr>
          <w:rFonts w:ascii="Arial" w:cs="Arial" w:eastAsia="Arial" w:hAnsi="Arial"/>
          <w:sz w:val="16"/>
          <w:szCs w:val="16"/>
          <w:color w:val="auto"/>
        </w:rPr>
      </w:pPr>
    </w:p>
    <w:p>
      <w:pPr>
        <w:ind w:firstLine="395"/>
        <w:spacing w:after="0" w:line="252" w:lineRule="auto"/>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requested by Holders, in the event of an underwritten offering of the Registrable Securities by the Holders pursuant to an agreement with a registered broker-dealer, the Company shall furnish to the Holders (i) on the date of the effectiveness of the Registration Statement, a letter, dated such date, from the Company’s independent certified public accountants in form and substance as is customarily given by independent certified public accountants to underwriters in an underwritten public offering, addressed to the Holders, and (ii) on the date that Registrable Securities are delivered to the underwriters for sale in any such registration, an opinion, dated as of such date, of counsel representing the Company for purposes of such Registration Statement, in form, scope and substance as is customarily given in an underwritten public offering, addressed to the Holders.</w:t>
      </w:r>
    </w:p>
    <w:p>
      <w:pPr>
        <w:spacing w:after="0" w:line="116" w:lineRule="exact"/>
        <w:rPr>
          <w:rFonts w:ascii="Arial" w:cs="Arial" w:eastAsia="Arial" w:hAnsi="Arial"/>
          <w:sz w:val="16"/>
          <w:szCs w:val="16"/>
          <w:color w:val="auto"/>
        </w:rPr>
      </w:pPr>
    </w:p>
    <w:p>
      <w:pPr>
        <w:jc w:val="both"/>
        <w:ind w:right="100" w:firstLine="395"/>
        <w:spacing w:after="0" w:line="256" w:lineRule="auto"/>
        <w:tabs>
          <w:tab w:leader="none" w:pos="917"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Notwithstanding anything herein to the contrary, no Holder shall be designated as an “underwriter” by the Company in any Registration Statement without the consent of such Holder. In the absence of such consent, no Holder required to be designated as “underwriter” shall be entitled to be included as a selling securityholder in the Registration Statement.</w:t>
      </w:r>
    </w:p>
    <w:p>
      <w:pPr>
        <w:spacing w:after="0" w:line="175"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50" w:name="page51"/>
    <w:bookmarkEnd w:id="50"/>
    <w:p>
      <w:pPr>
        <w:ind w:right="20" w:firstLine="395"/>
        <w:spacing w:after="0" w:line="285" w:lineRule="auto"/>
        <w:tabs>
          <w:tab w:leader="none" w:pos="956" w:val="left"/>
        </w:tabs>
        <w:numPr>
          <w:ilvl w:val="1"/>
          <w:numId w:val="40"/>
        </w:numPr>
        <w:rPr>
          <w:rFonts w:ascii="Arial" w:cs="Arial" w:eastAsia="Arial" w:hAnsi="Arial"/>
          <w:sz w:val="14"/>
          <w:szCs w:val="14"/>
          <w:color w:val="auto"/>
        </w:rPr>
      </w:pPr>
      <w:r>
        <w:rPr>
          <w:rFonts w:ascii="Arial" w:cs="Arial" w:eastAsia="Arial" w:hAnsi="Arial"/>
          <w:sz w:val="14"/>
          <w:szCs w:val="14"/>
          <w:color w:val="auto"/>
        </w:rPr>
        <w:t>In connection with the due diligence efforts of any Holder who is or is to be identified as an “underwriter,” the Company shall make available for inspection during business hours and upon reasonable advance request by (i) any Holder, (ii) counsel for such Holder and (iii) one firm of accountants or other agents retained by such Holder (collectively, the “</w:t>
      </w:r>
      <w:r>
        <w:rPr>
          <w:rFonts w:ascii="Arial" w:cs="Arial" w:eastAsia="Arial" w:hAnsi="Arial"/>
          <w:sz w:val="14"/>
          <w:szCs w:val="14"/>
          <w:u w:val="single" w:color="auto"/>
          <w:color w:val="auto"/>
        </w:rPr>
        <w:t>Inspectors</w:t>
      </w:r>
      <w:r>
        <w:rPr>
          <w:rFonts w:ascii="Arial" w:cs="Arial" w:eastAsia="Arial" w:hAnsi="Arial"/>
          <w:sz w:val="14"/>
          <w:szCs w:val="14"/>
          <w:color w:val="auto"/>
        </w:rPr>
        <w:t>”), all pertinent financial and other records, and pertinent corporate documents and properties of the Company (collectively, the “</w:t>
      </w:r>
      <w:r>
        <w:rPr>
          <w:rFonts w:ascii="Arial" w:cs="Arial" w:eastAsia="Arial" w:hAnsi="Arial"/>
          <w:sz w:val="14"/>
          <w:szCs w:val="14"/>
          <w:u w:val="single" w:color="auto"/>
          <w:color w:val="auto"/>
        </w:rPr>
        <w:t>Records</w:t>
      </w:r>
      <w:r>
        <w:rPr>
          <w:rFonts w:ascii="Arial" w:cs="Arial" w:eastAsia="Arial" w:hAnsi="Arial"/>
          <w:sz w:val="14"/>
          <w:szCs w:val="14"/>
          <w:color w:val="auto"/>
        </w:rPr>
        <w:t xml:space="preserve">”), as shall be reasonably deemed necessary by each Inspector, and cause the Company’s officers, directors and employees to supply all information which any Inspector may reasonably request;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each Inspector shall agree in writing to hold in strict confidence and shall not make any disclosure (except to such Holder) or use of any Record or other information which the Company determines in good faith to be confidential, and of which determination the Inspectors are so notified, unless (a) the disclosure of such Records is necessary to avoid or correct a misstatement or omission in any Registration Statement or is otherwise required under the Securities Act, (b) the release of such Records is ordered pursuant to a final, non-appealable subpoena or order from a court or government body of competent jurisdiction, or</w:t>
      </w:r>
    </w:p>
    <w:p>
      <w:pPr>
        <w:spacing w:after="0" w:line="2" w:lineRule="exact"/>
        <w:rPr>
          <w:rFonts w:ascii="Arial" w:cs="Arial" w:eastAsia="Arial" w:hAnsi="Arial"/>
          <w:sz w:val="14"/>
          <w:szCs w:val="14"/>
          <w:color w:val="auto"/>
        </w:rPr>
      </w:pPr>
    </w:p>
    <w:p>
      <w:pPr>
        <w:ind w:firstLine="8"/>
        <w:spacing w:after="0" w:line="295" w:lineRule="auto"/>
        <w:tabs>
          <w:tab w:leader="none" w:pos="211"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information in such Records has been made generally available to the public other than by disclosure in violation of this or any other agreement of which the Inspector has knowledge or any Holder is a party. Each Holder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Holder) shall be deemed to limit such Holders’ ability to sell Registrable Securities in a manner which is otherwise consistent with applicable laws and regulations.</w:t>
      </w:r>
    </w:p>
    <w:p>
      <w:pPr>
        <w:spacing w:after="0" w:line="90" w:lineRule="exact"/>
        <w:rPr>
          <w:rFonts w:ascii="Arial" w:cs="Arial" w:eastAsia="Arial" w:hAnsi="Arial"/>
          <w:sz w:val="14"/>
          <w:szCs w:val="14"/>
          <w:color w:val="auto"/>
        </w:rPr>
      </w:pPr>
    </w:p>
    <w:p>
      <w:pPr>
        <w:jc w:val="both"/>
        <w:ind w:right="420" w:firstLine="395"/>
        <w:spacing w:after="0" w:line="254" w:lineRule="auto"/>
        <w:tabs>
          <w:tab w:leader="none" w:pos="953"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Company shall not permit any officer, director, underwriter, broker or any other person acting on behalf of the Company to use any Free Writing Prospectus in connection with the Registration Statement covering Registrable Securities, without the prior written consent of the Holders which consent shall not be unreasonably withheld or delayed. Any consent to the use of a Free Writing Prospectus included in an underwriting agreement to which the Holders are parties shall be deemed to satisfy the requirement for such consent.</w:t>
      </w:r>
    </w:p>
    <w:p>
      <w:pPr>
        <w:spacing w:after="0" w:line="175"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00"/>
          </w:cols>
          <w:pgMar w:left="800" w:top="144" w:right="299" w:bottom="1440" w:gutter="0" w:footer="0" w:header="0"/>
        </w:sectPr>
      </w:pPr>
    </w:p>
    <w:bookmarkStart w:id="51" w:name="page52"/>
    <w:bookmarkEnd w:id="51"/>
    <w:p>
      <w:pPr>
        <w:ind w:left="-20" w:right="20" w:firstLine="383"/>
        <w:spacing w:after="0" w:line="288" w:lineRule="auto"/>
        <w:tabs>
          <w:tab w:leader="none" w:pos="755"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Registration Expenses</w:t>
      </w:r>
      <w:r>
        <w:rPr>
          <w:rFonts w:ascii="Arial" w:cs="Arial" w:eastAsia="Arial" w:hAnsi="Arial"/>
          <w:sz w:val="14"/>
          <w:szCs w:val="14"/>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(A) with respect to filings required to be made with the Trading Market on which the Common Stock is then listed for trading, (B) in compliance with applicable state securities or Blue Sky laws reasonably agreed to by the Company (including, without limitation, fees and disbursements of counsel for the Company in connection with Blue Sky qualifications or exemptions of the Registrable Securities and determination of the eligibility of the Registrable Securities for investment under the laws of such jurisdictions as requested by the Holders) and (C) if not previously paid by the Company in connection with an Issuer Filing, with respect to any filing that may be required to be made by any broker through which a Holder intends to make sales of Registrable Securities with NASD Regulation, Inc. pursuant to the NASD Rule 2710, so long as the broker is receiving no more than a customary brokerage commission in connection with such sale, (ii) printing expenses (including, without limitation, expenses of printing certificates for Registrable Securities and of printing prospectuses if the printing of prospectuses is reasonably requested by the holders of a majority of the Registrable Securities included in a Registration Statement), (iii) messenger, telephone and delivery expenses of the Company,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or, except to the extent provided for in the Transaction Documents, any legal fees or other costs of the Holders.</w:t>
      </w:r>
    </w:p>
    <w:p>
      <w:pPr>
        <w:spacing w:after="0" w:line="357" w:lineRule="exact"/>
        <w:rPr>
          <w:rFonts w:ascii="Arial" w:cs="Arial" w:eastAsia="Arial" w:hAnsi="Arial"/>
          <w:sz w:val="14"/>
          <w:szCs w:val="14"/>
          <w:color w:val="auto"/>
        </w:rPr>
      </w:pPr>
    </w:p>
    <w:p>
      <w:pPr>
        <w:ind w:left="940" w:hanging="392"/>
        <w:spacing w:after="0"/>
        <w:tabs>
          <w:tab w:leader="none" w:pos="94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Indemnification</w:t>
      </w:r>
    </w:p>
    <w:p>
      <w:pPr>
        <w:spacing w:after="0" w:line="138" w:lineRule="exact"/>
        <w:rPr>
          <w:rFonts w:ascii="Arial" w:cs="Arial" w:eastAsia="Arial" w:hAnsi="Arial"/>
          <w:sz w:val="16"/>
          <w:szCs w:val="16"/>
          <w:color w:val="auto"/>
        </w:rPr>
      </w:pPr>
    </w:p>
    <w:p>
      <w:pPr>
        <w:ind w:left="540" w:firstLine="395"/>
        <w:spacing w:after="0" w:line="289" w:lineRule="auto"/>
        <w:tabs>
          <w:tab w:leader="none" w:pos="1487" w:val="left"/>
        </w:tabs>
        <w:numPr>
          <w:ilvl w:val="2"/>
          <w:numId w:val="42"/>
        </w:numPr>
        <w:rPr>
          <w:rFonts w:ascii="Arial" w:cs="Arial" w:eastAsia="Arial" w:hAnsi="Arial"/>
          <w:sz w:val="14"/>
          <w:szCs w:val="14"/>
          <w:color w:val="auto"/>
        </w:rPr>
      </w:pPr>
      <w:r>
        <w:rPr>
          <w:rFonts w:ascii="Arial" w:cs="Arial" w:eastAsia="Arial" w:hAnsi="Arial"/>
          <w:sz w:val="14"/>
          <w:szCs w:val="14"/>
          <w:u w:val="single" w:color="auto"/>
          <w:color w:val="auto"/>
        </w:rPr>
        <w:t>Indemnification by the Company</w:t>
      </w:r>
      <w:r>
        <w:rPr>
          <w:rFonts w:ascii="Arial" w:cs="Arial" w:eastAsia="Arial" w:hAnsi="Arial"/>
          <w:sz w:val="14"/>
          <w:szCs w:val="14"/>
          <w:color w:val="auto"/>
        </w:rPr>
        <w:t>. The Company shall, and hereby does notwithstanding any termination of this Agreement, indemnify, defend and hold harmless each Holder, the officers, directors, agents, members, partners, and employees of each of them, each Person who controls any such Holder (within the meaning of Section 15 of the Securities Act or Section 20 of the Exchange Act) and the officers, directors, agents, members, partners, and employees of each such controlling Person, to the fullest extent permitted by applicable law, from and against any and all losses, claims, damages, liabilities, costs (including, without limitation, reasonable attorneys’ fees) and expenses, (collectively, “</w:t>
      </w:r>
      <w:r>
        <w:rPr>
          <w:rFonts w:ascii="Arial" w:cs="Arial" w:eastAsia="Arial" w:hAnsi="Arial"/>
          <w:sz w:val="14"/>
          <w:szCs w:val="14"/>
          <w:u w:val="single" w:color="auto"/>
          <w:color w:val="auto"/>
        </w:rPr>
        <w:t>Losses</w:t>
      </w:r>
      <w:r>
        <w:rPr>
          <w:rFonts w:ascii="Arial" w:cs="Arial" w:eastAsia="Arial" w:hAnsi="Arial"/>
          <w:sz w:val="14"/>
          <w:szCs w:val="14"/>
          <w:color w:val="auto"/>
        </w:rPr>
        <w:t>”), as incurred, to the extent arising out of or relating to, any untrue or alleged untrue statement of a material fact contained or incorporated by reference in a Registration Statement, any Prospectus or any form of prospectus or in any amendment or supplement thereto or in any preliminary prospectus, or Issuer Free Writing Prospectus or arising out of or relating to any omission or alleged omission of a material fact required to be stated therein or necessary to make the statements therein (in the case of any Prospectus or form of prospectus or supplement thereto, in light of the circumstances under which they were made) not misleading, or any violation or alleged violation by the Company of the Securities Act, the Exchange Act, any other law, including, without limitation, any state securities law, any “blue sky” laws of any jurisdiction in which Registrable Securities are offered or any rule or regulation thereunder relating to the offer or sale of the Registrable Securities pursuant to a Registration Statement or any violation of this Agreement, but only to the extent, that such untrue statements or omissions were not contained in any information so furnished in writing by such Holder to the Company specifically for inclusion in such Registration Statement.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104775</wp:posOffset>
            </wp:positionV>
            <wp:extent cx="7282815"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60" w:top="133" w:right="239" w:bottom="1440" w:gutter="0" w:footer="0" w:header="0"/>
        </w:sectPr>
      </w:pPr>
    </w:p>
    <w:bookmarkStart w:id="52" w:name="page53"/>
    <w:bookmarkEnd w:id="52"/>
    <w:p>
      <w:pPr>
        <w:ind w:right="20" w:firstLine="395"/>
        <w:spacing w:after="0" w:line="291" w:lineRule="auto"/>
        <w:tabs>
          <w:tab w:leader="none" w:pos="956"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Indemnification by Holders</w:t>
      </w:r>
      <w:r>
        <w:rPr>
          <w:rFonts w:ascii="Arial" w:cs="Arial" w:eastAsia="Arial" w:hAnsi="Arial"/>
          <w:sz w:val="14"/>
          <w:szCs w:val="14"/>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any form of prospectus, or in any amendment or supplement thereto or in any preliminary prospectus, or Issuer Free Writing Prospectus or arising out of or relating to any omission or alleged omission of a material fact required to be stated therein or necessary to make the statements therein not misleading to the extent, but only to the extent, that such untrue statement or omission is contained in any information so furnished in writing by such Holder to the Company specifically for inclusion in such Registration Statement, Prospectus or Issuer Free Writing Prospectus.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91" w:lineRule="exact"/>
        <w:rPr>
          <w:rFonts w:ascii="Arial" w:cs="Arial" w:eastAsia="Arial" w:hAnsi="Arial"/>
          <w:sz w:val="14"/>
          <w:szCs w:val="14"/>
          <w:color w:val="auto"/>
        </w:rPr>
      </w:pPr>
    </w:p>
    <w:p>
      <w:pPr>
        <w:ind w:firstLine="395"/>
        <w:spacing w:after="0" w:line="294" w:lineRule="auto"/>
        <w:tabs>
          <w:tab w:leader="none" w:pos="947" w:val="left"/>
        </w:tabs>
        <w:numPr>
          <w:ilvl w:val="0"/>
          <w:numId w:val="43"/>
        </w:numPr>
        <w:rPr>
          <w:rFonts w:ascii="Arial" w:cs="Arial" w:eastAsia="Arial" w:hAnsi="Arial"/>
          <w:sz w:val="14"/>
          <w:szCs w:val="14"/>
          <w:color w:val="auto"/>
        </w:rPr>
      </w:pPr>
      <w:r>
        <w:rPr>
          <w:rFonts w:ascii="Arial" w:cs="Arial" w:eastAsia="Arial" w:hAnsi="Arial"/>
          <w:sz w:val="14"/>
          <w:szCs w:val="14"/>
          <w:u w:val="single" w:color="auto"/>
          <w:color w:val="auto"/>
        </w:rPr>
        <w:t>Conduct of Indemnification Proceedings</w:t>
      </w:r>
      <w:r>
        <w:rPr>
          <w:rFonts w:ascii="Arial" w:cs="Arial" w:eastAsia="Arial" w:hAnsi="Arial"/>
          <w:sz w:val="14"/>
          <w:szCs w:val="14"/>
          <w:color w:val="auto"/>
        </w:rPr>
        <w:t>. If any Proceeding shall be brought or asserted against any Person entitled to indemnity hereunder (an “</w:t>
      </w:r>
      <w:r>
        <w:rPr>
          <w:rFonts w:ascii="Arial" w:cs="Arial" w:eastAsia="Arial" w:hAnsi="Arial"/>
          <w:sz w:val="14"/>
          <w:szCs w:val="14"/>
          <w:u w:val="single" w:color="auto"/>
          <w:color w:val="auto"/>
        </w:rPr>
        <w:t>Indemnified</w:t>
      </w:r>
      <w:r>
        <w:rPr>
          <w:rFonts w:ascii="Arial" w:cs="Arial" w:eastAsia="Arial" w:hAnsi="Arial"/>
          <w:sz w:val="14"/>
          <w:szCs w:val="14"/>
          <w:color w:val="auto"/>
        </w:rPr>
        <w:t xml:space="preserve"> </w:t>
      </w:r>
      <w:r>
        <w:rPr>
          <w:rFonts w:ascii="Arial" w:cs="Arial" w:eastAsia="Arial" w:hAnsi="Arial"/>
          <w:sz w:val="14"/>
          <w:szCs w:val="14"/>
          <w:u w:val="single" w:color="auto"/>
          <w:color w:val="auto"/>
        </w:rPr>
        <w:t>Party</w:t>
      </w:r>
      <w:r>
        <w:rPr>
          <w:rFonts w:ascii="Arial" w:cs="Arial" w:eastAsia="Arial" w:hAnsi="Arial"/>
          <w:sz w:val="14"/>
          <w:szCs w:val="14"/>
          <w:color w:val="auto"/>
        </w:rPr>
        <w:t>”), such Indemnified Party shall promptly notify the Person from whom indemnity is sought (the “</w:t>
      </w:r>
      <w:r>
        <w:rPr>
          <w:rFonts w:ascii="Arial" w:cs="Arial" w:eastAsia="Arial" w:hAnsi="Arial"/>
          <w:sz w:val="14"/>
          <w:szCs w:val="14"/>
          <w:u w:val="single" w:color="auto"/>
          <w:color w:val="auto"/>
        </w:rPr>
        <w:t>Indemnifying Party</w:t>
      </w:r>
      <w:r>
        <w:rPr>
          <w:rFonts w:ascii="Arial" w:cs="Arial" w:eastAsia="Arial" w:hAnsi="Arial"/>
          <w:sz w:val="14"/>
          <w:szCs w:val="14"/>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prejudiced the Indemnifying Party.</w:t>
      </w:r>
    </w:p>
    <w:p>
      <w:pPr>
        <w:spacing w:after="0" w:line="93" w:lineRule="exact"/>
        <w:rPr>
          <w:sz w:val="20"/>
          <w:szCs w:val="20"/>
          <w:color w:val="auto"/>
        </w:rPr>
      </w:pPr>
    </w:p>
    <w:p>
      <w:pPr>
        <w:ind w:right="60" w:firstLine="379"/>
        <w:spacing w:after="0" w:line="288" w:lineRule="auto"/>
        <w:rPr>
          <w:sz w:val="20"/>
          <w:szCs w:val="20"/>
          <w:color w:val="auto"/>
        </w:rPr>
      </w:pPr>
      <w:r>
        <w:rPr>
          <w:rFonts w:ascii="Arial" w:cs="Arial" w:eastAsia="Arial" w:hAnsi="Arial"/>
          <w:sz w:val="14"/>
          <w:szCs w:val="14"/>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one separate counsel shall be at the expense of the Indemnifying Party). The Indemnifying Party shall not be liable for any settlement of any such Proceeding effected without its written consent, which consent shall not be unreasonably withheld, delayed or conditioned.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 and such settlement does not require the Indemnified Party to pay any amount or take any action in connection therewith. The failure to deliver written notice to the Indemnifying Party within a reasonable time of the commencement of any such action shall not relieve such Indemnifying Party of any liability to the Indemnified Party under this Section 5, except to the extent that the Indemnifying Party is prejudiced in its ability to defend such action.</w:t>
      </w:r>
    </w:p>
    <w:p>
      <w:pPr>
        <w:spacing w:after="0" w:line="351"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53" w:name="page54"/>
    <w:bookmarkEnd w:id="53"/>
    <w:p>
      <w:pPr>
        <w:ind w:right="60" w:firstLine="426"/>
        <w:spacing w:after="0" w:line="297" w:lineRule="auto"/>
        <w:rPr>
          <w:sz w:val="20"/>
          <w:szCs w:val="20"/>
          <w:color w:val="auto"/>
        </w:rPr>
      </w:pPr>
      <w:r>
        <w:rPr>
          <w:rFonts w:ascii="Arial" w:cs="Arial" w:eastAsia="Arial" w:hAnsi="Arial"/>
          <w:sz w:val="14"/>
          <w:szCs w:val="14"/>
          <w:color w:val="auto"/>
        </w:rPr>
        <w:t xml:space="preserve">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promptly to the Indemnified Party, as incurred, but no later than ten (10) Trading Days of written notice thereof to the Indemnifying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Indemnified Party shall promptly reimburse the Indemnifying Party for that portion of such fees and expenses applicable to such Proceeding for which such Indemnified Party is not entitled to indemnification hereunder including as may be determined based upon the relative fault of the parties.</w:t>
      </w:r>
    </w:p>
    <w:p>
      <w:pPr>
        <w:spacing w:after="0" w:line="89" w:lineRule="exact"/>
        <w:rPr>
          <w:sz w:val="20"/>
          <w:szCs w:val="20"/>
          <w:color w:val="auto"/>
        </w:rPr>
      </w:pPr>
    </w:p>
    <w:p>
      <w:pPr>
        <w:ind w:right="280" w:firstLine="385"/>
        <w:spacing w:after="0" w:line="264" w:lineRule="auto"/>
        <w:rPr>
          <w:sz w:val="20"/>
          <w:szCs w:val="20"/>
          <w:color w:val="auto"/>
        </w:rPr>
      </w:pPr>
      <w:r>
        <w:rPr>
          <w:rFonts w:ascii="Arial" w:cs="Arial" w:eastAsia="Arial" w:hAnsi="Arial"/>
          <w:sz w:val="16"/>
          <w:szCs w:val="16"/>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08" w:lineRule="exact"/>
        <w:rPr>
          <w:sz w:val="20"/>
          <w:szCs w:val="20"/>
          <w:color w:val="auto"/>
        </w:rPr>
      </w:pPr>
    </w:p>
    <w:p>
      <w:pPr>
        <w:ind w:firstLine="434"/>
        <w:spacing w:after="0" w:line="291" w:lineRule="auto"/>
        <w:tabs>
          <w:tab w:leader="none" w:pos="1034" w:val="left"/>
        </w:tabs>
        <w:numPr>
          <w:ilvl w:val="0"/>
          <w:numId w:val="44"/>
        </w:numPr>
        <w:rPr>
          <w:rFonts w:ascii="Arial" w:cs="Arial" w:eastAsia="Arial" w:hAnsi="Arial"/>
          <w:sz w:val="14"/>
          <w:szCs w:val="14"/>
          <w:color w:val="auto"/>
        </w:rPr>
      </w:pPr>
      <w:r>
        <w:rPr>
          <w:rFonts w:ascii="Arial" w:cs="Arial" w:eastAsia="Arial" w:hAnsi="Arial"/>
          <w:sz w:val="14"/>
          <w:szCs w:val="14"/>
          <w:u w:val="single" w:color="auto"/>
          <w:color w:val="auto"/>
        </w:rPr>
        <w:t>Contribution</w:t>
      </w:r>
      <w:r>
        <w:rPr>
          <w:rFonts w:ascii="Arial" w:cs="Arial" w:eastAsia="Arial" w:hAnsi="Arial"/>
          <w:sz w:val="14"/>
          <w:szCs w:val="14"/>
          <w:color w:val="auto"/>
        </w:rPr>
        <w:t>. If the indemnification under Section 5(a) or 5(b) is unavailable to an Indemnified Party,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51"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54" w:name="page55"/>
    <w:bookmarkEnd w:id="54"/>
    <w:p>
      <w:pPr>
        <w:ind w:right="40" w:firstLine="426"/>
        <w:spacing w:after="0" w:line="297" w:lineRule="auto"/>
        <w:rPr>
          <w:sz w:val="20"/>
          <w:szCs w:val="20"/>
          <w:color w:val="auto"/>
        </w:rPr>
      </w:pPr>
      <w:r>
        <w:rPr>
          <w:rFonts w:ascii="Arial" w:cs="Arial" w:eastAsia="Arial" w:hAnsi="Arial"/>
          <w:sz w:val="14"/>
          <w:szCs w:val="14"/>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Notwithstanding the provisions of this Section 5(d), no Holder shall be required to contribute, in the aggregate, any amount in excess of the amount by which the net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except in the case of fraud by such Holder.</w:t>
      </w:r>
    </w:p>
    <w:p>
      <w:pPr>
        <w:spacing w:after="0" w:line="89" w:lineRule="exact"/>
        <w:rPr>
          <w:sz w:val="20"/>
          <w:szCs w:val="20"/>
          <w:color w:val="auto"/>
        </w:rPr>
      </w:pPr>
    </w:p>
    <w:p>
      <w:pPr>
        <w:ind w:firstLine="385"/>
        <w:spacing w:after="0" w:line="293" w:lineRule="auto"/>
        <w:rPr>
          <w:sz w:val="20"/>
          <w:szCs w:val="20"/>
          <w:color w:val="auto"/>
        </w:rPr>
      </w:pPr>
      <w:r>
        <w:rPr>
          <w:rFonts w:ascii="Arial" w:cs="Arial" w:eastAsia="Arial" w:hAnsi="Arial"/>
          <w:sz w:val="14"/>
          <w:szCs w:val="14"/>
          <w:color w:val="auto"/>
        </w:rPr>
        <w:t>The indemnity and contribution agreements contained in this Section are in addition to any liability that the Indemnifying Parties may have to the Indemnified Parties. The parties to this Agreement hereby acknowledge that they are sophisticated business persons who were represented by counsel during the negotiations regarding the provisions hereof including, without limitation, the provisions of this Section 5, and are fully informed regarding said provisions. They further acknowledge that the provisions of this Section 5 fairly allocate the risks in light of the ability of the parties to investigate the Company and its business in order to assure that adequate disclosure is made in the Registration Statement as required by the Securities Act and the Exchange Act. The parties are advised that federal or state public policy as interpreted by the courts in certain jurisdictions may be contrary to certain of the provisions of this Section 5, and the parties hereto hereby expressly waive and relinquish any right or ability to assert such public policy as a defense to a claim under this Section 5 and further agree not to attempt to assert any such defense.</w:t>
      </w:r>
    </w:p>
    <w:p>
      <w:pPr>
        <w:spacing w:after="0" w:line="91"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Miscellaneous</w:t>
      </w:r>
    </w:p>
    <w:p>
      <w:pPr>
        <w:spacing w:after="0" w:line="138" w:lineRule="exact"/>
        <w:rPr>
          <w:rFonts w:ascii="Arial" w:cs="Arial" w:eastAsia="Arial" w:hAnsi="Arial"/>
          <w:sz w:val="16"/>
          <w:szCs w:val="16"/>
          <w:color w:val="auto"/>
        </w:rPr>
      </w:pPr>
    </w:p>
    <w:p>
      <w:pPr>
        <w:ind w:right="20" w:firstLine="434"/>
        <w:spacing w:after="0" w:line="297" w:lineRule="auto"/>
        <w:tabs>
          <w:tab w:leader="none" w:pos="1025" w:val="left"/>
        </w:tabs>
        <w:numPr>
          <w:ilvl w:val="2"/>
          <w:numId w:val="45"/>
        </w:numPr>
        <w:rPr>
          <w:rFonts w:ascii="Arial" w:cs="Arial" w:eastAsia="Arial" w:hAnsi="Arial"/>
          <w:sz w:val="14"/>
          <w:szCs w:val="14"/>
          <w:color w:val="auto"/>
        </w:rPr>
      </w:pPr>
      <w:r>
        <w:rPr>
          <w:rFonts w:ascii="Arial" w:cs="Arial" w:eastAsia="Arial" w:hAnsi="Arial"/>
          <w:sz w:val="14"/>
          <w:szCs w:val="14"/>
          <w:u w:val="single" w:color="auto"/>
          <w:color w:val="auto"/>
        </w:rPr>
        <w:t>Remedies</w:t>
      </w:r>
      <w:r>
        <w:rPr>
          <w:rFonts w:ascii="Arial" w:cs="Arial" w:eastAsia="Arial" w:hAnsi="Arial"/>
          <w:sz w:val="14"/>
          <w:szCs w:val="14"/>
          <w:color w:val="auto"/>
        </w:rPr>
        <w:t>. In the event of a breach by the Company or by a Holder, of any of their obligations under this Agreement, each Holder or the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89" w:lineRule="exact"/>
        <w:rPr>
          <w:rFonts w:ascii="Arial" w:cs="Arial" w:eastAsia="Arial" w:hAnsi="Arial"/>
          <w:sz w:val="14"/>
          <w:szCs w:val="14"/>
          <w:color w:val="auto"/>
        </w:rPr>
      </w:pPr>
    </w:p>
    <w:p>
      <w:pPr>
        <w:ind w:firstLine="395"/>
        <w:spacing w:after="0" w:line="252" w:lineRule="auto"/>
        <w:tabs>
          <w:tab w:leader="none" w:pos="995"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No Piggyback on Registrations</w:t>
      </w:r>
      <w:r>
        <w:rPr>
          <w:rFonts w:ascii="Arial" w:cs="Arial" w:eastAsia="Arial" w:hAnsi="Arial"/>
          <w:sz w:val="16"/>
          <w:szCs w:val="16"/>
          <w:color w:val="auto"/>
        </w:rPr>
        <w:t>. Neither the Company nor any of its security holders (other than the Holders in such capacity pursuant hereto) may include securities of the Company in the Registration Statement other than the Registrable Securities and the securities listed on Schedule 6(b) attached hereto without the consent of a majority of the Registrable Securities. The Company shall not file any other registration statements, other than on Form S-4 or Form S-8, until the initial Registration Statement required hereunder is declared effective by the Commission, provided that this Section 6(b) shall not prohibit the Company from filing amendments or supplements to registration statements already filed.</w:t>
      </w:r>
    </w:p>
    <w:p>
      <w:pPr>
        <w:spacing w:after="0" w:line="179"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55" w:name="page56"/>
    <w:bookmarkEnd w:id="55"/>
    <w:p>
      <w:pPr>
        <w:ind w:right="420" w:firstLine="434"/>
        <w:spacing w:after="0" w:line="264" w:lineRule="auto"/>
        <w:tabs>
          <w:tab w:leader="none" w:pos="1025"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Each Holder covenants and agrees that it will comply with the prospectus delivery requirements of the Securities Act as applicable to it in connection with sales of Registrable Securities pursuant to a Registration Statement or an exemption therefrom.</w:t>
      </w:r>
    </w:p>
    <w:p>
      <w:pPr>
        <w:spacing w:after="0" w:line="108" w:lineRule="exact"/>
        <w:rPr>
          <w:rFonts w:ascii="Arial" w:cs="Arial" w:eastAsia="Arial" w:hAnsi="Arial"/>
          <w:sz w:val="16"/>
          <w:szCs w:val="16"/>
          <w:color w:val="auto"/>
        </w:rPr>
      </w:pPr>
    </w:p>
    <w:p>
      <w:pPr>
        <w:ind w:firstLine="434"/>
        <w:spacing w:after="0" w:line="294" w:lineRule="auto"/>
        <w:tabs>
          <w:tab w:leader="none" w:pos="1034" w:val="left"/>
        </w:tabs>
        <w:numPr>
          <w:ilvl w:val="1"/>
          <w:numId w:val="46"/>
        </w:numPr>
        <w:rPr>
          <w:rFonts w:ascii="Arial" w:cs="Arial" w:eastAsia="Arial" w:hAnsi="Arial"/>
          <w:sz w:val="14"/>
          <w:szCs w:val="14"/>
          <w:color w:val="auto"/>
        </w:rPr>
      </w:pPr>
      <w:r>
        <w:rPr>
          <w:rFonts w:ascii="Arial" w:cs="Arial" w:eastAsia="Arial" w:hAnsi="Arial"/>
          <w:sz w:val="14"/>
          <w:szCs w:val="14"/>
          <w:u w:val="single" w:color="auto"/>
          <w:color w:val="auto"/>
        </w:rPr>
        <w:t>Free Writing Prospectuses</w:t>
      </w:r>
      <w:r>
        <w:rPr>
          <w:rFonts w:ascii="Arial" w:cs="Arial" w:eastAsia="Arial" w:hAnsi="Arial"/>
          <w:sz w:val="14"/>
          <w:szCs w:val="14"/>
          <w:color w:val="auto"/>
        </w:rPr>
        <w:t>. Each Holder represents that it has not prepared or had prepared on its behalf or used or referred to, and agrees that it will not prepare or have prepared on its behalf or use or refer to, any Free Writing Prospectus, and has not distributed and will not distribute any written materials in connection with the offer or sale of Common Stock without the prior written consent of the Company and, in connection with any underwritten offering, the underwriters. Any such Free Writing Prospectus consented to by the Company and the underwriters, as the case may be, is hereinafter referred to as a “</w:t>
      </w:r>
      <w:r>
        <w:rPr>
          <w:rFonts w:ascii="Arial" w:cs="Arial" w:eastAsia="Arial" w:hAnsi="Arial"/>
          <w:sz w:val="14"/>
          <w:szCs w:val="14"/>
          <w:u w:val="single" w:color="auto"/>
          <w:color w:val="auto"/>
        </w:rPr>
        <w:t>Permitted Free Writing Prospectus</w:t>
      </w:r>
      <w:r>
        <w:rPr>
          <w:rFonts w:ascii="Arial" w:cs="Arial" w:eastAsia="Arial" w:hAnsi="Arial"/>
          <w:sz w:val="14"/>
          <w:szCs w:val="14"/>
          <w:color w:val="auto"/>
        </w:rPr>
        <w:t>.” The Company represents and agrees that it has treated and will treat, as the case may be, each Permitted Free Writing Prospectus as an Issuer Free Writing Prospectus, including in respect of timely filing with the SEC, legending and record keeping.</w:t>
      </w:r>
    </w:p>
    <w:p>
      <w:pPr>
        <w:spacing w:after="0" w:line="92" w:lineRule="exact"/>
        <w:rPr>
          <w:rFonts w:ascii="Arial" w:cs="Arial" w:eastAsia="Arial" w:hAnsi="Arial"/>
          <w:sz w:val="14"/>
          <w:szCs w:val="14"/>
          <w:color w:val="auto"/>
        </w:rPr>
      </w:pPr>
    </w:p>
    <w:p>
      <w:pPr>
        <w:ind w:left="1000" w:hanging="605"/>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[Reserved.]</w:t>
      </w:r>
    </w:p>
    <w:p>
      <w:pPr>
        <w:spacing w:after="0" w:line="138" w:lineRule="exact"/>
        <w:rPr>
          <w:rFonts w:ascii="Arial" w:cs="Arial" w:eastAsia="Arial" w:hAnsi="Arial"/>
          <w:sz w:val="16"/>
          <w:szCs w:val="16"/>
          <w:color w:val="auto"/>
        </w:rPr>
      </w:pPr>
    </w:p>
    <w:p>
      <w:pPr>
        <w:ind w:right="260" w:firstLine="395"/>
        <w:spacing w:after="0" w:line="310" w:lineRule="auto"/>
        <w:tabs>
          <w:tab w:leader="none" w:pos="969"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Suspension of Trading</w:t>
      </w:r>
      <w:r>
        <w:rPr>
          <w:rFonts w:ascii="Arial" w:cs="Arial" w:eastAsia="Arial" w:hAnsi="Arial"/>
          <w:sz w:val="14"/>
          <w:szCs w:val="14"/>
          <w:color w:val="auto"/>
        </w:rPr>
        <w:t>. At any time after the Registrable Securities are covered by an effective Registration Statement, the Company may deliver to the Holders of such Registrable Securities a certificate (the “Suspension Certificate”) approved by the Chief Executive Officer of the Company and signed by an officer of the Company stating that the effectiveness of and sales of Registrable Securities under the Registration Statement would:</w:t>
      </w:r>
    </w:p>
    <w:p>
      <w:pPr>
        <w:spacing w:after="0" w:line="79" w:lineRule="exact"/>
        <w:rPr>
          <w:rFonts w:ascii="Arial" w:cs="Arial" w:eastAsia="Arial" w:hAnsi="Arial"/>
          <w:sz w:val="14"/>
          <w:szCs w:val="14"/>
          <w:color w:val="auto"/>
        </w:rPr>
      </w:pPr>
    </w:p>
    <w:p>
      <w:pPr>
        <w:ind w:left="580" w:right="40" w:firstLine="504"/>
        <w:spacing w:after="0" w:line="264" w:lineRule="auto"/>
        <w:tabs>
          <w:tab w:leader="none" w:pos="1657" w:val="left"/>
        </w:tabs>
        <w:numPr>
          <w:ilvl w:val="2"/>
          <w:numId w:val="47"/>
        </w:numPr>
        <w:rPr>
          <w:rFonts w:ascii="Arial" w:cs="Arial" w:eastAsia="Arial" w:hAnsi="Arial"/>
          <w:sz w:val="16"/>
          <w:szCs w:val="16"/>
          <w:color w:val="auto"/>
        </w:rPr>
      </w:pPr>
      <w:r>
        <w:rPr>
          <w:rFonts w:ascii="Arial" w:cs="Arial" w:eastAsia="Arial" w:hAnsi="Arial"/>
          <w:sz w:val="16"/>
          <w:szCs w:val="16"/>
          <w:color w:val="auto"/>
        </w:rPr>
        <w:t>materially interfere with any transaction that would require the Company to prepare financial statements under the Securities Act that the Company would otherwise not be required to prepare in order to comply with its obligations under the Exchange Act, or</w:t>
      </w:r>
    </w:p>
    <w:p>
      <w:pPr>
        <w:spacing w:after="0" w:line="108" w:lineRule="exact"/>
        <w:rPr>
          <w:rFonts w:ascii="Arial" w:cs="Arial" w:eastAsia="Arial" w:hAnsi="Arial"/>
          <w:sz w:val="16"/>
          <w:szCs w:val="16"/>
          <w:color w:val="auto"/>
        </w:rPr>
      </w:pPr>
    </w:p>
    <w:p>
      <w:pPr>
        <w:ind w:left="1660" w:hanging="615"/>
        <w:spacing w:after="0"/>
        <w:tabs>
          <w:tab w:leader="none" w:pos="1660" w:val="left"/>
        </w:tabs>
        <w:numPr>
          <w:ilvl w:val="2"/>
          <w:numId w:val="47"/>
        </w:numPr>
        <w:rPr>
          <w:rFonts w:ascii="Arial" w:cs="Arial" w:eastAsia="Arial" w:hAnsi="Arial"/>
          <w:sz w:val="14"/>
          <w:szCs w:val="14"/>
          <w:color w:val="auto"/>
        </w:rPr>
      </w:pPr>
      <w:r>
        <w:rPr>
          <w:rFonts w:ascii="Arial" w:cs="Arial" w:eastAsia="Arial" w:hAnsi="Arial"/>
          <w:sz w:val="14"/>
          <w:szCs w:val="14"/>
          <w:color w:val="auto"/>
        </w:rPr>
        <w:t>require public disclosure of any transaction of the type discussed in Section 6(e) prior to the time such disclosure might otherwise be required.</w:t>
      </w:r>
    </w:p>
    <w:p>
      <w:pPr>
        <w:spacing w:after="0" w:line="161" w:lineRule="exact"/>
        <w:rPr>
          <w:sz w:val="20"/>
          <w:szCs w:val="20"/>
          <w:color w:val="auto"/>
        </w:rPr>
      </w:pPr>
    </w:p>
    <w:p>
      <w:pPr>
        <w:ind w:right="180" w:firstLine="388"/>
        <w:spacing w:after="0" w:line="293" w:lineRule="auto"/>
        <w:rPr>
          <w:sz w:val="20"/>
          <w:szCs w:val="20"/>
          <w:color w:val="auto"/>
        </w:rPr>
      </w:pPr>
      <w:r>
        <w:rPr>
          <w:rFonts w:ascii="Arial" w:cs="Arial" w:eastAsia="Arial" w:hAnsi="Arial"/>
          <w:sz w:val="14"/>
          <w:szCs w:val="14"/>
          <w:color w:val="auto"/>
        </w:rPr>
        <w:t>Beginning five (5) Business Days after the receipt of a Suspension Certificate by Holders of Registrable Securities, the Company may, in its discretion, require such Holders of Registrable Securities to refrain from selling or otherwise transferring or disposing of any Registrable Securities or other Company securities then held by such Holders for a specified period of time (a “</w:t>
      </w:r>
      <w:r>
        <w:rPr>
          <w:rFonts w:ascii="Arial" w:cs="Arial" w:eastAsia="Arial" w:hAnsi="Arial"/>
          <w:sz w:val="14"/>
          <w:szCs w:val="14"/>
          <w:b w:val="1"/>
          <w:bCs w:val="1"/>
          <w:color w:val="auto"/>
        </w:rPr>
        <w:t>Suspension Period</w:t>
      </w:r>
      <w:r>
        <w:rPr>
          <w:rFonts w:ascii="Arial" w:cs="Arial" w:eastAsia="Arial" w:hAnsi="Arial"/>
          <w:sz w:val="14"/>
          <w:szCs w:val="14"/>
          <w:color w:val="auto"/>
        </w:rPr>
        <w:t>”) that is customary under the circumstances (not to exceed twenty (20) days). Notwithstanding the foregoing sentence, the Company shall be permitted to cause Holders of Registrable Securities to so refrain from selling or otherwise transferring or disposing of any Registrable Securities or other securities of the Company on only two (2) occasions during each twelve (12) consecutive month period that the Registration Statement remains effective with no less than twenty (20) days in between Suspension Periods. The Company may impose stop transfer instructions to enforce any required agreement of the Holders under this Section 6(f).</w:t>
      </w:r>
    </w:p>
    <w:p>
      <w:pPr>
        <w:spacing w:after="0" w:line="151"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40"/>
          </w:cols>
          <w:pgMar w:left="800" w:top="144" w:right="259" w:bottom="1440" w:gutter="0" w:footer="0" w:header="0"/>
        </w:sectPr>
      </w:pPr>
    </w:p>
    <w:bookmarkStart w:id="56" w:name="page57"/>
    <w:bookmarkEnd w:id="56"/>
    <w:p>
      <w:pPr>
        <w:ind w:left="-395" w:right="20" w:firstLine="395"/>
        <w:spacing w:after="0" w:line="291" w:lineRule="auto"/>
        <w:tabs>
          <w:tab w:leader="none" w:pos="561"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Discontinued Disposition</w:t>
      </w:r>
      <w:r>
        <w:rPr>
          <w:rFonts w:ascii="Arial" w:cs="Arial" w:eastAsia="Arial" w:hAnsi="Arial"/>
          <w:sz w:val="14"/>
          <w:szCs w:val="14"/>
          <w:color w:val="auto"/>
        </w:rPr>
        <w:t>. Each Holder agrees by its acquisition of such Registrable Securities that, upon receipt of a notice from the Company of the occurrence of any event of the kind described in Section 3(d)(ii)-(v), such Holder will forthwith discontinue disposition of such Registrable Securities under a Registration Statement until such Holder’s receipt of the copies of the supplemented Prospectus and/or amended Registration Statement (which may be satisfied if the conditions of Rule 172(c) under the Securities Act are satisfied by the Company) or until it is advised in writing (the “</w:t>
      </w:r>
      <w:r>
        <w:rPr>
          <w:rFonts w:ascii="Arial" w:cs="Arial" w:eastAsia="Arial" w:hAnsi="Arial"/>
          <w:sz w:val="14"/>
          <w:szCs w:val="14"/>
          <w:u w:val="single" w:color="auto"/>
          <w:color w:val="auto"/>
        </w:rPr>
        <w:t>Advice</w:t>
      </w:r>
      <w:r>
        <w:rPr>
          <w:rFonts w:ascii="Arial" w:cs="Arial" w:eastAsia="Arial" w:hAnsi="Arial"/>
          <w:sz w:val="14"/>
          <w:szCs w:val="14"/>
          <w:color w:val="auto"/>
        </w:rPr>
        <w:t>”) by the Company that the use of the applicable Prospectus may be resumed, and, in either case, has received copies of any additional or supplemental filings (which may be satisfied if the conditions of Rule 172(c) under the Securities Act are satisfied by the Company) that are incorporated or deemed to be incorporated by reference in such Prospectus or Registration Statement. The Company will use its best efforts to ensure that the use of the Prospectus may be resumed as promptly as practicable. The Company agrees and acknowledges that any periods during which the Holder is required to discontinue the disposition of the Registrable Securities hereunder shall be subject to the provisions of Section 2(b) as qualified by Section 3(a).</w:t>
      </w:r>
    </w:p>
    <w:p>
      <w:pPr>
        <w:spacing w:after="0" w:line="96" w:lineRule="exact"/>
        <w:rPr>
          <w:rFonts w:ascii="Arial" w:cs="Arial" w:eastAsia="Arial" w:hAnsi="Arial"/>
          <w:sz w:val="14"/>
          <w:szCs w:val="14"/>
          <w:color w:val="auto"/>
        </w:rPr>
      </w:pPr>
    </w:p>
    <w:p>
      <w:pPr>
        <w:ind w:left="-395" w:firstLine="395"/>
        <w:spacing w:after="0" w:line="291" w:lineRule="auto"/>
        <w:tabs>
          <w:tab w:leader="none" w:pos="599"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Piggy-Back Registrations</w:t>
      </w:r>
      <w:r>
        <w:rPr>
          <w:rFonts w:ascii="Arial" w:cs="Arial" w:eastAsia="Arial" w:hAnsi="Arial"/>
          <w:sz w:val="14"/>
          <w:szCs w:val="14"/>
          <w:color w:val="auto"/>
        </w:rPr>
        <w:t xml:space="preserve">. If at any time during the Effectiveness Period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stock option or other employee benefit plans, then the Company shall send to each Holder a written notice of such determination and, if within fifteen days after the date of such notice, any such Holder shall so request in writing, the Company shall include in such registration statement all or any part of such Registrable Securities such Holder requests to be registered;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not be required to register any Registrable Securities pursuant to this Section 6(h) that are eligible for resale pursuant to Rule 144(k) promulgated under the Securities Act or that are the subject of a then effective Registration Statement.</w:t>
      </w:r>
    </w:p>
    <w:p>
      <w:pPr>
        <w:spacing w:after="0" w:line="96" w:lineRule="exact"/>
        <w:rPr>
          <w:rFonts w:ascii="Arial" w:cs="Arial" w:eastAsia="Arial" w:hAnsi="Arial"/>
          <w:sz w:val="14"/>
          <w:szCs w:val="14"/>
          <w:color w:val="auto"/>
        </w:rPr>
      </w:pPr>
    </w:p>
    <w:p>
      <w:pPr>
        <w:ind w:left="-395" w:firstLine="395"/>
        <w:spacing w:after="0" w:line="252" w:lineRule="auto"/>
        <w:tabs>
          <w:tab w:leader="none" w:pos="52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a majority of the then outstanding Registrable Securities. Notwithstanding the foregoing, a waiver or consent to depart from the provisions hereof with respect to a matter that relates exclusively to the rights of Holders and that does not directly or indirectly affect the rights of other Holders may be given by Holders of all of the Registrable Securities to which such waiver or consent relates;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provisions of this sentence may not be amended, modified, or supplemented except in accordance with the provisions of the immediately preceding sentence.</w:t>
      </w:r>
    </w:p>
    <w:p>
      <w:pPr>
        <w:spacing w:after="0" w:line="177" w:lineRule="exact"/>
        <w:rPr>
          <w:sz w:val="20"/>
          <w:szCs w:val="20"/>
          <w:color w:val="auto"/>
        </w:rPr>
      </w:pPr>
    </w:p>
    <w:p>
      <w:pPr>
        <w:ind w:left="4685"/>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104775</wp:posOffset>
            </wp:positionV>
            <wp:extent cx="7282815" cy="35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465"/>
          </w:cols>
          <w:pgMar w:left="1195" w:top="144" w:right="239" w:bottom="1440" w:gutter="0" w:footer="0" w:header="0"/>
        </w:sectPr>
      </w:pPr>
    </w:p>
    <w:bookmarkStart w:id="57" w:name="page58"/>
    <w:bookmarkEnd w:id="57"/>
    <w:p>
      <w:pPr>
        <w:ind w:firstLine="395"/>
        <w:spacing w:after="0" w:line="289" w:lineRule="auto"/>
        <w:tabs>
          <w:tab w:leader="none" w:pos="883"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Notices; Agent for Service of Process</w:t>
      </w:r>
      <w:r>
        <w:rPr>
          <w:rFonts w:ascii="Arial" w:cs="Arial" w:eastAsia="Arial" w:hAnsi="Arial"/>
          <w:sz w:val="14"/>
          <w:szCs w:val="14"/>
          <w:color w:val="auto"/>
        </w:rPr>
        <w:t>. (i) Any and all notices or other communications or deliveries required or permitted to be provided hereunder shall be delivered as set forth in the Purchase Agreement and (ii) The Company hereby irrevocably appoints Tower Semiconductor USA, 4300 Stevens Creek Boulevard, Suite 175, San Jose, California 95129, Telephone: (408) 551-6500, Facsimile: (408) 551-6509, Attention: Russell Ellwanger, CEO as its agent for the receipt of service of process in the United States. The Company agrees that any document may be effectively served on it in connection with any action, suit or proceeding in the United States by service on its agents. Each of the Purchasers consents and agrees that the Company may, in its reasonable discretion, irrevocably appoint a substitute agent for the receipt of service of process located within the Untied States, and that upon such appointment, the appointment of Tower Semiconductor USA may be revoked. Any document shall be deemed to have been duly served if marked for the attention of the agent at its address (as set out above) or such other address in the United States as may be notified to the party wishing to serve the document and delivered in accordance with the notice provisions set forth in this Section 6(j). If the Company’s agent at any time ceases for any reason to act as such, the Company shall appoint a replacement agent having an address for service in the United States and shall notify each Purchaser in writing of the name and address of the replacement agent. Failing such appointment and notification, each Purchaser shall be entitled by notice to the Company to appoint a replacement agent to act on the Company’s behalf. The provisions of this Section 6(j) applying to service on an agent apply equally to service on a replacement agent.</w:t>
      </w:r>
    </w:p>
    <w:p>
      <w:pPr>
        <w:spacing w:after="0" w:line="97" w:lineRule="exact"/>
        <w:rPr>
          <w:rFonts w:ascii="Arial" w:cs="Arial" w:eastAsia="Arial" w:hAnsi="Arial"/>
          <w:sz w:val="14"/>
          <w:szCs w:val="14"/>
          <w:color w:val="auto"/>
        </w:rPr>
      </w:pPr>
    </w:p>
    <w:p>
      <w:pPr>
        <w:ind w:right="40" w:firstLine="395"/>
        <w:spacing w:after="0" w:line="301" w:lineRule="auto"/>
        <w:tabs>
          <w:tab w:leader="none" w:pos="995"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Agreement shall inure to the benefit of and be binding upon the successors and permitted assigns of each of the parties and shall inure to the benefit of each Holder. The Company may not assign its rights or obligations hereunder without the prior written consent of all of the Holders of the then-outstanding Registrable Securities (other than by merger or to an entity which acquires the Company including by way of acquiring all or substantially all of the Company’s assets). Each Holder may assign their respective rights hereunder in the manner and to the Persons as permitted under the Purchase Agreement.</w:t>
      </w:r>
    </w:p>
    <w:p>
      <w:pPr>
        <w:spacing w:after="0" w:line="86" w:lineRule="exact"/>
        <w:rPr>
          <w:rFonts w:ascii="Arial" w:cs="Arial" w:eastAsia="Arial" w:hAnsi="Arial"/>
          <w:sz w:val="14"/>
          <w:szCs w:val="14"/>
          <w:color w:val="auto"/>
        </w:rPr>
      </w:pPr>
    </w:p>
    <w:p>
      <w:pPr>
        <w:ind w:right="340" w:firstLine="395"/>
        <w:spacing w:after="0" w:line="301" w:lineRule="auto"/>
        <w:tabs>
          <w:tab w:leader="none" w:pos="922"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No Inconsistent Agreements</w:t>
      </w:r>
      <w:r>
        <w:rPr>
          <w:rFonts w:ascii="Arial" w:cs="Arial" w:eastAsia="Arial" w:hAnsi="Arial"/>
          <w:sz w:val="14"/>
          <w:szCs w:val="14"/>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Except as provided on Schedule 6(b), neither the Company nor any of its subsidiaries has previously entered into any agreement granting any registration rights with respect to any of its securities to any Person that have not been satisfied in full.</w:t>
      </w:r>
    </w:p>
    <w:p>
      <w:pPr>
        <w:spacing w:after="0" w:line="146"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60"/>
          </w:cols>
          <w:pgMar w:left="800" w:top="144" w:right="239" w:bottom="1440" w:gutter="0" w:footer="0" w:header="0"/>
        </w:sectPr>
      </w:pPr>
    </w:p>
    <w:bookmarkStart w:id="58" w:name="page59"/>
    <w:bookmarkEnd w:id="58"/>
    <w:p>
      <w:pPr>
        <w:ind w:right="200" w:firstLine="395"/>
        <w:spacing w:after="0" w:line="254" w:lineRule="auto"/>
        <w:tabs>
          <w:tab w:leader="none" w:pos="999"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Execution and Counterparts</w:t>
      </w:r>
      <w:r>
        <w:rPr>
          <w:rFonts w:ascii="Arial" w:cs="Arial" w:eastAsia="Arial" w:hAnsi="Arial"/>
          <w:sz w:val="16"/>
          <w:szCs w:val="16"/>
          <w:color w:val="auto"/>
        </w:rPr>
        <w:t>. This Agreement may be executed in any number of counterparts, each of which when so executed shall be deemed to be an original and, all of which taken together shall constitute one and the same Agreement.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spacing w:after="0" w:line="115" w:lineRule="exact"/>
        <w:rPr>
          <w:rFonts w:ascii="Arial" w:cs="Arial" w:eastAsia="Arial" w:hAnsi="Arial"/>
          <w:sz w:val="16"/>
          <w:szCs w:val="16"/>
          <w:color w:val="auto"/>
        </w:rPr>
      </w:pPr>
    </w:p>
    <w:p>
      <w:pPr>
        <w:ind w:right="20" w:firstLine="395"/>
        <w:spacing w:after="0" w:line="264" w:lineRule="auto"/>
        <w:tabs>
          <w:tab w:leader="none" w:pos="956"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this Agreement shall be determined with the provisions of the Purchase Agreement.</w:t>
      </w:r>
    </w:p>
    <w:p>
      <w:pPr>
        <w:spacing w:after="0" w:line="108" w:lineRule="exact"/>
        <w:rPr>
          <w:rFonts w:ascii="Arial" w:cs="Arial" w:eastAsia="Arial" w:hAnsi="Arial"/>
          <w:sz w:val="16"/>
          <w:szCs w:val="16"/>
          <w:color w:val="auto"/>
        </w:rPr>
      </w:pPr>
    </w:p>
    <w:p>
      <w:pPr>
        <w:ind w:left="960" w:hanging="565"/>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Cumulative Remedies</w:t>
      </w:r>
      <w:r>
        <w:rPr>
          <w:rFonts w:ascii="Arial" w:cs="Arial" w:eastAsia="Arial" w:hAnsi="Arial"/>
          <w:sz w:val="16"/>
          <w:szCs w:val="16"/>
          <w:color w:val="auto"/>
        </w:rPr>
        <w:t>. The remedies provided herein are cumulative and not exclusive of any remedies provided by law.</w:t>
      </w:r>
    </w:p>
    <w:p>
      <w:pPr>
        <w:spacing w:after="0" w:line="138" w:lineRule="exact"/>
        <w:rPr>
          <w:rFonts w:ascii="Arial" w:cs="Arial" w:eastAsia="Arial" w:hAnsi="Arial"/>
          <w:sz w:val="16"/>
          <w:szCs w:val="16"/>
          <w:color w:val="auto"/>
        </w:rPr>
      </w:pPr>
    </w:p>
    <w:p>
      <w:pPr>
        <w:ind w:firstLine="395"/>
        <w:spacing w:after="0" w:line="297" w:lineRule="auto"/>
        <w:tabs>
          <w:tab w:leader="none" w:pos="956"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89" w:lineRule="exact"/>
        <w:rPr>
          <w:rFonts w:ascii="Arial" w:cs="Arial" w:eastAsia="Arial" w:hAnsi="Arial"/>
          <w:sz w:val="14"/>
          <w:szCs w:val="14"/>
          <w:color w:val="auto"/>
        </w:rPr>
      </w:pPr>
    </w:p>
    <w:p>
      <w:pPr>
        <w:ind w:left="960" w:hanging="565"/>
        <w:spacing w:after="0"/>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in this Agreement are for convenience of reference only and shall not limit or otherwise affect the meaning hereof.</w:t>
      </w:r>
    </w:p>
    <w:p>
      <w:pPr>
        <w:spacing w:after="0" w:line="138" w:lineRule="exact"/>
        <w:rPr>
          <w:rFonts w:ascii="Arial" w:cs="Arial" w:eastAsia="Arial" w:hAnsi="Arial"/>
          <w:sz w:val="16"/>
          <w:szCs w:val="16"/>
          <w:color w:val="auto"/>
        </w:rPr>
      </w:pPr>
    </w:p>
    <w:p>
      <w:pPr>
        <w:ind w:right="100" w:firstLine="395"/>
        <w:spacing w:after="0" w:line="294" w:lineRule="auto"/>
        <w:tabs>
          <w:tab w:leader="none" w:pos="930"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Independent Nature of Holders’ Obligations and Rights</w:t>
      </w:r>
      <w:r>
        <w:rPr>
          <w:rFonts w:ascii="Arial" w:cs="Arial" w:eastAsia="Arial" w:hAnsi="Arial"/>
          <w:sz w:val="14"/>
          <w:szCs w:val="14"/>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with respect to such obligations or the transactions contemplated by this Agreement. Each Holder shall be entitled to protect and enforce its rights, including without limitation the rights arising out of this Agreement, and it shall not be necessary for any other Holder to be joined as an additional party in any proceeding for such purpose.</w:t>
      </w:r>
    </w:p>
    <w:p>
      <w:pPr>
        <w:spacing w:after="0" w:line="152"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82815" cy="35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800"/>
          </w:cols>
          <w:pgMar w:left="800" w:top="144" w:right="29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IN WITNESS WHEREOF, the parties have executed this Registration Rights Agreement as of the date first written above.</w:t>
      </w:r>
    </w:p>
    <w:p>
      <w:pPr>
        <w:sectPr>
          <w:pgSz w:w="11900" w:h="16838" w:orient="portrait"/>
          <w:cols w:equalWidth="0" w:num="1">
            <w:col w:w="9439"/>
          </w:cols>
          <w:pgMar w:left="1020" w:top="132" w:right="1440" w:bottom="1440" w:gutter="0" w:footer="0" w:header="0"/>
        </w:sectPr>
      </w:pPr>
    </w:p>
    <w:p>
      <w:pPr>
        <w:spacing w:after="0" w:line="340"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TOWER SEMICONDUCTOR LTD.</w:t>
      </w:r>
    </w:p>
    <w:p>
      <w:pPr>
        <w:spacing w:after="0" w:line="151"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2621915</wp:posOffset>
            </wp:positionH>
            <wp:positionV relativeFrom="paragraph">
              <wp:posOffset>69215</wp:posOffset>
            </wp:positionV>
            <wp:extent cx="16738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73860" cy="7620"/>
                    </a:xfrm>
                    <a:prstGeom prst="rect">
                      <a:avLst/>
                    </a:prstGeom>
                    <a:noFill/>
                  </pic:spPr>
                </pic:pic>
              </a:graphicData>
            </a:graphic>
          </wp:anchor>
        </w:drawing>
      </w:r>
    </w:p>
    <w:p>
      <w:pPr>
        <w:spacing w:after="0" w:line="190"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Name:</w:t>
      </w:r>
    </w:p>
    <w:p>
      <w:pPr>
        <w:spacing w:after="0" w:line="12" w:lineRule="exact"/>
        <w:rPr>
          <w:sz w:val="20"/>
          <w:szCs w:val="20"/>
          <w:color w:val="auto"/>
        </w:rPr>
      </w:pPr>
    </w:p>
    <w:p>
      <w:pPr>
        <w:ind w:left="4120"/>
        <w:spacing w:after="0"/>
        <w:rPr>
          <w:sz w:val="20"/>
          <w:szCs w:val="20"/>
          <w:color w:val="auto"/>
        </w:rPr>
      </w:pPr>
      <w:r>
        <w:rPr>
          <w:rFonts w:ascii="Arial" w:cs="Arial" w:eastAsia="Arial" w:hAnsi="Arial"/>
          <w:sz w:val="16"/>
          <w:szCs w:val="16"/>
          <w:color w:val="auto"/>
        </w:rPr>
        <w:t>Title:</w:t>
      </w:r>
    </w:p>
    <w:p>
      <w:pPr>
        <w:spacing w:after="0" w:line="192" w:lineRule="exact"/>
        <w:rPr>
          <w:sz w:val="20"/>
          <w:szCs w:val="20"/>
          <w:color w:val="auto"/>
        </w:rPr>
      </w:pPr>
    </w:p>
    <w:p>
      <w:pPr>
        <w:ind w:left="3360"/>
        <w:spacing w:after="0"/>
        <w:rPr>
          <w:sz w:val="20"/>
          <w:szCs w:val="20"/>
          <w:color w:val="auto"/>
        </w:rPr>
      </w:pPr>
      <w:r>
        <w:rPr>
          <w:rFonts w:ascii="Arial" w:cs="Arial" w:eastAsia="Arial" w:hAnsi="Arial"/>
          <w:sz w:val="14"/>
          <w:szCs w:val="14"/>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119380</wp:posOffset>
            </wp:positionV>
            <wp:extent cx="7282815"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9439"/>
          </w:cols>
          <w:pgMar w:left="1020" w:top="132" w:right="1440" w:bottom="1440" w:gutter="0" w:footer="0" w:header="0"/>
          <w:type w:val="continuous"/>
        </w:sectPr>
      </w:pPr>
    </w:p>
    <w:bookmarkStart w:id="60" w:name="page61"/>
    <w:bookmarkEnd w:id="60"/>
    <w:p>
      <w:pPr>
        <w:jc w:val="center"/>
        <w:ind w:right="-1200"/>
        <w:spacing w:after="0"/>
        <w:rPr>
          <w:sz w:val="20"/>
          <w:szCs w:val="20"/>
          <w:color w:val="auto"/>
        </w:rPr>
      </w:pPr>
      <w:r>
        <w:rPr>
          <w:rFonts w:ascii="Arial" w:cs="Arial" w:eastAsia="Arial" w:hAnsi="Arial"/>
          <w:sz w:val="14"/>
          <w:szCs w:val="14"/>
          <w:color w:val="auto"/>
        </w:rPr>
        <w:t>[SIGNATURE PAGE OF HOLDERS TO TOWER SEMICONDUCTOR LTD.</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REGISTRATION RIGHTS AGREEMENT]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69215</wp:posOffset>
            </wp:positionV>
            <wp:extent cx="618744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87440" cy="762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of Authorized Signatory of Holder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69215</wp:posOffset>
            </wp:positionV>
            <wp:extent cx="45212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21200" cy="762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69215</wp:posOffset>
            </wp:positionV>
            <wp:extent cx="531622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16220" cy="762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69215</wp:posOffset>
            </wp:positionV>
            <wp:extent cx="531622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16220" cy="762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t>ANNEX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Plan of Distribution</w:t>
      </w:r>
    </w:p>
    <w:p>
      <w:pPr>
        <w:spacing w:after="0" w:line="198" w:lineRule="exact"/>
        <w:rPr>
          <w:sz w:val="20"/>
          <w:szCs w:val="20"/>
          <w:color w:val="auto"/>
        </w:rPr>
      </w:pPr>
    </w:p>
    <w:p>
      <w:pPr>
        <w:ind w:right="80" w:firstLine="385"/>
        <w:spacing w:after="0" w:line="252"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selling stockholders may use any one or more of the following methods when disposing of shares or interests therein:</w:t>
      </w:r>
    </w:p>
    <w:p>
      <w:pPr>
        <w:spacing w:after="0" w:line="198" w:lineRule="exact"/>
        <w:rPr>
          <w:sz w:val="20"/>
          <w:szCs w:val="20"/>
          <w:color w:val="auto"/>
        </w:rPr>
      </w:pPr>
    </w:p>
    <w:p>
      <w:pPr>
        <w:ind w:left="480" w:hanging="97"/>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the broker-dealer solicits purchasers;</w:t>
      </w:r>
    </w:p>
    <w:p>
      <w:pPr>
        <w:spacing w:after="0" w:line="197" w:lineRule="exact"/>
        <w:rPr>
          <w:rFonts w:ascii="Arial" w:cs="Arial" w:eastAsia="Arial" w:hAnsi="Arial"/>
          <w:sz w:val="16"/>
          <w:szCs w:val="16"/>
          <w:color w:val="auto"/>
        </w:rPr>
      </w:pPr>
    </w:p>
    <w:p>
      <w:pPr>
        <w:ind w:left="480" w:hanging="97"/>
        <w:spacing w:after="0"/>
        <w:tabs>
          <w:tab w:leader="none" w:pos="4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block trades in which the broker-dealer will attempt to sell the shares as agent, but may position and resell a portion of the block as principal to facilitate the transaction;</w:t>
      </w:r>
    </w:p>
    <w:p>
      <w:pPr>
        <w:spacing w:after="0" w:line="220" w:lineRule="exact"/>
        <w:rPr>
          <w:rFonts w:ascii="Arial" w:cs="Arial" w:eastAsia="Arial" w:hAnsi="Arial"/>
          <w:sz w:val="14"/>
          <w:szCs w:val="14"/>
          <w:color w:val="auto"/>
        </w:rPr>
      </w:pPr>
    </w:p>
    <w:p>
      <w:pPr>
        <w:ind w:left="480" w:hanging="97"/>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 by the broker-dealer for its account;</w:t>
      </w:r>
    </w:p>
    <w:p>
      <w:pPr>
        <w:spacing w:after="0" w:line="197" w:lineRule="exact"/>
        <w:rPr>
          <w:rFonts w:ascii="Arial" w:cs="Arial" w:eastAsia="Arial" w:hAnsi="Arial"/>
          <w:sz w:val="16"/>
          <w:szCs w:val="16"/>
          <w:color w:val="auto"/>
        </w:rPr>
      </w:pPr>
    </w:p>
    <w:p>
      <w:pPr>
        <w:ind w:left="480" w:hanging="97"/>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exchange distribution in accordance with the rules of the applicable exchange;</w:t>
      </w:r>
    </w:p>
    <w:p>
      <w:pPr>
        <w:spacing w:after="0" w:line="197" w:lineRule="exact"/>
        <w:rPr>
          <w:rFonts w:ascii="Arial" w:cs="Arial" w:eastAsia="Arial" w:hAnsi="Arial"/>
          <w:sz w:val="16"/>
          <w:szCs w:val="16"/>
          <w:color w:val="auto"/>
        </w:rPr>
      </w:pPr>
    </w:p>
    <w:p>
      <w:pPr>
        <w:ind w:left="480" w:hanging="97"/>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privately negotiated transactions;</w:t>
      </w:r>
    </w:p>
    <w:p>
      <w:pPr>
        <w:spacing w:after="0" w:line="197" w:lineRule="exact"/>
        <w:rPr>
          <w:rFonts w:ascii="Arial" w:cs="Arial" w:eastAsia="Arial" w:hAnsi="Arial"/>
          <w:sz w:val="16"/>
          <w:szCs w:val="16"/>
          <w:color w:val="auto"/>
        </w:rPr>
      </w:pPr>
    </w:p>
    <w:p>
      <w:pPr>
        <w:ind w:left="480" w:hanging="97"/>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short sales effected after the date the registration statement of which this Prospectus is a part is declared effective by the SEC;</w:t>
      </w:r>
    </w:p>
    <w:p>
      <w:pPr>
        <w:spacing w:after="0" w:line="197" w:lineRule="exact"/>
        <w:rPr>
          <w:rFonts w:ascii="Arial" w:cs="Arial" w:eastAsia="Arial" w:hAnsi="Arial"/>
          <w:sz w:val="16"/>
          <w:szCs w:val="16"/>
          <w:color w:val="auto"/>
        </w:rPr>
      </w:pPr>
    </w:p>
    <w:p>
      <w:pPr>
        <w:ind w:left="480" w:hanging="97"/>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through an options exchange or otherwise;</w:t>
      </w:r>
    </w:p>
    <w:p>
      <w:pPr>
        <w:spacing w:after="0" w:line="197" w:lineRule="exact"/>
        <w:rPr>
          <w:rFonts w:ascii="Arial" w:cs="Arial" w:eastAsia="Arial" w:hAnsi="Arial"/>
          <w:sz w:val="16"/>
          <w:szCs w:val="16"/>
          <w:color w:val="auto"/>
        </w:rPr>
      </w:pPr>
    </w:p>
    <w:p>
      <w:pPr>
        <w:ind w:left="480" w:hanging="97"/>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broker-dealers may agree with the selling stockholders to sell a specified number of such shares at a stipulated price per share; and</w:t>
      </w:r>
    </w:p>
    <w:p>
      <w:pPr>
        <w:spacing w:after="0" w:line="197" w:lineRule="exact"/>
        <w:rPr>
          <w:rFonts w:ascii="Arial" w:cs="Arial" w:eastAsia="Arial" w:hAnsi="Arial"/>
          <w:sz w:val="16"/>
          <w:szCs w:val="16"/>
          <w:color w:val="auto"/>
        </w:rPr>
      </w:pPr>
    </w:p>
    <w:p>
      <w:pPr>
        <w:ind w:left="480" w:hanging="97"/>
        <w:spacing w:after="0"/>
        <w:tabs>
          <w:tab w:leader="none" w:pos="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combination of any such methods of sale, or any other methods permitted by applicable law.</w:t>
      </w:r>
    </w:p>
    <w:p>
      <w:pPr>
        <w:spacing w:after="0" w:line="198" w:lineRule="exact"/>
        <w:rPr>
          <w:sz w:val="20"/>
          <w:szCs w:val="20"/>
          <w:color w:val="auto"/>
        </w:rPr>
      </w:pPr>
    </w:p>
    <w:p>
      <w:pPr>
        <w:ind w:right="160" w:firstLine="385"/>
        <w:spacing w:after="0" w:line="297" w:lineRule="auto"/>
        <w:rPr>
          <w:sz w:val="20"/>
          <w:szCs w:val="20"/>
          <w:color w:val="auto"/>
        </w:rPr>
      </w:pPr>
      <w:r>
        <w:rPr>
          <w:rFonts w:ascii="Arial" w:cs="Arial" w:eastAsia="Arial" w:hAnsi="Arial"/>
          <w:sz w:val="14"/>
          <w:szCs w:val="14"/>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62" w:name="page63"/>
    <w:bookmarkEnd w:id="62"/>
    <w:p>
      <w:pPr>
        <w:ind w:firstLine="388"/>
        <w:spacing w:after="0" w:line="294" w:lineRule="auto"/>
        <w:rPr>
          <w:sz w:val="20"/>
          <w:szCs w:val="20"/>
          <w:color w:val="auto"/>
        </w:rPr>
      </w:pPr>
      <w:r>
        <w:rPr>
          <w:rFonts w:ascii="Arial" w:cs="Arial" w:eastAsia="Arial" w:hAnsi="Arial"/>
          <w:sz w:val="14"/>
          <w:szCs w:val="14"/>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52" w:lineRule="exact"/>
        <w:rPr>
          <w:sz w:val="20"/>
          <w:szCs w:val="20"/>
          <w:color w:val="auto"/>
        </w:rPr>
      </w:pPr>
    </w:p>
    <w:p>
      <w:pPr>
        <w:ind w:right="80" w:firstLine="385"/>
        <w:spacing w:after="0" w:line="254" w:lineRule="auto"/>
        <w:rPr>
          <w:sz w:val="20"/>
          <w:szCs w:val="20"/>
          <w:color w:val="auto"/>
        </w:rPr>
      </w:pPr>
      <w:r>
        <w:rPr>
          <w:rFonts w:ascii="Arial" w:cs="Arial" w:eastAsia="Arial" w:hAnsi="Arial"/>
          <w:sz w:val="16"/>
          <w:szCs w:val="16"/>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any warrants by payment of cash, however, we will receive the exercise price of the warrants.</w:t>
      </w:r>
    </w:p>
    <w:p>
      <w:pPr>
        <w:spacing w:after="0" w:line="175" w:lineRule="exact"/>
        <w:rPr>
          <w:sz w:val="20"/>
          <w:szCs w:val="20"/>
          <w:color w:val="auto"/>
        </w:rPr>
      </w:pPr>
    </w:p>
    <w:p>
      <w:pPr>
        <w:ind w:right="140" w:firstLine="385"/>
        <w:spacing w:after="0" w:line="264" w:lineRule="auto"/>
        <w:rPr>
          <w:sz w:val="20"/>
          <w:szCs w:val="20"/>
          <w:color w:val="auto"/>
        </w:rPr>
      </w:pPr>
      <w:r>
        <w:rPr>
          <w:rFonts w:ascii="Arial" w:cs="Arial" w:eastAsia="Arial" w:hAnsi="Arial"/>
          <w:sz w:val="16"/>
          <w:szCs w:val="16"/>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68" w:lineRule="exact"/>
        <w:rPr>
          <w:sz w:val="20"/>
          <w:szCs w:val="20"/>
          <w:color w:val="auto"/>
        </w:rPr>
      </w:pPr>
    </w:p>
    <w:p>
      <w:pPr>
        <w:ind w:right="80" w:firstLine="385"/>
        <w:spacing w:after="0" w:line="254"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5" w:lineRule="exact"/>
        <w:rPr>
          <w:sz w:val="20"/>
          <w:szCs w:val="20"/>
          <w:color w:val="auto"/>
        </w:rPr>
      </w:pPr>
    </w:p>
    <w:p>
      <w:pPr>
        <w:ind w:right="180" w:firstLine="385"/>
        <w:spacing w:after="0" w:line="256" w:lineRule="auto"/>
        <w:rPr>
          <w:sz w:val="20"/>
          <w:szCs w:val="20"/>
          <w:color w:val="auto"/>
        </w:rPr>
      </w:pPr>
      <w:r>
        <w:rPr>
          <w:rFonts w:ascii="Arial" w:cs="Arial" w:eastAsia="Arial" w:hAnsi="Arial"/>
          <w:sz w:val="16"/>
          <w:szCs w:val="16"/>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5" w:lineRule="exact"/>
        <w:rPr>
          <w:sz w:val="20"/>
          <w:szCs w:val="20"/>
          <w:color w:val="auto"/>
        </w:rPr>
      </w:pPr>
    </w:p>
    <w:p>
      <w:pPr>
        <w:ind w:right="80" w:firstLine="388"/>
        <w:spacing w:after="0" w:line="256" w:lineRule="auto"/>
        <w:rPr>
          <w:sz w:val="20"/>
          <w:szCs w:val="20"/>
          <w:color w:val="auto"/>
        </w:rPr>
      </w:pPr>
      <w:r>
        <w:rPr>
          <w:rFonts w:ascii="Arial" w:cs="Arial" w:eastAsia="Arial" w:hAnsi="Arial"/>
          <w:sz w:val="16"/>
          <w:szCs w:val="16"/>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133" w:right="239" w:bottom="1440" w:gutter="0" w:footer="0" w:header="0"/>
        </w:sectPr>
      </w:pPr>
    </w:p>
    <w:bookmarkStart w:id="63" w:name="page64"/>
    <w:bookmarkEnd w:id="63"/>
    <w:p>
      <w:pPr>
        <w:ind w:firstLine="385"/>
        <w:spacing w:after="0" w:line="301" w:lineRule="auto"/>
        <w:rPr>
          <w:sz w:val="20"/>
          <w:szCs w:val="20"/>
          <w:color w:val="auto"/>
        </w:rPr>
      </w:pPr>
      <w:r>
        <w:rPr>
          <w:rFonts w:ascii="Arial" w:cs="Arial" w:eastAsia="Arial" w:hAnsi="Arial"/>
          <w:sz w:val="14"/>
          <w:szCs w:val="14"/>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46" w:lineRule="exact"/>
        <w:rPr>
          <w:sz w:val="20"/>
          <w:szCs w:val="20"/>
          <w:color w:val="auto"/>
        </w:rPr>
      </w:pPr>
    </w:p>
    <w:p>
      <w:pPr>
        <w:ind w:right="180" w:firstLine="385"/>
        <w:spacing w:after="0" w:line="264" w:lineRule="auto"/>
        <w:rPr>
          <w:sz w:val="20"/>
          <w:szCs w:val="20"/>
          <w:color w:val="auto"/>
        </w:rPr>
      </w:pPr>
      <w:r>
        <w:rPr>
          <w:rFonts w:ascii="Arial" w:cs="Arial" w:eastAsia="Arial" w:hAnsi="Arial"/>
          <w:sz w:val="16"/>
          <w:szCs w:val="16"/>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8" w:lineRule="exact"/>
        <w:rPr>
          <w:sz w:val="20"/>
          <w:szCs w:val="20"/>
          <w:color w:val="auto"/>
        </w:rPr>
      </w:pPr>
    </w:p>
    <w:p>
      <w:pPr>
        <w:jc w:val="both"/>
        <w:ind w:right="80" w:firstLine="385"/>
        <w:spacing w:after="0" w:line="256" w:lineRule="auto"/>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144(k) of the Securities Act.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201930</wp:posOffset>
            </wp:positionV>
            <wp:extent cx="237045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70455" cy="7620"/>
                    </a:xfrm>
                    <a:prstGeom prst="rect">
                      <a:avLst/>
                    </a:prstGeom>
                    <a:noFill/>
                  </pic:spPr>
                </pic:pic>
              </a:graphicData>
            </a:graphic>
          </wp:anchor>
        </w:drawing>
      </w:r>
    </w:p>
    <w:p>
      <w:pPr>
        <w:spacing w:after="0" w:line="398"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Name of Selling Stockholder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TOWER SEMICONDUCTOR LTD.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QUESTIONNAIRE FOR SELLING STOCKHOLDERS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SENT ON: MARCH 15,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RETURN BY: MARCH 23, 2007</w:t>
      </w:r>
    </w:p>
    <w:p>
      <w:pPr>
        <w:spacing w:after="0" w:line="198" w:lineRule="exact"/>
        <w:rPr>
          <w:sz w:val="20"/>
          <w:szCs w:val="20"/>
          <w:color w:val="auto"/>
        </w:rPr>
      </w:pPr>
    </w:p>
    <w:p>
      <w:pPr>
        <w:ind w:right="20" w:firstLine="385"/>
        <w:spacing w:after="0" w:line="256" w:lineRule="auto"/>
        <w:rPr>
          <w:sz w:val="20"/>
          <w:szCs w:val="20"/>
          <w:color w:val="auto"/>
        </w:rPr>
      </w:pPr>
      <w:r>
        <w:rPr>
          <w:rFonts w:ascii="Arial" w:cs="Arial" w:eastAsia="Arial" w:hAnsi="Arial"/>
          <w:sz w:val="16"/>
          <w:szCs w:val="16"/>
          <w:color w:val="auto"/>
        </w:rPr>
        <w:t>This Questionnaire is being furnished to all selling stockholders of Tower Semiconductor Ltd., an Israeli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relates to certain information required to be disclosed in the registration statement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being prepared on behalf of you and the Company for filing with the United States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w:t>
      </w:r>
    </w:p>
    <w:p>
      <w:pPr>
        <w:spacing w:after="0" w:line="175" w:lineRule="exact"/>
        <w:rPr>
          <w:sz w:val="20"/>
          <w:szCs w:val="20"/>
          <w:color w:val="auto"/>
        </w:rPr>
      </w:pPr>
    </w:p>
    <w:p>
      <w:pPr>
        <w:ind w:right="60" w:firstLine="388"/>
        <w:spacing w:after="0" w:line="336" w:lineRule="auto"/>
        <w:rPr>
          <w:sz w:val="20"/>
          <w:szCs w:val="20"/>
          <w:color w:val="auto"/>
        </w:rPr>
      </w:pPr>
      <w:r>
        <w:rPr>
          <w:rFonts w:ascii="Arial" w:cs="Arial" w:eastAsia="Arial" w:hAnsi="Arial"/>
          <w:sz w:val="14"/>
          <w:szCs w:val="14"/>
          <w:color w:val="auto"/>
        </w:rPr>
        <w:t>Selling stockholders of the Company may be personally liable under the federal securities laws of the United States if the Registration Statement contains any statement which is false or misleading as to any material fact or omits to state any material fact necessary in order to make the statements therein not false or misleading.</w:t>
      </w:r>
    </w:p>
    <w:p>
      <w:pPr>
        <w:spacing w:after="0" w:line="122" w:lineRule="exact"/>
        <w:rPr>
          <w:sz w:val="20"/>
          <w:szCs w:val="20"/>
          <w:color w:val="auto"/>
        </w:rPr>
      </w:pPr>
    </w:p>
    <w:p>
      <w:pPr>
        <w:ind w:right="500" w:firstLine="382"/>
        <w:spacing w:after="0" w:line="264" w:lineRule="auto"/>
        <w:rPr>
          <w:sz w:val="20"/>
          <w:szCs w:val="20"/>
          <w:color w:val="auto"/>
        </w:rPr>
      </w:pPr>
      <w:r>
        <w:rPr>
          <w:rFonts w:ascii="Arial" w:cs="Arial" w:eastAsia="Arial" w:hAnsi="Arial"/>
          <w:sz w:val="16"/>
          <w:szCs w:val="16"/>
          <w:color w:val="auto"/>
        </w:rPr>
        <w:t>Your careful completion of this Questionnaire will help ensure that the Registration Statement will be complete and accurate. Careful consideration of the instructions and definitions contained in the endnotes to various items is essential to an understanding of the questions.</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4"/>
          <w:szCs w:val="14"/>
          <w:u w:val="single" w:color="auto"/>
          <w:color w:val="auto"/>
        </w:rPr>
        <w:t>PLEASE PROVIDE A RESPONSE TO EVERY QUESTION</w:t>
      </w:r>
      <w:r>
        <w:rPr>
          <w:rFonts w:ascii="Arial" w:cs="Arial" w:eastAsia="Arial" w:hAnsi="Arial"/>
          <w:sz w:val="14"/>
          <w:szCs w:val="14"/>
          <w:color w:val="auto"/>
        </w:rPr>
        <w:t>, indicating “None” or “Not Applicable” where appropriate. Please complete, sign, and return one copy of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Questionnaire </w:t>
      </w:r>
      <w:r>
        <w:rPr>
          <w:rFonts w:ascii="Arial" w:cs="Arial" w:eastAsia="Arial" w:hAnsi="Arial"/>
          <w:sz w:val="16"/>
          <w:szCs w:val="16"/>
          <w:b w:val="1"/>
          <w:bCs w:val="1"/>
          <w:u w:val="single" w:color="auto"/>
          <w:color w:val="auto"/>
        </w:rPr>
        <w:t>NO LATER THAN</w:t>
      </w:r>
      <w:r>
        <w:rPr>
          <w:rFonts w:ascii="Arial" w:cs="Arial" w:eastAsia="Arial" w:hAnsi="Arial"/>
          <w:sz w:val="16"/>
          <w:szCs w:val="16"/>
          <w:color w:val="auto"/>
        </w:rPr>
        <w:t xml:space="preserve"> </w:t>
      </w:r>
      <w:r>
        <w:rPr>
          <w:rFonts w:ascii="Arial" w:cs="Arial" w:eastAsia="Arial" w:hAnsi="Arial"/>
          <w:sz w:val="16"/>
          <w:szCs w:val="16"/>
          <w:b w:val="1"/>
          <w:bCs w:val="1"/>
          <w:color w:val="auto"/>
        </w:rPr>
        <w:t>MARCH 23, 2007</w:t>
      </w:r>
      <w:r>
        <w:rPr>
          <w:rFonts w:ascii="Arial" w:cs="Arial" w:eastAsia="Arial" w:hAnsi="Arial"/>
          <w:sz w:val="16"/>
          <w:szCs w:val="16"/>
          <w:color w:val="auto"/>
        </w:rPr>
        <w:t xml:space="preserve"> to:</w:t>
      </w:r>
    </w:p>
    <w:p>
      <w:pPr>
        <w:spacing w:after="0" w:line="204"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Eilenberg Krause &amp; Paul LLP</w:t>
      </w:r>
    </w:p>
    <w:p>
      <w:pPr>
        <w:spacing w:after="0" w:line="12"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11East 44th Street</w:t>
      </w:r>
    </w:p>
    <w:p>
      <w:pPr>
        <w:spacing w:after="0" w:line="7"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New York, NY 10017</w:t>
      </w:r>
    </w:p>
    <w:p>
      <w:pPr>
        <w:spacing w:after="0" w:line="7"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Fax: (212) 986-2399</w:t>
      </w:r>
    </w:p>
    <w:p>
      <w:pPr>
        <w:spacing w:after="0" w:line="7"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Attn: Sheldon Krause, Esq.</w:t>
      </w:r>
    </w:p>
    <w:p>
      <w:pPr>
        <w:spacing w:after="0" w:line="192" w:lineRule="exact"/>
        <w:rPr>
          <w:sz w:val="20"/>
          <w:szCs w:val="20"/>
          <w:color w:val="auto"/>
        </w:rPr>
      </w:pPr>
    </w:p>
    <w:p>
      <w:pPr>
        <w:ind w:right="40" w:firstLine="388"/>
        <w:spacing w:after="0" w:line="256" w:lineRule="auto"/>
        <w:rPr>
          <w:sz w:val="20"/>
          <w:szCs w:val="20"/>
          <w:color w:val="auto"/>
        </w:rPr>
      </w:pPr>
      <w:r>
        <w:rPr>
          <w:rFonts w:ascii="Arial" w:cs="Arial" w:eastAsia="Arial" w:hAnsi="Arial"/>
          <w:sz w:val="16"/>
          <w:szCs w:val="16"/>
          <w:color w:val="auto"/>
        </w:rPr>
        <w:t xml:space="preserve">Unless stated otherwise, answers should be given as of the date you complete this Questionnaire. However, it is </w:t>
      </w:r>
      <w:r>
        <w:rPr>
          <w:rFonts w:ascii="Arial" w:cs="Arial" w:eastAsia="Arial" w:hAnsi="Arial"/>
          <w:sz w:val="16"/>
          <w:szCs w:val="16"/>
          <w:u w:val="single" w:color="auto"/>
          <w:color w:val="auto"/>
        </w:rPr>
        <w:t>your responsibility to inform us of any changes that may occur to</w:t>
      </w:r>
      <w:r>
        <w:rPr>
          <w:rFonts w:ascii="Arial" w:cs="Arial" w:eastAsia="Arial" w:hAnsi="Arial"/>
          <w:sz w:val="16"/>
          <w:szCs w:val="16"/>
          <w:color w:val="auto"/>
        </w:rPr>
        <w:t xml:space="preserve"> </w:t>
      </w:r>
      <w:r>
        <w:rPr>
          <w:rFonts w:ascii="Arial" w:cs="Arial" w:eastAsia="Arial" w:hAnsi="Arial"/>
          <w:sz w:val="16"/>
          <w:szCs w:val="16"/>
          <w:u w:val="single" w:color="auto"/>
          <w:color w:val="auto"/>
        </w:rPr>
        <w:t>your situation between the date you complete the Questionnaire and the effective date of the Registration Statement</w:t>
      </w:r>
      <w:r>
        <w:rPr>
          <w:rFonts w:ascii="Arial" w:cs="Arial" w:eastAsia="Arial" w:hAnsi="Arial"/>
          <w:sz w:val="16"/>
          <w:szCs w:val="16"/>
          <w:color w:val="auto"/>
        </w:rPr>
        <w:t>. If there is any situation about which you have any doubt, please give relevant facts so that the information may be reviewed.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65" w:name="page66"/>
    <w:bookmarkEnd w:id="65"/>
    <w:p>
      <w:pPr>
        <w:jc w:val="center"/>
        <w:ind w:right="-99"/>
        <w:spacing w:after="0"/>
        <w:rPr>
          <w:sz w:val="20"/>
          <w:szCs w:val="20"/>
          <w:color w:val="auto"/>
        </w:rPr>
      </w:pPr>
      <w:r>
        <w:rPr>
          <w:rFonts w:ascii="Arial" w:cs="Arial" w:eastAsia="Arial" w:hAnsi="Arial"/>
          <w:sz w:val="16"/>
          <w:szCs w:val="16"/>
          <w:b w:val="1"/>
          <w:bCs w:val="1"/>
          <w:color w:val="auto"/>
        </w:rPr>
        <w:t>QUESTIONNAIRE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STOCK OWNERSHIP</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Item 1</w:t>
      </w:r>
      <w:r>
        <w:rPr>
          <w:rFonts w:ascii="Arial" w:cs="Arial" w:eastAsia="Arial" w:hAnsi="Arial"/>
          <w:sz w:val="16"/>
          <w:szCs w:val="16"/>
          <w:color w:val="auto"/>
        </w:rPr>
        <w:t xml:space="preserve">.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w:t>
      </w:r>
    </w:p>
    <w:p>
      <w:pPr>
        <w:spacing w:after="0" w:line="198" w:lineRule="exact"/>
        <w:rPr>
          <w:sz w:val="20"/>
          <w:szCs w:val="20"/>
          <w:color w:val="auto"/>
        </w:rPr>
      </w:pPr>
    </w:p>
    <w:p>
      <w:pPr>
        <w:ind w:firstLine="388"/>
        <w:spacing w:after="0" w:line="336" w:lineRule="auto"/>
        <w:rPr>
          <w:sz w:val="20"/>
          <w:szCs w:val="20"/>
          <w:color w:val="auto"/>
        </w:rPr>
      </w:pPr>
      <w:r>
        <w:rPr>
          <w:rFonts w:ascii="Arial" w:cs="Arial" w:eastAsia="Arial" w:hAnsi="Arial"/>
          <w:sz w:val="14"/>
          <w:szCs w:val="14"/>
          <w:color w:val="auto"/>
        </w:rPr>
        <w:t xml:space="preserve">a. </w:t>
      </w:r>
      <w:r>
        <w:rPr>
          <w:rFonts w:ascii="Arial" w:cs="Arial" w:eastAsia="Arial" w:hAnsi="Arial"/>
          <w:sz w:val="14"/>
          <w:szCs w:val="14"/>
          <w:u w:val="single" w:color="auto"/>
          <w:color w:val="auto"/>
        </w:rPr>
        <w:t>Deemed Beneficial Ownership</w:t>
      </w:r>
      <w:r>
        <w:rPr>
          <w:rFonts w:ascii="Arial" w:cs="Arial" w:eastAsia="Arial" w:hAnsi="Arial"/>
          <w:sz w:val="14"/>
          <w:szCs w:val="14"/>
          <w:color w:val="auto"/>
        </w:rPr>
        <w:t>. Please state the amount of securities of the Company you own as of March 15, 2007, assuming, if applicable, the conversion of your shares of Preferred Stock or convertible debentures into, and exercise of warrants for, shares of Common Stock. (If none, please so state in each case.)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 Beneficially Owned</w:t>
            </w:r>
            <w:r>
              <w:rPr>
                <w:rFonts w:ascii="Arial" w:cs="Arial" w:eastAsia="Arial" w:hAnsi="Arial"/>
                <w:sz w:val="19"/>
                <w:szCs w:val="19"/>
                <w:b w:val="1"/>
                <w:bCs w:val="1"/>
                <w:color w:val="auto"/>
                <w:vertAlign w:val="superscript"/>
              </w:rPr>
              <w:t>1</w:t>
            </w:r>
          </w:p>
        </w:tc>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88"/>
              </w:rPr>
              <w:t>Number of Shares of Common Stock Owned</w:t>
            </w:r>
          </w:p>
        </w:tc>
        <w:tc>
          <w:tcPr>
            <w:tcW w:w="0" w:type="dxa"/>
            <w:vAlign w:val="bottom"/>
          </w:tcPr>
          <w:p>
            <w:pPr>
              <w:spacing w:after="0"/>
              <w:rPr>
                <w:sz w:val="1"/>
                <w:szCs w:val="1"/>
                <w:color w:val="auto"/>
              </w:rPr>
            </w:pPr>
          </w:p>
        </w:tc>
      </w:tr>
      <w:tr>
        <w:trPr>
          <w:trHeight w:val="111"/>
        </w:trPr>
        <w:tc>
          <w:tcPr>
            <w:tcW w:w="5720" w:type="dxa"/>
            <w:vAlign w:val="bottom"/>
            <w:gridSpan w:val="2"/>
            <w:vMerge w:val="continue"/>
          </w:tcPr>
          <w:p>
            <w:pPr>
              <w:spacing w:after="0"/>
              <w:rPr>
                <w:sz w:val="9"/>
                <w:szCs w:val="9"/>
                <w:color w:val="auto"/>
              </w:rPr>
            </w:pPr>
          </w:p>
        </w:tc>
        <w:tc>
          <w:tcPr>
            <w:tcW w:w="2260" w:type="dxa"/>
            <w:vAlign w:val="bottom"/>
            <w:gridSpan w:val="2"/>
          </w:tcPr>
          <w:p>
            <w:pPr>
              <w:spacing w:after="0" w:line="111" w:lineRule="exact"/>
              <w:rPr>
                <w:sz w:val="20"/>
                <w:szCs w:val="20"/>
                <w:color w:val="auto"/>
              </w:rPr>
            </w:pPr>
            <w:r>
              <w:rPr>
                <w:rFonts w:ascii="Arial" w:cs="Arial" w:eastAsia="Arial" w:hAnsi="Arial"/>
                <w:sz w:val="12"/>
                <w:szCs w:val="12"/>
                <w:b w:val="1"/>
                <w:bCs w:val="1"/>
                <w:color w:val="auto"/>
                <w:w w:val="95"/>
              </w:rPr>
              <w:t>(on an as-converted basis, as applicable)</w:t>
            </w: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Total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-51435</wp:posOffset>
            </wp:positionV>
            <wp:extent cx="18326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Of such shares:</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Shares as to which you have </w:t>
      </w:r>
      <w:r>
        <w:rPr>
          <w:rFonts w:ascii="Arial" w:cs="Arial" w:eastAsia="Arial" w:hAnsi="Arial"/>
          <w:sz w:val="16"/>
          <w:szCs w:val="16"/>
          <w:u w:val="single" w:color="auto"/>
          <w:color w:val="auto"/>
        </w:rPr>
        <w:t>sole</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Shares as to which you have </w:t>
      </w:r>
      <w:r>
        <w:rPr>
          <w:rFonts w:ascii="Arial" w:cs="Arial" w:eastAsia="Arial" w:hAnsi="Arial"/>
          <w:sz w:val="16"/>
          <w:szCs w:val="16"/>
          <w:u w:val="single" w:color="auto"/>
          <w:color w:val="auto"/>
        </w:rPr>
        <w:t>shared</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Shares as to which you have </w:t>
      </w:r>
      <w:r>
        <w:rPr>
          <w:rFonts w:ascii="Arial" w:cs="Arial" w:eastAsia="Arial" w:hAnsi="Arial"/>
          <w:sz w:val="16"/>
          <w:szCs w:val="16"/>
          <w:u w:val="single" w:color="auto"/>
          <w:color w:val="auto"/>
        </w:rPr>
        <w:t>sole</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investment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Shares as to which you have </w:t>
      </w:r>
      <w:r>
        <w:rPr>
          <w:rFonts w:ascii="Arial" w:cs="Arial" w:eastAsia="Arial" w:hAnsi="Arial"/>
          <w:sz w:val="16"/>
          <w:szCs w:val="16"/>
          <w:u w:val="single" w:color="auto"/>
          <w:color w:val="auto"/>
        </w:rPr>
        <w:t>shared</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investment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Please state the number of shares owned by family members,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trusts and other organizations with which you have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 relationship, and any other shares of which you may be deemed</w:t>
      </w:r>
    </w:p>
    <w:p>
      <w:pPr>
        <w:spacing w:after="0" w:line="236" w:lineRule="auto"/>
        <w:rPr>
          <w:sz w:val="20"/>
          <w:szCs w:val="20"/>
          <w:color w:val="auto"/>
        </w:rPr>
      </w:pPr>
      <w:r>
        <w:rPr>
          <w:rFonts w:ascii="Arial" w:cs="Arial" w:eastAsia="Arial" w:hAnsi="Arial"/>
          <w:sz w:val="16"/>
          <w:szCs w:val="16"/>
          <w:color w:val="auto"/>
        </w:rPr>
        <w:t>to be the “beneficial owner”</w:t>
      </w:r>
      <w:r>
        <w:rPr>
          <w:rFonts w:ascii="Arial" w:cs="Arial" w:eastAsia="Arial" w:hAnsi="Arial"/>
          <w:sz w:val="25"/>
          <w:szCs w:val="25"/>
          <w:color w:val="auto"/>
          <w:vertAlign w:val="superscript"/>
        </w:rPr>
        <w:t>1</w:t>
      </w:r>
      <w:r>
        <w:rPr>
          <w:rFonts w:ascii="Arial" w:cs="Arial" w:eastAsia="Arial" w:hAnsi="Arial"/>
          <w:sz w:val="16"/>
          <w:szCs w:val="16"/>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Total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-51435</wp:posOffset>
            </wp:positionV>
            <wp:extent cx="18326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Of such shares:</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Shares as to which you have </w:t>
      </w:r>
      <w:r>
        <w:rPr>
          <w:rFonts w:ascii="Arial" w:cs="Arial" w:eastAsia="Arial" w:hAnsi="Arial"/>
          <w:sz w:val="16"/>
          <w:szCs w:val="16"/>
          <w:u w:val="single" w:color="auto"/>
          <w:color w:val="auto"/>
        </w:rPr>
        <w:t>sole</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Shares as to which you have </w:t>
      </w:r>
      <w:r>
        <w:rPr>
          <w:rFonts w:ascii="Arial" w:cs="Arial" w:eastAsia="Arial" w:hAnsi="Arial"/>
          <w:sz w:val="16"/>
          <w:szCs w:val="16"/>
          <w:u w:val="single" w:color="auto"/>
          <w:color w:val="auto"/>
        </w:rPr>
        <w:t>shared</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Shares as to which you have </w:t>
      </w:r>
      <w:r>
        <w:rPr>
          <w:rFonts w:ascii="Arial" w:cs="Arial" w:eastAsia="Arial" w:hAnsi="Arial"/>
          <w:sz w:val="16"/>
          <w:szCs w:val="16"/>
          <w:u w:val="single" w:color="auto"/>
          <w:color w:val="auto"/>
        </w:rPr>
        <w:t>sole</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investment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Shares as to which you have </w:t>
      </w:r>
      <w:r>
        <w:rPr>
          <w:rFonts w:ascii="Arial" w:cs="Arial" w:eastAsia="Arial" w:hAnsi="Arial"/>
          <w:sz w:val="16"/>
          <w:szCs w:val="16"/>
          <w:u w:val="single" w:color="auto"/>
          <w:color w:val="auto"/>
        </w:rPr>
        <w:t>shared</w:t>
      </w:r>
    </w:p>
    <w:p>
      <w:pPr>
        <w:spacing w:after="0" w:line="1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investment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t>Shares which you will have a right to acquire before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June 13, 2007</w:t>
      </w:r>
      <w:r>
        <w:rPr>
          <w:rFonts w:ascii="Arial" w:cs="Arial" w:eastAsia="Arial" w:hAnsi="Arial"/>
          <w:sz w:val="16"/>
          <w:szCs w:val="16"/>
          <w:color w:val="auto"/>
        </w:rPr>
        <w:t>, through the exercise of options,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warrants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you intend to offer for sale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that you will hold after the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offering for sale of Common Stock that is the subject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-62230</wp:posOffset>
            </wp:positionV>
            <wp:extent cx="18326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32610" cy="762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Do you have any present plans to exercise options or otherwise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acquire, dispose of or transfer shares of Common Stock (on an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as-converted basis) of the Company between the date you</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complete this Questionnaire and </w:t>
      </w:r>
      <w:r>
        <w:rPr>
          <w:rFonts w:ascii="Arial" w:cs="Arial" w:eastAsia="Arial" w:hAnsi="Arial"/>
          <w:sz w:val="16"/>
          <w:szCs w:val="16"/>
          <w:b w:val="1"/>
          <w:bCs w:val="1"/>
          <w:color w:val="auto"/>
        </w:rPr>
        <w:t>June 13, 2007</w:t>
      </w:r>
      <w:r>
        <w:rPr>
          <w:rFonts w:ascii="Arial" w:cs="Arial" w:eastAsia="Arial" w:hAnsi="Arial"/>
          <w:sz w:val="16"/>
          <w:szCs w:val="16"/>
          <w:color w:val="auto"/>
        </w:rPr>
        <w:t>.</w:t>
      </w:r>
    </w:p>
    <w:p>
      <w:pPr>
        <w:spacing w:after="0" w:line="204"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Answer:</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If so, please describe.</w:t>
      </w:r>
    </w:p>
    <w:p>
      <w:pPr>
        <w:spacing w:after="0" w:line="192" w:lineRule="exact"/>
        <w:rPr>
          <w:sz w:val="20"/>
          <w:szCs w:val="20"/>
          <w:color w:val="auto"/>
        </w:rPr>
      </w:pPr>
    </w:p>
    <w:p>
      <w:pPr>
        <w:ind w:firstLine="383"/>
        <w:spacing w:after="0" w:line="264" w:lineRule="auto"/>
        <w:tabs>
          <w:tab w:leader="none" w:pos="891"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Pledged Securities</w:t>
      </w:r>
      <w:r>
        <w:rPr>
          <w:rFonts w:ascii="Arial" w:cs="Arial" w:eastAsia="Arial" w:hAnsi="Arial"/>
          <w:sz w:val="16"/>
          <w:szCs w:val="16"/>
          <w:color w:val="auto"/>
        </w:rPr>
        <w:t>. If any of such securities have been pledged or otherwise deposited as collateral or are the subject matter of any voting trust or other similar agreement or of any contract providing for the sale or other disposition of such securities, please give the details thereof.</w:t>
      </w:r>
    </w:p>
    <w:p>
      <w:pPr>
        <w:spacing w:after="0" w:line="18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Answer:</w:t>
      </w:r>
    </w:p>
    <w:p>
      <w:pPr>
        <w:spacing w:after="0" w:line="199" w:lineRule="exact"/>
        <w:rPr>
          <w:sz w:val="20"/>
          <w:szCs w:val="20"/>
          <w:color w:val="auto"/>
        </w:rPr>
      </w:pPr>
    </w:p>
    <w:p>
      <w:pPr>
        <w:ind w:left="2600" w:right="1920" w:hanging="2217"/>
        <w:spacing w:after="0" w:line="412" w:lineRule="auto"/>
        <w:tabs>
          <w:tab w:leader="none" w:pos="88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Disclaimer of Beneficial Ownership</w:t>
      </w:r>
      <w:r>
        <w:rPr>
          <w:rFonts w:ascii="Arial" w:cs="Arial" w:eastAsia="Arial" w:hAnsi="Arial"/>
          <w:sz w:val="16"/>
          <w:szCs w:val="16"/>
          <w:color w:val="auto"/>
        </w:rPr>
        <w:t>. Do you wish to disclaim beneficial ownership</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of any of the shares reported in response to Item 1(a)? Answer:</w:t>
      </w:r>
    </w:p>
    <w:p>
      <w:pPr>
        <w:spacing w:after="0" w:line="2" w:lineRule="exact"/>
        <w:rPr>
          <w:sz w:val="20"/>
          <w:szCs w:val="20"/>
          <w:color w:val="auto"/>
        </w:rPr>
      </w:pPr>
    </w:p>
    <w:p>
      <w:pPr>
        <w:jc w:val="center"/>
        <w:ind w:left="260"/>
        <w:spacing w:after="0"/>
        <w:rPr>
          <w:sz w:val="20"/>
          <w:szCs w:val="20"/>
          <w:color w:val="auto"/>
        </w:rPr>
      </w:pPr>
      <w:r>
        <w:rPr>
          <w:rFonts w:ascii="Arial" w:cs="Arial" w:eastAsia="Arial" w:hAnsi="Arial"/>
          <w:sz w:val="14"/>
          <w:szCs w:val="14"/>
          <w:color w:val="auto"/>
        </w:rPr>
        <w:t>If the answer is “Yes”, please furnish the following information with respect to the person or persons who should be shown as the beneficial owner(s)</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of the shares in question.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38"/>
        </w:trPr>
        <w:tc>
          <w:tcPr>
            <w:tcW w:w="1240" w:type="dxa"/>
            <w:vAlign w:val="bottom"/>
          </w:tcPr>
          <w:p>
            <w:pPr>
              <w:spacing w:after="0"/>
              <w:rPr>
                <w:sz w:val="20"/>
                <w:szCs w:val="20"/>
                <w:color w:val="auto"/>
              </w:rPr>
            </w:pPr>
            <w:r>
              <w:rPr>
                <w:rFonts w:ascii="Arial" w:cs="Arial" w:eastAsia="Arial" w:hAnsi="Arial"/>
                <w:sz w:val="12"/>
                <w:szCs w:val="12"/>
                <w:b w:val="1"/>
                <w:bCs w:val="1"/>
                <w:color w:val="auto"/>
                <w:w w:val="98"/>
              </w:rPr>
              <w:t>Name and Address of</w:t>
            </w:r>
          </w:p>
        </w:tc>
        <w:tc>
          <w:tcPr>
            <w:tcW w:w="4980" w:type="dxa"/>
            <w:vAlign w:val="bottom"/>
            <w:gridSpan w:val="3"/>
          </w:tcPr>
          <w:p>
            <w:pPr>
              <w:ind w:left="2560"/>
              <w:spacing w:after="0"/>
              <w:rPr>
                <w:sz w:val="20"/>
                <w:szCs w:val="20"/>
                <w:color w:val="auto"/>
              </w:rPr>
            </w:pPr>
            <w:r>
              <w:rPr>
                <w:rFonts w:ascii="Arial" w:cs="Arial" w:eastAsia="Arial" w:hAnsi="Arial"/>
                <w:sz w:val="12"/>
                <w:szCs w:val="12"/>
                <w:b w:val="1"/>
                <w:bCs w:val="1"/>
                <w:color w:val="auto"/>
              </w:rPr>
              <w:t>Relationship of</w:t>
            </w:r>
          </w:p>
        </w:tc>
        <w:tc>
          <w:tcPr>
            <w:tcW w:w="2380" w:type="dxa"/>
            <w:vAlign w:val="bottom"/>
            <w:gridSpan w:val="2"/>
          </w:tcPr>
          <w:p>
            <w:pPr>
              <w:ind w:left="1400"/>
              <w:spacing w:after="0"/>
              <w:rPr>
                <w:sz w:val="20"/>
                <w:szCs w:val="20"/>
                <w:color w:val="auto"/>
              </w:rPr>
            </w:pPr>
            <w:r>
              <w:rPr>
                <w:rFonts w:ascii="Arial" w:cs="Arial" w:eastAsia="Arial" w:hAnsi="Arial"/>
                <w:sz w:val="12"/>
                <w:szCs w:val="12"/>
                <w:b w:val="1"/>
                <w:bCs w:val="1"/>
                <w:color w:val="auto"/>
                <w:w w:val="92"/>
              </w:rPr>
              <w:t>Number of Shares</w:t>
            </w:r>
          </w:p>
        </w:tc>
      </w:tr>
      <w:tr>
        <w:trPr>
          <w:trHeight w:val="130"/>
        </w:trPr>
        <w:tc>
          <w:tcPr>
            <w:tcW w:w="1240" w:type="dxa"/>
            <w:vAlign w:val="bottom"/>
          </w:tcPr>
          <w:p>
            <w:pPr>
              <w:spacing w:after="0" w:line="130" w:lineRule="exact"/>
              <w:rPr>
                <w:sz w:val="20"/>
                <w:szCs w:val="20"/>
                <w:color w:val="auto"/>
              </w:rPr>
            </w:pPr>
            <w:r>
              <w:rPr>
                <w:rFonts w:ascii="Arial" w:cs="Arial" w:eastAsia="Arial" w:hAnsi="Arial"/>
                <w:sz w:val="12"/>
                <w:szCs w:val="12"/>
                <w:b w:val="1"/>
                <w:bCs w:val="1"/>
                <w:color w:val="auto"/>
                <w:w w:val="88"/>
              </w:rPr>
              <w:t>Actual Beneficial Owner</w:t>
            </w:r>
          </w:p>
        </w:tc>
        <w:tc>
          <w:tcPr>
            <w:tcW w:w="4980" w:type="dxa"/>
            <w:vAlign w:val="bottom"/>
            <w:gridSpan w:val="3"/>
          </w:tcPr>
          <w:p>
            <w:pPr>
              <w:ind w:left="2560"/>
              <w:spacing w:after="0" w:line="130" w:lineRule="exact"/>
              <w:rPr>
                <w:sz w:val="20"/>
                <w:szCs w:val="20"/>
                <w:color w:val="auto"/>
              </w:rPr>
            </w:pPr>
            <w:r>
              <w:rPr>
                <w:rFonts w:ascii="Arial" w:cs="Arial" w:eastAsia="Arial" w:hAnsi="Arial"/>
                <w:sz w:val="12"/>
                <w:szCs w:val="12"/>
                <w:b w:val="1"/>
                <w:bCs w:val="1"/>
                <w:color w:val="auto"/>
              </w:rPr>
              <w:t>Such Person To You</w:t>
            </w:r>
          </w:p>
        </w:tc>
        <w:tc>
          <w:tcPr>
            <w:tcW w:w="2380" w:type="dxa"/>
            <w:vAlign w:val="bottom"/>
            <w:gridSpan w:val="2"/>
          </w:tcPr>
          <w:p>
            <w:pPr>
              <w:ind w:left="1400"/>
              <w:spacing w:after="0" w:line="130" w:lineRule="exact"/>
              <w:rPr>
                <w:sz w:val="20"/>
                <w:szCs w:val="20"/>
                <w:color w:val="auto"/>
              </w:rPr>
            </w:pPr>
            <w:r>
              <w:rPr>
                <w:rFonts w:ascii="Arial" w:cs="Arial" w:eastAsia="Arial" w:hAnsi="Arial"/>
                <w:sz w:val="12"/>
                <w:szCs w:val="12"/>
                <w:b w:val="1"/>
                <w:bCs w:val="1"/>
                <w:color w:val="auto"/>
                <w:w w:val="87"/>
              </w:rPr>
              <w:t>Beneficially Owned</w:t>
            </w:r>
          </w:p>
        </w:tc>
      </w:tr>
      <w:tr>
        <w:trPr>
          <w:trHeight w:val="20"/>
        </w:trPr>
        <w:tc>
          <w:tcPr>
            <w:tcW w:w="12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Item 2</w:t>
      </w:r>
      <w:r>
        <w:rPr>
          <w:rFonts w:ascii="Arial" w:cs="Arial" w:eastAsia="Arial" w:hAnsi="Arial"/>
          <w:sz w:val="16"/>
          <w:szCs w:val="16"/>
          <w:color w:val="auto"/>
        </w:rPr>
        <w:t xml:space="preserve">. </w:t>
      </w:r>
      <w:r>
        <w:rPr>
          <w:rFonts w:ascii="Arial" w:cs="Arial" w:eastAsia="Arial" w:hAnsi="Arial"/>
          <w:sz w:val="16"/>
          <w:szCs w:val="16"/>
          <w:u w:val="single" w:color="auto"/>
          <w:color w:val="auto"/>
        </w:rPr>
        <w:t>NASD Affiliation.</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Are you affiliated or associated with an NASD member firm (please check one):</w:t>
      </w:r>
    </w:p>
    <w:p>
      <w:pPr>
        <w:spacing w:after="0" w:line="210" w:lineRule="exact"/>
        <w:rPr>
          <w:sz w:val="20"/>
          <w:szCs w:val="20"/>
          <w:color w:val="auto"/>
        </w:rPr>
      </w:pPr>
    </w:p>
    <w:p>
      <w:pPr>
        <w:ind w:left="2240"/>
        <w:spacing w:after="0"/>
        <w:tabs>
          <w:tab w:leader="none" w:pos="2680" w:val="left"/>
          <w:tab w:leader="none" w:pos="8020" w:val="left"/>
          <w:tab w:leader="none" w:pos="8400" w:val="left"/>
        </w:tabs>
        <w:rPr>
          <w:sz w:val="20"/>
          <w:szCs w:val="20"/>
          <w:color w:val="auto"/>
        </w:rPr>
      </w:pPr>
      <w:r>
        <w:rPr>
          <w:rFonts w:ascii="Arial" w:cs="Arial" w:eastAsia="Arial" w:hAnsi="Arial"/>
          <w:sz w:val="16"/>
          <w:szCs w:val="16"/>
          <w:color w:val="auto"/>
        </w:rPr>
        <w:t>YES</w:t>
        <w:tab/>
        <w:t>__________</w:t>
      </w:r>
      <w:r>
        <w:rPr>
          <w:sz w:val="20"/>
          <w:szCs w:val="20"/>
          <w:color w:val="auto"/>
        </w:rPr>
        <w:tab/>
      </w:r>
      <w:r>
        <w:rPr>
          <w:rFonts w:ascii="Arial" w:cs="Arial" w:eastAsia="Arial" w:hAnsi="Arial"/>
          <w:sz w:val="16"/>
          <w:szCs w:val="16"/>
          <w:color w:val="auto"/>
        </w:rPr>
        <w:t>NO</w:t>
      </w:r>
      <w:r>
        <w:rPr>
          <w:sz w:val="20"/>
          <w:szCs w:val="20"/>
          <w:color w:val="auto"/>
        </w:rPr>
        <w:tab/>
      </w:r>
      <w:r>
        <w:rPr>
          <w:rFonts w:ascii="Arial" w:cs="Arial" w:eastAsia="Arial" w:hAnsi="Arial"/>
          <w:sz w:val="13"/>
          <w:szCs w:val="13"/>
          <w:color w:val="auto"/>
        </w:rPr>
        <w:t>_________</w:t>
      </w:r>
    </w:p>
    <w:p>
      <w:pPr>
        <w:spacing w:after="0" w:line="198"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If Yes, please describe your affiliation/association: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258445</wp:posOffset>
            </wp:positionV>
            <wp:extent cx="50965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96510" cy="7620"/>
                    </a:xfrm>
                    <a:prstGeom prst="rect">
                      <a:avLst/>
                    </a:prstGeom>
                    <a:noFill/>
                  </pic:spPr>
                </pic:pic>
              </a:graphicData>
            </a:graphic>
          </wp:anchor>
        </w:drawing>
        <w:drawing>
          <wp:anchor simplePos="0" relativeHeight="251657728" behindDoc="1" locked="0" layoutInCell="0" allowOverlap="1">
            <wp:simplePos x="0" y="0"/>
            <wp:positionH relativeFrom="column">
              <wp:posOffset>1087755</wp:posOffset>
            </wp:positionH>
            <wp:positionV relativeFrom="paragraph">
              <wp:posOffset>448310</wp:posOffset>
            </wp:positionV>
            <wp:extent cx="50965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096510" cy="7620"/>
                    </a:xfrm>
                    <a:prstGeom prst="rect">
                      <a:avLst/>
                    </a:prstGeom>
                    <a:noFill/>
                  </pic:spPr>
                </pic:pic>
              </a:graphicData>
            </a:graphic>
          </wp:anchor>
        </w:drawing>
        <w:drawing>
          <wp:anchor simplePos="0" relativeHeight="251657728" behindDoc="1" locked="0" layoutInCell="0" allowOverlap="1">
            <wp:simplePos x="0" y="0"/>
            <wp:positionH relativeFrom="column">
              <wp:posOffset>1087755</wp:posOffset>
            </wp:positionH>
            <wp:positionV relativeFrom="paragraph">
              <wp:posOffset>637540</wp:posOffset>
            </wp:positionV>
            <wp:extent cx="50965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965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3</w:t>
      </w:r>
      <w:r>
        <w:rPr>
          <w:rFonts w:ascii="Arial" w:cs="Arial" w:eastAsia="Arial" w:hAnsi="Arial"/>
          <w:sz w:val="15"/>
          <w:szCs w:val="15"/>
          <w:color w:val="auto"/>
        </w:rPr>
        <w:t xml:space="preserve">. </w:t>
      </w:r>
      <w:r>
        <w:rPr>
          <w:rFonts w:ascii="Arial" w:cs="Arial" w:eastAsia="Arial" w:hAnsi="Arial"/>
          <w:sz w:val="15"/>
          <w:szCs w:val="15"/>
          <w:u w:val="single" w:color="auto"/>
          <w:color w:val="auto"/>
        </w:rPr>
        <w:t>Major Shareholders</w:t>
      </w:r>
      <w:r>
        <w:rPr>
          <w:rFonts w:ascii="Arial" w:cs="Arial" w:eastAsia="Arial" w:hAnsi="Arial"/>
          <w:sz w:val="15"/>
          <w:szCs w:val="15"/>
          <w:color w:val="auto"/>
        </w:rPr>
        <w:t>. Please state below the names of persons or groups known by you to own beneficially</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more than 5% of the Company’s Common Stock.</w:t>
      </w:r>
    </w:p>
    <w:p>
      <w:pPr>
        <w:spacing w:after="0" w:line="15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Answer:</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u w:val="single" w:color="auto"/>
          <w:color w:val="auto"/>
        </w:rPr>
        <w:t>Item 4</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 of Control</w:t>
      </w:r>
      <w:r>
        <w:rPr>
          <w:rFonts w:ascii="Arial" w:cs="Arial" w:eastAsia="Arial" w:hAnsi="Arial"/>
          <w:sz w:val="16"/>
          <w:szCs w:val="16"/>
          <w:color w:val="auto"/>
        </w:rPr>
        <w:t>. Do you know of any contractual arrangements, including any pledge of securities of the Company, the operation of which may at a subsequent date result in a change of control of the Company?</w:t>
      </w:r>
    </w:p>
    <w:p>
      <w:pPr>
        <w:spacing w:after="0" w:line="18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Answer:</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6"/>
          <w:szCs w:val="16"/>
          <w:u w:val="single" w:color="auto"/>
          <w:color w:val="auto"/>
        </w:rPr>
        <w:t>Item 5</w:t>
      </w:r>
      <w:r>
        <w:rPr>
          <w:rFonts w:ascii="Arial" w:cs="Arial" w:eastAsia="Arial" w:hAnsi="Arial"/>
          <w:sz w:val="16"/>
          <w:szCs w:val="16"/>
          <w:color w:val="auto"/>
        </w:rPr>
        <w:t xml:space="preserve">. </w:t>
      </w:r>
      <w:r>
        <w:rPr>
          <w:rFonts w:ascii="Arial" w:cs="Arial" w:eastAsia="Arial" w:hAnsi="Arial"/>
          <w:sz w:val="16"/>
          <w:szCs w:val="16"/>
          <w:u w:val="single" w:color="auto"/>
          <w:color w:val="auto"/>
        </w:rPr>
        <w:t>Relationship with the Company</w:t>
      </w:r>
      <w:r>
        <w:rPr>
          <w:rFonts w:ascii="Arial" w:cs="Arial" w:eastAsia="Arial" w:hAnsi="Arial"/>
          <w:sz w:val="16"/>
          <w:szCs w:val="16"/>
          <w:color w:val="auto"/>
        </w:rPr>
        <w:t>. Please state the nature of any position, office or other material relationship you have, or have had within the past three years, with the Company or its affiliates.</w:t>
      </w:r>
    </w:p>
    <w:p>
      <w:pPr>
        <w:spacing w:after="0" w:line="168" w:lineRule="exact"/>
        <w:rPr>
          <w:sz w:val="20"/>
          <w:szCs w:val="20"/>
          <w:color w:val="auto"/>
        </w:rPr>
      </w:pPr>
    </w:p>
    <w:tbl>
      <w:tblPr>
        <w:tblLayout w:type="fixed"/>
        <w:tblInd w:w="2700" w:type="dxa"/>
        <w:tblCellMar>
          <w:top w:w="0" w:type="dxa"/>
          <w:left w:w="0" w:type="dxa"/>
          <w:bottom w:w="0" w:type="dxa"/>
          <w:right w:w="0" w:type="dxa"/>
        </w:tblCellMar>
      </w:tblPr>
      <w:tr>
        <w:trPr>
          <w:trHeight w:val="138"/>
        </w:trPr>
        <w:tc>
          <w:tcPr>
            <w:tcW w:w="294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26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1"/>
              </w:rPr>
              <w:t>Nature of</w:t>
            </w:r>
          </w:p>
        </w:tc>
      </w:tr>
      <w:tr>
        <w:trPr>
          <w:trHeight w:val="111"/>
        </w:trPr>
        <w:tc>
          <w:tcPr>
            <w:tcW w:w="300" w:type="dxa"/>
            <w:vAlign w:val="bottom"/>
            <w:tcBorders>
              <w:top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3260" w:type="dxa"/>
            <w:vAlign w:val="bottom"/>
            <w:gridSpan w:val="2"/>
          </w:tcPr>
          <w:p>
            <w:pPr>
              <w:jc w:val="center"/>
              <w:ind w:left="2560"/>
              <w:spacing w:after="0" w:line="111" w:lineRule="exact"/>
              <w:rPr>
                <w:sz w:val="20"/>
                <w:szCs w:val="20"/>
                <w:color w:val="auto"/>
              </w:rPr>
            </w:pPr>
            <w:r>
              <w:rPr>
                <w:rFonts w:ascii="Arial" w:cs="Arial" w:eastAsia="Arial" w:hAnsi="Arial"/>
                <w:sz w:val="12"/>
                <w:szCs w:val="12"/>
                <w:b w:val="1"/>
                <w:bCs w:val="1"/>
                <w:color w:val="auto"/>
                <w:w w:val="88"/>
              </w:rPr>
              <w:t>Relationship</w:t>
            </w:r>
          </w:p>
        </w:tc>
      </w:tr>
      <w:tr>
        <w:trPr>
          <w:trHeight w:val="20"/>
        </w:trPr>
        <w:tc>
          <w:tcPr>
            <w:tcW w:w="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right="560"/>
        <w:spacing w:after="0" w:line="264" w:lineRule="auto"/>
        <w:rPr>
          <w:sz w:val="20"/>
          <w:szCs w:val="20"/>
          <w:color w:val="auto"/>
        </w:rPr>
      </w:pPr>
      <w:r>
        <w:rPr>
          <w:rFonts w:ascii="Arial" w:cs="Arial" w:eastAsia="Arial" w:hAnsi="Arial"/>
          <w:sz w:val="16"/>
          <w:szCs w:val="16"/>
          <w:u w:val="single" w:color="auto"/>
          <w:color w:val="auto"/>
        </w:rPr>
        <w:t>Item 6</w:t>
      </w:r>
      <w:r>
        <w:rPr>
          <w:rFonts w:ascii="Arial" w:cs="Arial" w:eastAsia="Arial" w:hAnsi="Arial"/>
          <w:sz w:val="16"/>
          <w:szCs w:val="16"/>
          <w:color w:val="auto"/>
        </w:rPr>
        <w:t xml:space="preserve">. </w:t>
      </w:r>
      <w:r>
        <w:rPr>
          <w:rFonts w:ascii="Arial" w:cs="Arial" w:eastAsia="Arial" w:hAnsi="Arial"/>
          <w:sz w:val="16"/>
          <w:szCs w:val="16"/>
          <w:u w:val="single" w:color="auto"/>
          <w:color w:val="auto"/>
        </w:rPr>
        <w:t>Correct Name</w:t>
      </w:r>
      <w:r>
        <w:rPr>
          <w:rFonts w:ascii="Arial" w:cs="Arial" w:eastAsia="Arial" w:hAnsi="Arial"/>
          <w:sz w:val="16"/>
          <w:szCs w:val="16"/>
          <w:color w:val="auto"/>
        </w:rPr>
        <w:t>. Please confirm that your name or your organization’s name, as it appears on the signature page to this Questionnaire, is exactly as it should appear in the “Principal and Selling Stockholder” section of the Registration Statement:</w:t>
      </w:r>
    </w:p>
    <w:p>
      <w:pPr>
        <w:spacing w:after="0" w:line="18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_____Yes, this name is correct.</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_____No, the correct name should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69215</wp:posOffset>
            </wp:positionV>
            <wp:extent cx="334708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47085" cy="762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40"/>
          </w:cols>
          <w:pgMar w:left="240" w:top="348" w:right="21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6"/>
          <w:szCs w:val="16"/>
          <w:u w:val="single" w:color="auto"/>
          <w:color w:val="auto"/>
        </w:rPr>
        <w:t>SIGNATURE</w:t>
      </w:r>
    </w:p>
    <w:p>
      <w:pPr>
        <w:spacing w:after="0" w:line="198" w:lineRule="exact"/>
        <w:rPr>
          <w:sz w:val="20"/>
          <w:szCs w:val="20"/>
          <w:color w:val="auto"/>
        </w:rPr>
      </w:pPr>
    </w:p>
    <w:p>
      <w:pPr>
        <w:ind w:firstLine="388"/>
        <w:spacing w:after="0" w:line="254" w:lineRule="auto"/>
        <w:rPr>
          <w:sz w:val="20"/>
          <w:szCs w:val="20"/>
          <w:color w:val="auto"/>
        </w:rPr>
      </w:pPr>
      <w:r>
        <w:rPr>
          <w:rFonts w:ascii="Arial" w:cs="Arial" w:eastAsia="Arial" w:hAnsi="Arial"/>
          <w:sz w:val="16"/>
          <w:szCs w:val="16"/>
          <w:color w:val="auto"/>
        </w:rPr>
        <w:t>If at any time any of the information set forth in my responses to this Questionnaire has changed due to passage of time, or any development occurs which requires a change in any of my answers, or has for any other reason become incorrect, I agree immediately to furnish to the individual to whom a copy of this Questionnaire is to be sent, as indicated and at the address shown on the first page hereof, any necessary or appropriate correcting information. Otherwise, the Company is to understand that the above information continues to be, to the best of my knowledge, information and belief, complete and correct.</w:t>
      </w:r>
    </w:p>
    <w:p>
      <w:pPr>
        <w:spacing w:after="0" w:line="175" w:lineRule="exact"/>
        <w:rPr>
          <w:sz w:val="20"/>
          <w:szCs w:val="20"/>
          <w:color w:val="auto"/>
        </w:rPr>
      </w:pPr>
    </w:p>
    <w:p>
      <w:pPr>
        <w:ind w:firstLine="388"/>
        <w:spacing w:after="0" w:line="264" w:lineRule="auto"/>
        <w:rPr>
          <w:sz w:val="20"/>
          <w:szCs w:val="20"/>
          <w:color w:val="auto"/>
        </w:rPr>
      </w:pPr>
      <w:r>
        <w:rPr>
          <w:rFonts w:ascii="Arial" w:cs="Arial" w:eastAsia="Arial" w:hAnsi="Arial"/>
          <w:sz w:val="16"/>
          <w:szCs w:val="16"/>
          <w:color w:val="auto"/>
        </w:rPr>
        <w:t>I understand that the information that I am furnishing to you herein will be used by the Company in the preparation of its Registration Statement on Form F-3 and hereby consent to the inclusion of such information in the Registration Statement.</w:t>
      </w:r>
    </w:p>
    <w:p>
      <w:pPr>
        <w:spacing w:after="0" w:line="180"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69215</wp:posOffset>
            </wp:positionV>
            <wp:extent cx="312293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22930" cy="7620"/>
                    </a:xfrm>
                    <a:prstGeom prst="rect">
                      <a:avLst/>
                    </a:prstGeom>
                    <a:noFill/>
                  </pic:spPr>
                </pic:pic>
              </a:graphicData>
            </a:graphic>
          </wp:anchor>
        </w:drawing>
      </w:r>
    </w:p>
    <w:p>
      <w:pPr>
        <w:spacing w:after="0" w:line="321" w:lineRule="exact"/>
        <w:rPr>
          <w:sz w:val="20"/>
          <w:szCs w:val="20"/>
          <w:color w:val="auto"/>
        </w:rPr>
      </w:pPr>
    </w:p>
    <w:p>
      <w:pPr>
        <w:spacing w:after="0"/>
        <w:tabs>
          <w:tab w:leader="none" w:pos="5160" w:val="left"/>
        </w:tabs>
        <w:rPr>
          <w:sz w:val="20"/>
          <w:szCs w:val="20"/>
          <w:color w:val="auto"/>
        </w:rPr>
      </w:pPr>
      <w:r>
        <w:rPr>
          <w:rFonts w:ascii="Arial" w:cs="Arial" w:eastAsia="Arial" w:hAnsi="Arial"/>
          <w:sz w:val="16"/>
          <w:szCs w:val="16"/>
          <w:color w:val="auto"/>
        </w:rPr>
        <w:t>Date: March __, 2007</w:t>
      </w:r>
      <w:r>
        <w:rPr>
          <w:sz w:val="20"/>
          <w:szCs w:val="20"/>
          <w:color w:val="auto"/>
        </w:rPr>
        <w:tab/>
      </w: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69215</wp:posOffset>
            </wp:positionV>
            <wp:extent cx="360743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07435" cy="7620"/>
                    </a:xfrm>
                    <a:prstGeom prst="rect">
                      <a:avLst/>
                    </a:prstGeom>
                    <a:noFill/>
                  </pic:spPr>
                </pic:pic>
              </a:graphicData>
            </a:graphic>
          </wp:anchor>
        </w:drawing>
      </w:r>
    </w:p>
    <w:p>
      <w:pPr>
        <w:spacing w:after="0" w:line="32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69215</wp:posOffset>
            </wp:positionV>
            <wp:extent cx="351663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16630" cy="7620"/>
                    </a:xfrm>
                    <a:prstGeom prst="rect">
                      <a:avLst/>
                    </a:prstGeom>
                    <a:noFill/>
                  </pic:spPr>
                </pic:pic>
              </a:graphicData>
            </a:graphic>
          </wp:anchor>
        </w:drawing>
      </w: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69215</wp:posOffset>
            </wp:positionV>
            <wp:extent cx="320611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06115" cy="7620"/>
                    </a:xfrm>
                    <a:prstGeom prst="rect">
                      <a:avLst/>
                    </a:prstGeom>
                    <a:noFill/>
                  </pic:spPr>
                </pic:pic>
              </a:graphicData>
            </a:graphic>
          </wp:anchor>
        </w:drawing>
      </w:r>
    </w:p>
    <w:p>
      <w:pPr>
        <w:spacing w:after="0" w:line="321"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152400</wp:posOffset>
            </wp:positionV>
            <wp:extent cx="399097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90975" cy="7620"/>
                    </a:xfrm>
                    <a:prstGeom prst="rect">
                      <a:avLst/>
                    </a:prstGeom>
                    <a:noFill/>
                  </pic:spPr>
                </pic:pic>
              </a:graphicData>
            </a:graphic>
          </wp:anchor>
        </w:drawing>
      </w:r>
    </w:p>
    <w:p>
      <w:pPr>
        <w:spacing w:after="0" w:line="321"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152400</wp:posOffset>
            </wp:positionV>
            <wp:extent cx="399097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90975" cy="7620"/>
                    </a:xfrm>
                    <a:prstGeom prst="rect">
                      <a:avLst/>
                    </a:prstGeom>
                    <a:noFill/>
                  </pic:spPr>
                </pic:pic>
              </a:graphicData>
            </a:graphic>
          </wp:anchor>
        </w:drawing>
      </w:r>
    </w:p>
    <w:p>
      <w:pPr>
        <w:spacing w:after="0" w:line="321" w:lineRule="exact"/>
        <w:rPr>
          <w:sz w:val="20"/>
          <w:szCs w:val="20"/>
          <w:color w:val="auto"/>
        </w:rPr>
      </w:pPr>
    </w:p>
    <w:p>
      <w:pPr>
        <w:ind w:left="5180"/>
        <w:spacing w:after="0"/>
        <w:tabs>
          <w:tab w:leader="none" w:pos="6340" w:val="left"/>
          <w:tab w:leader="none" w:pos="8920" w:val="left"/>
        </w:tabs>
        <w:rPr>
          <w:sz w:val="20"/>
          <w:szCs w:val="20"/>
          <w:color w:val="auto"/>
        </w:rPr>
      </w:pPr>
      <w:r>
        <w:rPr>
          <w:rFonts w:ascii="Arial" w:cs="Arial" w:eastAsia="Arial" w:hAnsi="Arial"/>
          <w:sz w:val="16"/>
          <w:szCs w:val="16"/>
          <w:color w:val="auto"/>
        </w:rPr>
        <w:t>City</w:t>
      </w:r>
      <w:r>
        <w:rPr>
          <w:sz w:val="20"/>
          <w:szCs w:val="20"/>
          <w:color w:val="auto"/>
        </w:rPr>
        <w:tab/>
      </w:r>
      <w:r>
        <w:rPr>
          <w:rFonts w:ascii="Arial" w:cs="Arial" w:eastAsia="Arial" w:hAnsi="Arial"/>
          <w:sz w:val="16"/>
          <w:szCs w:val="16"/>
          <w:color w:val="auto"/>
        </w:rPr>
        <w:t>State</w:t>
      </w:r>
      <w:r>
        <w:rPr>
          <w:sz w:val="20"/>
          <w:szCs w:val="20"/>
          <w:color w:val="auto"/>
        </w:rPr>
        <w:tab/>
      </w:r>
      <w:r>
        <w:rPr>
          <w:rFonts w:ascii="Arial" w:cs="Arial" w:eastAsia="Arial" w:hAnsi="Arial"/>
          <w:sz w:val="14"/>
          <w:szCs w:val="14"/>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152400</wp:posOffset>
            </wp:positionV>
            <wp:extent cx="399097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990975" cy="7620"/>
                    </a:xfrm>
                    <a:prstGeom prst="rect">
                      <a:avLst/>
                    </a:prstGeom>
                    <a:noFill/>
                  </pic:spPr>
                </pic:pic>
              </a:graphicData>
            </a:graphic>
          </wp:anchor>
        </w:drawing>
      </w: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152400</wp:posOffset>
            </wp:positionV>
            <wp:extent cx="3990975"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990975" cy="7620"/>
                    </a:xfrm>
                    <a:prstGeom prst="rect">
                      <a:avLst/>
                    </a:prstGeom>
                    <a:noFill/>
                  </pic:spPr>
                </pic:pic>
              </a:graphicData>
            </a:graphic>
          </wp:anchor>
        </w:drawing>
      </w: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Facsimile Number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82815"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2815" cy="35560"/>
                    </a:xfrm>
                    <a:prstGeom prst="rect">
                      <a:avLst/>
                    </a:prstGeom>
                    <a:noFill/>
                  </pic:spPr>
                </pic:pic>
              </a:graphicData>
            </a:graphic>
          </wp:anchor>
        </w:drawing>
      </w:r>
    </w:p>
    <w:p>
      <w:pPr>
        <w:sectPr>
          <w:pgSz w:w="11900" w:h="16838" w:orient="portrait"/>
          <w:cols w:equalWidth="0" w:num="1">
            <w:col w:w="11400"/>
          </w:cols>
          <w:pgMar w:left="240" w:top="133" w:right="259" w:bottom="1440" w:gutter="0" w:footer="0" w:header="0"/>
        </w:sectPr>
      </w:pPr>
    </w:p>
    <w:bookmarkStart w:id="69" w:name="page70"/>
    <w:bookmarkEnd w:id="69"/>
    <w:p>
      <w:pPr>
        <w:jc w:val="center"/>
        <w:ind w:right="-4"/>
        <w:spacing w:after="0"/>
        <w:rPr>
          <w:sz w:val="20"/>
          <w:szCs w:val="20"/>
          <w:color w:val="auto"/>
        </w:rPr>
      </w:pPr>
      <w:r>
        <w:rPr>
          <w:rFonts w:ascii="Arial" w:cs="Arial" w:eastAsia="Arial" w:hAnsi="Arial"/>
          <w:sz w:val="16"/>
          <w:szCs w:val="16"/>
          <w:b w:val="1"/>
          <w:bCs w:val="1"/>
          <w:color w:val="auto"/>
        </w:rPr>
        <w:t>ENDNOTE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156210</wp:posOffset>
            </wp:positionV>
            <wp:extent cx="176466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64665" cy="762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565" w:hanging="565"/>
        <w:spacing w:after="0" w:line="297" w:lineRule="auto"/>
        <w:tabs>
          <w:tab w:leader="none" w:pos="565"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Beneficial Ownership</w:t>
      </w:r>
      <w:r>
        <w:rPr>
          <w:rFonts w:ascii="Arial" w:cs="Arial" w:eastAsia="Arial" w:hAnsi="Arial"/>
          <w:sz w:val="14"/>
          <w:szCs w:val="14"/>
          <w:color w:val="auto"/>
        </w:rPr>
        <w:t>. You are the beneficial owner of a security, as defined in Rule 13d-3 under the Securities Exchange Act of 1934 (the “</w:t>
      </w:r>
      <w:r>
        <w:rPr>
          <w:rFonts w:ascii="Arial" w:cs="Arial" w:eastAsia="Arial" w:hAnsi="Arial"/>
          <w:sz w:val="14"/>
          <w:szCs w:val="14"/>
          <w:u w:val="single" w:color="auto"/>
          <w:color w:val="auto"/>
        </w:rPr>
        <w:t>Exchange Act</w:t>
      </w:r>
      <w:r>
        <w:rPr>
          <w:rFonts w:ascii="Arial" w:cs="Arial" w:eastAsia="Arial" w:hAnsi="Arial"/>
          <w:sz w:val="14"/>
          <w:szCs w:val="14"/>
          <w:color w:val="auto"/>
        </w:rPr>
        <w:t>”), if you, directly or indirectly, through any contract, arrangement, understanding, relationship or otherwise have or share: (1) voting power, which includes the power to vote, or to direct the voting of, such security, and/or (2) investment power, which includes the power to dispose, or to direct the disposition of, such security. You are also the beneficial owner of a security if you, directly or indirectly, create or use a trust, proxy, power of attorney, pooling arrangement or any other contract, arrangement, or device with the purpose or effect of divesting yourself of beneficial ownership of a security or preventing the vesting of such beneficial ownership.</w:t>
      </w:r>
    </w:p>
    <w:p>
      <w:pPr>
        <w:spacing w:after="0" w:line="89" w:lineRule="exact"/>
        <w:rPr>
          <w:rFonts w:ascii="Arial" w:cs="Arial" w:eastAsia="Arial" w:hAnsi="Arial"/>
          <w:sz w:val="14"/>
          <w:szCs w:val="14"/>
          <w:color w:val="auto"/>
        </w:rPr>
      </w:pPr>
    </w:p>
    <w:p>
      <w:pPr>
        <w:jc w:val="both"/>
        <w:ind w:left="565" w:right="140"/>
        <w:spacing w:after="0" w:line="256" w:lineRule="auto"/>
        <w:rPr>
          <w:rFonts w:ascii="Arial" w:cs="Arial" w:eastAsia="Arial" w:hAnsi="Arial"/>
          <w:sz w:val="14"/>
          <w:szCs w:val="14"/>
          <w:color w:val="auto"/>
        </w:rPr>
      </w:pPr>
      <w:r>
        <w:rPr>
          <w:rFonts w:ascii="Arial" w:cs="Arial" w:eastAsia="Arial" w:hAnsi="Arial"/>
          <w:sz w:val="16"/>
          <w:szCs w:val="16"/>
          <w:color w:val="auto"/>
        </w:rPr>
        <w:t xml:space="preserve">You are deemed to be the beneficial owner of a security if you have the right to acquire beneficial ownership of such security at any time </w:t>
      </w:r>
      <w:r>
        <w:rPr>
          <w:rFonts w:ascii="Arial" w:cs="Arial" w:eastAsia="Arial" w:hAnsi="Arial"/>
          <w:sz w:val="16"/>
          <w:szCs w:val="16"/>
          <w:u w:val="single" w:color="auto"/>
          <w:color w:val="auto"/>
        </w:rPr>
        <w:t>within sixty days including</w:t>
      </w:r>
      <w:r>
        <w:rPr>
          <w:rFonts w:ascii="Arial" w:cs="Arial" w:eastAsia="Arial" w:hAnsi="Arial"/>
          <w:sz w:val="16"/>
          <w:szCs w:val="16"/>
          <w:color w:val="auto"/>
        </w:rPr>
        <w:t>, but not limited to, any right to acquire such security (a) through the exercise of any option, warrant or right, (b) through the conversion of a security, or (c) pursuant to the automatic termination of, or the power to revoke a trust, discretionary account, or similar arrangement.</w:t>
      </w:r>
    </w:p>
    <w:p>
      <w:pPr>
        <w:spacing w:after="0" w:line="114" w:lineRule="exact"/>
        <w:rPr>
          <w:rFonts w:ascii="Arial" w:cs="Arial" w:eastAsia="Arial" w:hAnsi="Arial"/>
          <w:sz w:val="14"/>
          <w:szCs w:val="14"/>
          <w:color w:val="auto"/>
        </w:rPr>
      </w:pPr>
    </w:p>
    <w:p>
      <w:pPr>
        <w:ind w:left="565"/>
        <w:spacing w:after="0" w:line="301" w:lineRule="auto"/>
        <w:rPr>
          <w:rFonts w:ascii="Arial" w:cs="Arial" w:eastAsia="Arial" w:hAnsi="Arial"/>
          <w:sz w:val="14"/>
          <w:szCs w:val="14"/>
          <w:color w:val="auto"/>
        </w:rPr>
      </w:pPr>
      <w:r>
        <w:rPr>
          <w:rFonts w:ascii="Arial" w:cs="Arial" w:eastAsia="Arial" w:hAnsi="Arial"/>
          <w:sz w:val="14"/>
          <w:szCs w:val="14"/>
          <w:color w:val="auto"/>
        </w:rPr>
        <w:t>Ordinarily, shares held in the name of your spouse or minor child should be considered as beneficially owned by you absent special circumstances to indicate that you do not have, as a practical matter, voting power or investment power over such shares. Similarly, absent countervailing facts, securities held in the name of relatives who share your home are to be reported as being beneficially owned by you. In addition, securities held for your benefit in the name of others, such as nominees, trustees and other fiduciaries, securities held by a partnership of which you are a partner, and securities held by a corporation controlled by you should be regarded as beneficially owned by you.</w:t>
      </w:r>
    </w:p>
    <w:p>
      <w:pPr>
        <w:spacing w:after="0" w:line="86" w:lineRule="exact"/>
        <w:rPr>
          <w:rFonts w:ascii="Arial" w:cs="Arial" w:eastAsia="Arial" w:hAnsi="Arial"/>
          <w:sz w:val="14"/>
          <w:szCs w:val="14"/>
          <w:color w:val="auto"/>
        </w:rPr>
      </w:pPr>
    </w:p>
    <w:p>
      <w:pPr>
        <w:jc w:val="both"/>
        <w:ind w:left="565" w:right="80"/>
        <w:spacing w:after="0" w:line="301" w:lineRule="auto"/>
        <w:rPr>
          <w:rFonts w:ascii="Arial" w:cs="Arial" w:eastAsia="Arial" w:hAnsi="Arial"/>
          <w:sz w:val="14"/>
          <w:szCs w:val="14"/>
          <w:color w:val="auto"/>
        </w:rPr>
      </w:pPr>
      <w:r>
        <w:rPr>
          <w:rFonts w:ascii="Arial" w:cs="Arial" w:eastAsia="Arial" w:hAnsi="Arial"/>
          <w:sz w:val="14"/>
          <w:szCs w:val="14"/>
          <w:color w:val="auto"/>
        </w:rPr>
        <w:t xml:space="preserve">This definition of beneficial ownership is very broad; therefore, even though you may not actually have or share voting or investment power with respect to securities owned by persons in your family or living in your home, you should include such shares in your beneficial ownership disclosure and may then disclaim beneficial ownership of such securities. </w:t>
      </w:r>
      <w:r>
        <w:rPr>
          <w:rFonts w:ascii="Arial" w:cs="Arial" w:eastAsia="Arial" w:hAnsi="Arial"/>
          <w:sz w:val="14"/>
          <w:szCs w:val="14"/>
          <w:b w:val="1"/>
          <w:bCs w:val="1"/>
          <w:color w:val="auto"/>
        </w:rPr>
        <w:t>Please note, however, that shares in which you have an economic interest but over which you have no voting or investment control (for example, shares in</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a trust of which you are the beneficiary but not the trustee) are </w:t>
      </w:r>
      <w:r>
        <w:rPr>
          <w:rFonts w:ascii="Arial" w:cs="Arial" w:eastAsia="Arial" w:hAnsi="Arial"/>
          <w:sz w:val="14"/>
          <w:szCs w:val="14"/>
          <w:b w:val="1"/>
          <w:bCs w:val="1"/>
          <w:u w:val="single" w:color="auto"/>
          <w:color w:val="auto"/>
        </w:rPr>
        <w:t>not</w:t>
      </w:r>
      <w:r>
        <w:rPr>
          <w:rFonts w:ascii="Arial" w:cs="Arial" w:eastAsia="Arial" w:hAnsi="Arial"/>
          <w:sz w:val="14"/>
          <w:szCs w:val="14"/>
          <w:b w:val="1"/>
          <w:bCs w:val="1"/>
          <w:color w:val="auto"/>
        </w:rPr>
        <w:t xml:space="preserve"> deemed beneficially owned by you for the purposes of this questionnaire.</w:t>
      </w:r>
    </w:p>
    <w:p>
      <w:pPr>
        <w:spacing w:after="0" w:line="27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282815"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2815" cy="355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7496175</wp:posOffset>
            </wp:positionV>
            <wp:extent cx="7282815" cy="29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2815" cy="29210"/>
                    </a:xfrm>
                    <a:prstGeom prst="rect">
                      <a:avLst/>
                    </a:prstGeom>
                    <a:noFill/>
                  </pic:spPr>
                </pic:pic>
              </a:graphicData>
            </a:graphic>
          </wp:anchor>
        </w:drawing>
      </w:r>
    </w:p>
    <w:p>
      <w:pPr>
        <w:sectPr>
          <w:pgSz w:w="11900" w:h="16838" w:orient="portrait"/>
          <w:cols w:equalWidth="0" w:num="1">
            <w:col w:w="11425"/>
          </w:cols>
          <w:pgMar w:left="235" w:top="138"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u w:val="single" w:color="auto"/>
          <w:color w:val="auto"/>
        </w:rPr>
        <w:t>EXHIBIT 99.5</w:t>
      </w:r>
    </w:p>
    <w:p>
      <w:pPr>
        <w:spacing w:after="0" w:line="257" w:lineRule="exact"/>
        <w:rPr>
          <w:sz w:val="20"/>
          <w:szCs w:val="20"/>
          <w:color w:val="auto"/>
        </w:rPr>
      </w:pPr>
    </w:p>
    <w:p>
      <w:pPr>
        <w:ind w:right="260"/>
        <w:spacing w:after="0" w:line="272" w:lineRule="auto"/>
        <w:rPr>
          <w:sz w:val="20"/>
          <w:szCs w:val="20"/>
          <w:color w:val="auto"/>
        </w:rPr>
      </w:pPr>
      <w:r>
        <w:rPr>
          <w:rFonts w:ascii="Arial" w:cs="Arial" w:eastAsia="Arial" w:hAnsi="Arial"/>
          <w:sz w:val="16"/>
          <w:szCs w:val="16"/>
          <w:b w:val="1"/>
          <w:bCs w:val="1"/>
          <w:color w:val="auto"/>
        </w:rPr>
        <w:t>Schedule 6(b) to the Registration Rights Agreement by and among Tower Semiconductor Ltd. (the “Company”) and the Purchasers (as defined therein), dated March 15, 2007.</w:t>
      </w:r>
    </w:p>
    <w:p>
      <w:pPr>
        <w:spacing w:after="0" w:line="16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Pursuant to a Registration Rights Agreement, dated January 18, 2001, between the Company and Israel Corporation Ltd., Alliance Semiconductor Corporation, SanDisk Corporation, Macronix International Co., Ltd. and QuickLogic Corporation (the “2001 Registration Rights Agreement” and the “2001 RRA Parties”), such persons have “piggyback” registration rights in connection with the Registration Statement. In addition, the 2001 RRA Parties have demand registration rights under the 2001 Registration Rights Agreement. The Company has received waivers from the 2001 RRA Parties with respect to such rights.</w:t>
      </w:r>
    </w:p>
    <w:p>
      <w:pPr>
        <w:spacing w:after="0" w:line="175" w:lineRule="exact"/>
        <w:rPr>
          <w:sz w:val="20"/>
          <w:szCs w:val="20"/>
          <w:color w:val="auto"/>
        </w:rPr>
      </w:pPr>
    </w:p>
    <w:p>
      <w:pPr>
        <w:ind w:right="140"/>
        <w:spacing w:after="0" w:line="310" w:lineRule="auto"/>
        <w:rPr>
          <w:sz w:val="20"/>
          <w:szCs w:val="20"/>
          <w:color w:val="auto"/>
        </w:rPr>
      </w:pPr>
      <w:r>
        <w:rPr>
          <w:rFonts w:ascii="Arial" w:cs="Arial" w:eastAsia="Arial" w:hAnsi="Arial"/>
          <w:sz w:val="14"/>
          <w:szCs w:val="14"/>
          <w:color w:val="auto"/>
        </w:rPr>
        <w:t>Pursuant to Registration Rights Agreements, dated September 28, 2006, between the Company and each of Israel Corporation Ltd., Bank Hapoalim B.M. and Bank Leumi Le-Israel B.M., on January 24, 2007, the Company filed a registration statement on Form F-3 covering shares of the Company. The F-3 has not yet been declared effective by the SEC and may be amended, provided no amendment shall be made to add additional selling securityholders to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67575" cy="35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8844915</wp:posOffset>
            </wp:positionV>
            <wp:extent cx="7282815" cy="292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2815" cy="2921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71" w:name="page72"/>
    <w:bookmarkEnd w:id="71"/>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b w:val="1"/>
          <w:bCs w:val="1"/>
          <w:u w:val="single" w:color="auto"/>
          <w:color w:val="auto"/>
        </w:rPr>
        <w:t>EXHIBIT 99.6</w:t>
      </w: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C</w:t>
      </w:r>
    </w:p>
    <w:p>
      <w:pPr>
        <w:spacing w:after="0" w:line="275"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SERIES I WARRANT</w:t>
      </w:r>
    </w:p>
    <w:p>
      <w:pPr>
        <w:spacing w:after="0" w:line="275"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To Purchase __________ Ordinary Shares of</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TOWER SEMICONDUCTOR LTD.</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Issue Date: March 15, 2007</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THIS SERIES I WARRANT (the “</w:t>
      </w:r>
      <w:r>
        <w:rPr>
          <w:rFonts w:ascii="Arial" w:cs="Arial" w:eastAsia="Arial" w:hAnsi="Arial"/>
          <w:sz w:val="14"/>
          <w:szCs w:val="14"/>
          <w:u w:val="single" w:color="auto"/>
          <w:color w:val="auto"/>
        </w:rPr>
        <w:t>Warrant</w:t>
      </w:r>
      <w:r>
        <w:rPr>
          <w:rFonts w:ascii="Arial" w:cs="Arial" w:eastAsia="Arial" w:hAnsi="Arial"/>
          <w:sz w:val="14"/>
          <w:szCs w:val="14"/>
          <w:color w:val="auto"/>
        </w:rPr>
        <w:t>”) certifies that, for value received, _____________ (the “</w:t>
      </w:r>
      <w:r>
        <w:rPr>
          <w:rFonts w:ascii="Arial" w:cs="Arial" w:eastAsia="Arial" w:hAnsi="Arial"/>
          <w:sz w:val="14"/>
          <w:szCs w:val="14"/>
          <w:u w:val="single" w:color="auto"/>
          <w:color w:val="auto"/>
        </w:rPr>
        <w:t>Holder</w:t>
      </w:r>
      <w:r>
        <w:rPr>
          <w:rFonts w:ascii="Arial" w:cs="Arial" w:eastAsia="Arial" w:hAnsi="Arial"/>
          <w:sz w:val="14"/>
          <w:szCs w:val="14"/>
          <w:color w:val="auto"/>
        </w:rPr>
        <w:t>”), is entitled, upon the terms and subject to the limitations on exercise</w:t>
      </w:r>
    </w:p>
    <w:p>
      <w:pPr>
        <w:spacing w:after="0" w:line="35" w:lineRule="exact"/>
        <w:rPr>
          <w:sz w:val="20"/>
          <w:szCs w:val="20"/>
          <w:color w:val="auto"/>
        </w:rPr>
      </w:pPr>
    </w:p>
    <w:p>
      <w:pPr>
        <w:ind w:right="120"/>
        <w:spacing w:after="0" w:line="242" w:lineRule="auto"/>
        <w:rPr>
          <w:sz w:val="20"/>
          <w:szCs w:val="20"/>
          <w:color w:val="auto"/>
        </w:rPr>
      </w:pPr>
      <w:r>
        <w:rPr>
          <w:rFonts w:ascii="Arial" w:cs="Arial" w:eastAsia="Arial" w:hAnsi="Arial"/>
          <w:sz w:val="14"/>
          <w:szCs w:val="14"/>
          <w:color w:val="auto"/>
        </w:rPr>
        <w:t>and the conditions hereinafter set forth, at any time on or after the date hereof (the “</w:t>
      </w:r>
      <w:r>
        <w:rPr>
          <w:rFonts w:ascii="Arial" w:cs="Arial" w:eastAsia="Arial" w:hAnsi="Arial"/>
          <w:sz w:val="14"/>
          <w:szCs w:val="14"/>
          <w:u w:val="single" w:color="auto"/>
          <w:color w:val="auto"/>
        </w:rPr>
        <w:t>Initial Exercise Date</w:t>
      </w:r>
      <w:r>
        <w:rPr>
          <w:rFonts w:ascii="Arial" w:cs="Arial" w:eastAsia="Arial" w:hAnsi="Arial"/>
          <w:sz w:val="14"/>
          <w:szCs w:val="14"/>
          <w:color w:val="auto"/>
        </w:rPr>
        <w:t>”) and on or prior to the close of business on the fifth (5</w:t>
      </w:r>
      <w:r>
        <w:rPr>
          <w:rFonts w:ascii="Arial" w:cs="Arial" w:eastAsia="Arial" w:hAnsi="Arial"/>
          <w:sz w:val="22"/>
          <w:szCs w:val="22"/>
          <w:color w:val="auto"/>
          <w:vertAlign w:val="superscript"/>
        </w:rPr>
        <w:t>th</w:t>
      </w:r>
      <w:r>
        <w:rPr>
          <w:rFonts w:ascii="Arial" w:cs="Arial" w:eastAsia="Arial" w:hAnsi="Arial"/>
          <w:sz w:val="14"/>
          <w:szCs w:val="14"/>
          <w:color w:val="auto"/>
        </w:rPr>
        <w:t>) anniversary of the Initial Exercise Date (the “</w:t>
      </w:r>
      <w:r>
        <w:rPr>
          <w:rFonts w:ascii="Arial" w:cs="Arial" w:eastAsia="Arial" w:hAnsi="Arial"/>
          <w:sz w:val="14"/>
          <w:szCs w:val="14"/>
          <w:u w:val="single" w:color="auto"/>
          <w:color w:val="auto"/>
        </w:rPr>
        <w:t>Termination Date</w:t>
      </w:r>
      <w:r>
        <w:rPr>
          <w:rFonts w:ascii="Arial" w:cs="Arial" w:eastAsia="Arial" w:hAnsi="Arial"/>
          <w:sz w:val="14"/>
          <w:szCs w:val="14"/>
          <w:color w:val="auto"/>
        </w:rPr>
        <w:t>”) but not thereafter, to subscribe for and purchase from Tower Semiconductor Ltd., an Israeli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up to ______</w:t>
      </w:r>
    </w:p>
    <w:p>
      <w:pPr>
        <w:ind w:right="160"/>
        <w:spacing w:after="0" w:line="257" w:lineRule="auto"/>
        <w:rPr>
          <w:sz w:val="20"/>
          <w:szCs w:val="20"/>
          <w:color w:val="auto"/>
        </w:rPr>
      </w:pPr>
      <w:r>
        <w:rPr>
          <w:rFonts w:ascii="Arial" w:cs="Arial" w:eastAsia="Arial" w:hAnsi="Arial"/>
          <w:sz w:val="16"/>
          <w:szCs w:val="16"/>
          <w:color w:val="auto"/>
        </w:rPr>
        <w:t>shares (the “</w:t>
      </w:r>
      <w:r>
        <w:rPr>
          <w:rFonts w:ascii="Arial" w:cs="Arial" w:eastAsia="Arial" w:hAnsi="Arial"/>
          <w:sz w:val="16"/>
          <w:szCs w:val="16"/>
          <w:u w:val="single" w:color="auto"/>
          <w:color w:val="auto"/>
        </w:rPr>
        <w:t>Warrant Shares</w:t>
      </w:r>
      <w:r>
        <w:rPr>
          <w:rFonts w:ascii="Arial" w:cs="Arial" w:eastAsia="Arial" w:hAnsi="Arial"/>
          <w:sz w:val="16"/>
          <w:szCs w:val="16"/>
          <w:color w:val="auto"/>
        </w:rPr>
        <w:t>”) of ordinary shares, par value NIS 1.00 per share, of the Company (the “</w:t>
      </w:r>
      <w:r>
        <w:rPr>
          <w:rFonts w:ascii="Arial" w:cs="Arial" w:eastAsia="Arial" w:hAnsi="Arial"/>
          <w:sz w:val="16"/>
          <w:szCs w:val="16"/>
          <w:u w:val="single" w:color="auto"/>
          <w:color w:val="auto"/>
        </w:rPr>
        <w:t>Common Stock</w:t>
      </w:r>
      <w:r>
        <w:rPr>
          <w:rFonts w:ascii="Arial" w:cs="Arial" w:eastAsia="Arial" w:hAnsi="Arial"/>
          <w:sz w:val="16"/>
          <w:szCs w:val="16"/>
          <w:color w:val="auto"/>
        </w:rPr>
        <w:t>”). The purchase price of one share of Common Stock under this Warrant shall be equal to the Exercise Price, as defined in Section 2(b).</w:t>
      </w:r>
    </w:p>
    <w:p>
      <w:pPr>
        <w:spacing w:after="0" w:line="173" w:lineRule="exact"/>
        <w:rPr>
          <w:sz w:val="20"/>
          <w:szCs w:val="20"/>
          <w:color w:val="auto"/>
        </w:rPr>
      </w:pPr>
    </w:p>
    <w:p>
      <w:pPr>
        <w:ind w:right="220" w:firstLine="155"/>
        <w:spacing w:after="0" w:line="264" w:lineRule="auto"/>
        <w:rPr>
          <w:sz w:val="20"/>
          <w:szCs w:val="20"/>
          <w:color w:val="auto"/>
        </w:rPr>
      </w:pPr>
      <w:r>
        <w:rPr>
          <w:rFonts w:ascii="Arial" w:cs="Arial" w:eastAsia="Arial" w:hAnsi="Arial"/>
          <w:sz w:val="16"/>
          <w:szCs w:val="16"/>
          <w:u w:val="single" w:color="auto"/>
          <w:color w:val="auto"/>
        </w:rPr>
        <w:t>Section 1. Definitions</w:t>
      </w:r>
      <w:r>
        <w:rPr>
          <w:rFonts w:ascii="Arial" w:cs="Arial" w:eastAsia="Arial" w:hAnsi="Arial"/>
          <w:sz w:val="16"/>
          <w:szCs w:val="16"/>
          <w:color w:val="auto"/>
        </w:rPr>
        <w:t>. Capitalized terms used and not otherwise defined herein shall have the meanings set forth in that certain Securities Purchase Agreement (the “</w:t>
      </w:r>
      <w:r>
        <w:rPr>
          <w:rFonts w:ascii="Arial" w:cs="Arial" w:eastAsia="Arial" w:hAnsi="Arial"/>
          <w:sz w:val="16"/>
          <w:szCs w:val="16"/>
          <w:u w:val="single" w:color="auto"/>
          <w:color w:val="auto"/>
        </w:rPr>
        <w:t>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March 14, 2007, among the Company and the purchasers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7575"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350"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6"/>
          <w:szCs w:val="16"/>
          <w:u w:val="single" w:color="auto"/>
          <w:color w:val="auto"/>
        </w:rPr>
        <w:t>Section 2.</w:t>
      </w:r>
      <w:r>
        <w:rPr>
          <w:sz w:val="20"/>
          <w:szCs w:val="20"/>
          <w:color w:val="auto"/>
        </w:rPr>
        <w:tab/>
      </w:r>
      <w:r>
        <w:rPr>
          <w:rFonts w:ascii="Arial" w:cs="Arial" w:eastAsia="Arial" w:hAnsi="Arial"/>
          <w:sz w:val="14"/>
          <w:szCs w:val="14"/>
          <w:u w:val="single" w:color="auto"/>
          <w:color w:val="auto"/>
        </w:rPr>
        <w:t>Exercise.</w:t>
      </w:r>
    </w:p>
    <w:p>
      <w:pPr>
        <w:spacing w:after="0" w:line="198" w:lineRule="exact"/>
        <w:rPr>
          <w:sz w:val="20"/>
          <w:szCs w:val="20"/>
          <w:color w:val="auto"/>
        </w:rPr>
      </w:pPr>
    </w:p>
    <w:p>
      <w:pPr>
        <w:ind w:left="560" w:right="120" w:firstLine="163"/>
        <w:spacing w:after="0" w:line="286" w:lineRule="auto"/>
        <w:tabs>
          <w:tab w:leader="none" w:pos="1378"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Exercise of Warrant</w:t>
      </w:r>
      <w:r>
        <w:rPr>
          <w:rFonts w:ascii="Arial" w:cs="Arial" w:eastAsia="Arial" w:hAnsi="Arial"/>
          <w:sz w:val="14"/>
          <w:szCs w:val="14"/>
          <w:color w:val="auto"/>
        </w:rPr>
        <w:t>. Exercise of the purchase rights represented by this Warrant may be made, in whole or in part (but if in part, the aggregate Exercise Price shall be in multiples of the Exercise Price, except if the exercise shall be for all of the then Warrant Shares available hereunder and the Warrant has been exercised in full), at any time or times on or after the Initial Exercise Date and on or before the Termination Date by delivery to the Company of a duly executed facsimile copy of the Notice of Exercise Form annexed hereto (or such other office or agency of the Company as it may designate by notice in writing to the registered Holder at the address of such Holder appearing on the books of the Company); and, within 3 Trading Days of the date said Notice of Exercise is delivered to the Company, the Company shall have received payment of the aggregate Exercise Price of the shares thereby purchased by wire transfer or cashier’s check drawn on a United States bank, unless this Warrant is being exercised pursuant to the cashless exercise provision set forth in Section 2(c) below.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2 Trading Days of receipt of such notice. In the case of a dispute as to the determination of the Exercise Price or the arithmetic calculation of the Warrant Shares, or as to the number of Warrant Shares exercisable under this Warrant or the Exercise Price otherwise in effect from time to time, the Company shall submit the disputed determinations or arithmetic calculations via facsimile within two Business Days of receipt of the Exercise Notice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facsimile (a) the disputed determination of the Exercise Price to an independent, reputable investment bank selected by the Company and approved by the Holder or (b) the disputed arithmetic calculation of the Warrant Shares to the Company’s independent, outside accountant, in each case with such additional documentation as reasonably requested by the Company and the Holder with respect to such dispute. The Company shall cause at its expense the investment bank or the accountant, as the case may be, to perform the determinations or calculations and notify the Company and the Holder of the results no later than ten Business Days from the time it receives the disputed determinations or calculations. Such investment bank’s or accountant’s determination or calculation, as the case may be, shall be binding upon all parties absent manifest error.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7575" cy="35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1160" w:hanging="437"/>
        <w:spacing w:after="0"/>
        <w:tabs>
          <w:tab w:leader="none" w:pos="1160"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per share of the Common Stock under this Warrant shall be $2.04, subject to adjustment hereunder (the “</w:t>
      </w:r>
      <w:r>
        <w:rPr>
          <w:rFonts w:ascii="Arial" w:cs="Arial" w:eastAsia="Arial" w:hAnsi="Arial"/>
          <w:sz w:val="14"/>
          <w:szCs w:val="14"/>
          <w:u w:val="single" w:color="auto"/>
          <w:color w:val="auto"/>
        </w:rPr>
        <w:t>Exercise Price</w:t>
      </w:r>
      <w:r>
        <w:rPr>
          <w:rFonts w:ascii="Arial" w:cs="Arial" w:eastAsia="Arial" w:hAnsi="Arial"/>
          <w:sz w:val="14"/>
          <w:szCs w:val="14"/>
          <w:color w:val="auto"/>
        </w:rPr>
        <w:t>”).</w:t>
      </w:r>
    </w:p>
    <w:p>
      <w:pPr>
        <w:spacing w:after="0" w:line="244" w:lineRule="exact"/>
        <w:rPr>
          <w:rFonts w:ascii="Arial" w:cs="Arial" w:eastAsia="Arial" w:hAnsi="Arial"/>
          <w:sz w:val="14"/>
          <w:szCs w:val="14"/>
          <w:color w:val="auto"/>
        </w:rPr>
      </w:pPr>
    </w:p>
    <w:p>
      <w:pPr>
        <w:ind w:left="560" w:right="40" w:firstLine="163"/>
        <w:spacing w:after="0" w:line="264" w:lineRule="auto"/>
        <w:tabs>
          <w:tab w:leader="none" w:pos="1146"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This Warrant may also be exercised at such time by means of a “cashless exercise” in which the Holder shall be entitled to receive a certificate for the number of Warrant Shares equal to the quotient obtained by dividing [(A-B) (X)] by (A), where:</w:t>
      </w:r>
    </w:p>
    <w:p>
      <w:pPr>
        <w:spacing w:after="0" w:line="191" w:lineRule="exact"/>
        <w:rPr>
          <w:rFonts w:ascii="Arial" w:cs="Arial" w:eastAsia="Arial" w:hAnsi="Arial"/>
          <w:sz w:val="16"/>
          <w:szCs w:val="16"/>
          <w:color w:val="auto"/>
        </w:rPr>
      </w:pPr>
    </w:p>
    <w:p>
      <w:pPr>
        <w:ind w:left="1720" w:hanging="580"/>
        <w:spacing w:after="0"/>
        <w:tabs>
          <w:tab w:leader="none" w:pos="17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VWAP on the Trading Day immediately preceding the date of such election;</w:t>
      </w:r>
    </w:p>
    <w:p>
      <w:pPr>
        <w:spacing w:after="0" w:line="221" w:lineRule="exact"/>
        <w:rPr>
          <w:rFonts w:ascii="Arial" w:cs="Arial" w:eastAsia="Arial" w:hAnsi="Arial"/>
          <w:sz w:val="16"/>
          <w:szCs w:val="16"/>
          <w:color w:val="auto"/>
        </w:rPr>
      </w:pPr>
    </w:p>
    <w:p>
      <w:pPr>
        <w:ind w:left="1720" w:hanging="580"/>
        <w:spacing w:after="0"/>
        <w:tabs>
          <w:tab w:leader="none" w:pos="17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 the Exercise Price of this Warrant, as adjusted; and</w:t>
      </w:r>
    </w:p>
    <w:p>
      <w:pPr>
        <w:spacing w:after="0" w:line="222" w:lineRule="exact"/>
        <w:rPr>
          <w:sz w:val="20"/>
          <w:szCs w:val="20"/>
          <w:color w:val="auto"/>
        </w:rPr>
      </w:pPr>
    </w:p>
    <w:p>
      <w:pPr>
        <w:ind w:left="1720" w:right="80" w:hanging="580"/>
        <w:spacing w:after="0" w:line="264" w:lineRule="auto"/>
        <w:tabs>
          <w:tab w:leader="none" w:pos="1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the number of Warrant Shares issuable upon exercise of this Warrant in accordance with the terms of this Warrant by means of a cash exercise rather than a cashless exercise.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7575"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1160" w:hanging="437"/>
        <w:spacing w:after="0"/>
        <w:tabs>
          <w:tab w:leader="none" w:pos="116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Exercise Limitations</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1140" w:right="60" w:firstLine="155"/>
        <w:spacing w:after="0" w:line="310" w:lineRule="auto"/>
        <w:tabs>
          <w:tab w:leader="none" w:pos="1687" w:val="left"/>
        </w:tabs>
        <w:numPr>
          <w:ilvl w:val="1"/>
          <w:numId w:val="58"/>
        </w:numPr>
        <w:rPr>
          <w:rFonts w:ascii="Arial" w:cs="Arial" w:eastAsia="Arial" w:hAnsi="Arial"/>
          <w:sz w:val="14"/>
          <w:szCs w:val="14"/>
          <w:color w:val="auto"/>
        </w:rPr>
      </w:pPr>
      <w:r>
        <w:rPr>
          <w:rFonts w:ascii="Arial" w:cs="Arial" w:eastAsia="Arial" w:hAnsi="Arial"/>
          <w:sz w:val="14"/>
          <w:szCs w:val="14"/>
          <w:u w:val="single" w:color="auto"/>
          <w:color w:val="auto"/>
        </w:rPr>
        <w:t>Beneficial Ownership</w:t>
      </w:r>
      <w:r>
        <w:rPr>
          <w:rFonts w:ascii="Arial" w:cs="Arial" w:eastAsia="Arial" w:hAnsi="Arial"/>
          <w:sz w:val="14"/>
          <w:szCs w:val="14"/>
          <w:color w:val="auto"/>
        </w:rPr>
        <w:t>. The Company shall not effect any exercise of this Warrant, and a Holder shall not have the right to exercise any portion of this Warrant, pursuant to Section 2(c) or otherwise, to the extent that after giving effect to such issuance after exercise as set forth on the applicable Notice of Exercise, such Holder (together with such Holder’s Affiliates, and any other person or entity acting as a group together with such Holder or any of such Holder’s Affiliates), as</w:t>
      </w:r>
    </w:p>
    <w:p>
      <w:pPr>
        <w:sectPr>
          <w:pgSz w:w="11900" w:h="16854" w:orient="portrait"/>
          <w:cols w:equalWidth="0" w:num="1">
            <w:col w:w="11440"/>
          </w:cols>
          <w:pgMar w:left="240" w:top="127" w:right="219" w:bottom="0" w:gutter="0" w:footer="0" w:header="0"/>
        </w:sectPr>
      </w:pPr>
    </w:p>
    <w:bookmarkStart w:id="72" w:name="page73"/>
    <w:bookmarkEnd w:id="72"/>
    <w:p>
      <w:pPr>
        <w:spacing w:after="0" w:line="16" w:lineRule="exact"/>
        <w:rPr>
          <w:sz w:val="20"/>
          <w:szCs w:val="20"/>
          <w:color w:val="auto"/>
        </w:rPr>
      </w:pPr>
    </w:p>
    <w:p>
      <w:pPr>
        <w:ind w:left="417" w:right="20"/>
        <w:spacing w:after="0" w:line="286" w:lineRule="auto"/>
        <w:rPr>
          <w:sz w:val="20"/>
          <w:szCs w:val="20"/>
          <w:color w:val="auto"/>
        </w:rPr>
      </w:pPr>
      <w:r>
        <w:rPr>
          <w:rFonts w:ascii="Arial" w:cs="Arial" w:eastAsia="Arial" w:hAnsi="Arial"/>
          <w:sz w:val="14"/>
          <w:szCs w:val="14"/>
          <w:color w:val="auto"/>
        </w:rPr>
        <w:t>set forth on the applicable Notice of Exercise, would beneficially own in excess of the Beneficial Ownership Limitation (as defined below). For purposes of the foregoing sentence, the number of shares of Common Stock beneficially owned by such Holder and its Affiliates shall include the number of shares of Common Stock issuable upon exercise of this Warrant with respect to which such determination is being made, but shall exclude the number of shares of Common Stock which would be issuable upon (A) exercise of the remaining, nonexercised portion of this Warrant beneficially owned by such Holder or any of its Affiliates and (B) exercise or conversion of the unexercised or nonconverted portion of any other securities of the Company (including, without limitation, any other convertible debentures or warrants) subject to a limitation on conversion or exercise analogous to the limitation contained herein beneficially owned by such Holder or any of its affiliates. Except as set forth in the preceding sentence, for purposes of this Section 2(d), beneficial ownership shall be calculated in accordance with Section 13(d) of the Exchange Act and the rules and regulations promulgated thereunder, it being acknowledged by a Holder that the Company is not representing to such Holder that such calculation is in compliance with Section 13(d) of the Exchange Act and such Holder is solely responsible for any schedules required to be filed in accordance therewith. To the extent that the limitation contained in this Section 2(d) applies, the determination of whether this Warrant is exercisable (in relation to other securities owned by such Holder together with any Affiliates) and of which a portion of this Warrant is exercisable shall be in the sole discretion of a Holder, and the submission of a Notice of Exercise shall be deemed to be each Holder’s determination of whether this Warrant is exercisable (in relation to other securities owned by such Holder together with any Affiliates) and of which portion of this Warrant is exercisable, in each case subject to such aggregate percentage limitation, and the Company shall have no obligation to verify or confirm the accuracy of such determination or any liability in connection thereto. In addition, a determination as to any group status as contemplated above shall be determined in accordance with Section 13(d) of the Exchange Act and the rules and regulations promulgated thereunder. For purposes of this Section 2(d), in determining the number of outstanding shares of Common Stock, a Holder may rely on the number of outstanding shares of Common Stock as reflected in the later dated of (x) the Company’s most recent Form 20-F (y) a more recent public announcement by the Company or (z) any other notice by the Company or the Company’s Transfer Agent setting forth the number of shares of Common Stock outstanding. Upon the written or oral request of a Holder, the Company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Company, including this Warrant, by such Holder or its Affiliates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exercise of this Warrant. The Beneficial Ownership Limitation provisions of this Section 2(d) may be waived by such Holder, at the election of such Holder, upon not less than 61 days’ prior notice to the Company to change the Beneficial Ownership Limitation to 9.99% of the number of shares of the Common Stock outstanding immediately after giving effect to the issuance of shares of Common Stock upon exercise of this Warrant, and the provisions of this Section 2(d) shall continue to apply. Upon such a change by a Holder of the Beneficial Ownership Limitation from such 4.99% limitation to such 9.99% limitation, the Beneficial Ownership Limitation may not be further waived by such Holder. The provisions of this paragraph shall be construed and implemented in a manner otherwise than in strict conformity with the terms of this Section 2(d)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75" w:lineRule="exact"/>
        <w:rPr>
          <w:sz w:val="20"/>
          <w:szCs w:val="20"/>
          <w:color w:val="auto"/>
        </w:rPr>
      </w:pPr>
    </w:p>
    <w:p>
      <w:pPr>
        <w:ind w:left="4957"/>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104775</wp:posOffset>
            </wp:positionV>
            <wp:extent cx="7267575" cy="35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417" w:right="40" w:firstLine="155"/>
        <w:spacing w:after="0" w:line="287" w:lineRule="auto"/>
        <w:tabs>
          <w:tab w:leader="none" w:pos="1007" w:val="left"/>
        </w:tabs>
        <w:numPr>
          <w:ilvl w:val="0"/>
          <w:numId w:val="59"/>
        </w:numPr>
        <w:rPr>
          <w:rFonts w:ascii="Arial" w:cs="Arial" w:eastAsia="Arial" w:hAnsi="Arial"/>
          <w:sz w:val="14"/>
          <w:szCs w:val="14"/>
          <w:color w:val="auto"/>
        </w:rPr>
      </w:pPr>
      <w:r>
        <w:rPr>
          <w:rFonts w:ascii="Arial" w:cs="Arial" w:eastAsia="Arial" w:hAnsi="Arial"/>
          <w:sz w:val="14"/>
          <w:szCs w:val="14"/>
          <w:u w:val="single" w:color="auto"/>
          <w:color w:val="auto"/>
        </w:rPr>
        <w:t>Principal Market Regulation</w:t>
      </w:r>
      <w:r>
        <w:rPr>
          <w:rFonts w:ascii="Arial" w:cs="Arial" w:eastAsia="Arial" w:hAnsi="Arial"/>
          <w:sz w:val="14"/>
          <w:szCs w:val="14"/>
          <w:color w:val="auto"/>
        </w:rPr>
        <w:t>. The Company shall not be obligated to issue any shares of Common Stock upon exercise of this Warrant and no Buyer shall be entitled to receive any shares of Common Stock if the issuance of such shares of Common Stock together with the Common Stock issued pursuant to the Purchase Agreement would exceed that number of shares of Common Stock which the Company may issue upon exercise of the SPA Warrants without breaching the Company’s obligations under the rules or regulations of any applicable Trading Market (the “</w:t>
      </w:r>
      <w:r>
        <w:rPr>
          <w:rFonts w:ascii="Arial" w:cs="Arial" w:eastAsia="Arial" w:hAnsi="Arial"/>
          <w:sz w:val="14"/>
          <w:szCs w:val="14"/>
          <w:u w:val="single" w:color="auto"/>
          <w:color w:val="auto"/>
        </w:rPr>
        <w:t>Exchange Cap</w:t>
      </w:r>
      <w:r>
        <w:rPr>
          <w:rFonts w:ascii="Arial" w:cs="Arial" w:eastAsia="Arial" w:hAnsi="Arial"/>
          <w:sz w:val="14"/>
          <w:szCs w:val="14"/>
          <w:color w:val="auto"/>
        </w:rPr>
        <w:t>”), except that such limitation shall not apply in the event that the Company (A) obtains the approval of its stockholders as required by the applicable rules of the Trading Market for issuances of shares of Common Stock in excess of such amount or (B) obtains a written opinion from outside counsel to the Company that such approval is not required, which opinion shall be reasonably satisfactory to the holders of the SPA Warrants representing at least a majority of shares of Common Stock underlying the SPA Warrants then outstanding (the “</w:t>
      </w:r>
      <w:r>
        <w:rPr>
          <w:rFonts w:ascii="Arial" w:cs="Arial" w:eastAsia="Arial" w:hAnsi="Arial"/>
          <w:sz w:val="14"/>
          <w:szCs w:val="14"/>
          <w:u w:val="single" w:color="auto"/>
          <w:color w:val="auto"/>
        </w:rPr>
        <w:t>Required Holders</w:t>
      </w:r>
      <w:r>
        <w:rPr>
          <w:rFonts w:ascii="Arial" w:cs="Arial" w:eastAsia="Arial" w:hAnsi="Arial"/>
          <w:sz w:val="14"/>
          <w:szCs w:val="14"/>
          <w:color w:val="auto"/>
        </w:rPr>
        <w:t>”). Until such approval or written opinion is obtained, no Holder shall be issued in the aggregate, upon exercise of any SPA Warrants, shares of Common Stock in an amount greater than the product of the Exchange Cap multiplied by a fraction, the numerator of which is the total number of shares of Common Stock underlying the SPA Warrants issued to such Holder pursuant to the Securities Purchase Agreement on the date the SPA Warrants were first issued (the “</w:t>
      </w:r>
      <w:r>
        <w:rPr>
          <w:rFonts w:ascii="Arial" w:cs="Arial" w:eastAsia="Arial" w:hAnsi="Arial"/>
          <w:sz w:val="14"/>
          <w:szCs w:val="14"/>
          <w:u w:val="single" w:color="auto"/>
          <w:color w:val="auto"/>
        </w:rPr>
        <w:t>Issuance Date</w:t>
      </w:r>
      <w:r>
        <w:rPr>
          <w:rFonts w:ascii="Arial" w:cs="Arial" w:eastAsia="Arial" w:hAnsi="Arial"/>
          <w:sz w:val="14"/>
          <w:szCs w:val="14"/>
          <w:color w:val="auto"/>
        </w:rPr>
        <w:t>”) and the denominator of which is the aggregate number of shares of Common Stock underlying the SPA Warrants issued to the Holders pursuant to the Securities Purchase Agreement on the Issuance Date (with respect to each Buyer, the “</w:t>
      </w:r>
      <w:r>
        <w:rPr>
          <w:rFonts w:ascii="Arial" w:cs="Arial" w:eastAsia="Arial" w:hAnsi="Arial"/>
          <w:sz w:val="14"/>
          <w:szCs w:val="14"/>
          <w:u w:val="single" w:color="auto"/>
          <w:color w:val="auto"/>
        </w:rPr>
        <w:t>Exchange Cap Allocation</w:t>
      </w:r>
      <w:r>
        <w:rPr>
          <w:rFonts w:ascii="Arial" w:cs="Arial" w:eastAsia="Arial" w:hAnsi="Arial"/>
          <w:sz w:val="14"/>
          <w:szCs w:val="14"/>
          <w:color w:val="auto"/>
        </w:rPr>
        <w:t>”). In the event that any Buyer shall sell or otherwise transfer any of such Buyer’s SPA Warrants, the transferee shall be allocated a pro rata portion of such Buyer’s Exchange Cap Allocation, and the restrictions of the prior sentence shall apply to such transferee with respect to the portion of the Exchange Cap Allocation allocated to such transferee. In the event that any holder of SPA Warrants shall exercise all of such holder’s SPA Warrants into a number of shares of Common Stock which, in the aggregate, is less than such holder’s Exchange Cap Allocation, then the difference between such holder’s Exchange Cap Allocation and the number of shares of Common Stock actually issued to such holder shall be allocated to the respective Exchange Cap Allocations of the remaining holders of SPA Warrants on a pro rata basis in proportion to the shares of Common Stock underlying the SPA Warrants then held by each such holder. In the event that the Company is prohibited from issuing any Warrant Shares for which an Exercise Notice has been received as a result of the operation of this Section 2(d)(2), the Company shall pay cash in exchange for cancellation of such Warrant Shares, at a price per Warrant Share equal to the difference between the VWAP and the Exercise Price as of the date of the attempted exercise. As used herein, “</w:t>
      </w:r>
      <w:r>
        <w:rPr>
          <w:rFonts w:ascii="Arial" w:cs="Arial" w:eastAsia="Arial" w:hAnsi="Arial"/>
          <w:sz w:val="14"/>
          <w:szCs w:val="14"/>
          <w:u w:val="single" w:color="auto"/>
          <w:color w:val="auto"/>
        </w:rPr>
        <w:t>SPA Warrants</w:t>
      </w:r>
      <w:r>
        <w:rPr>
          <w:rFonts w:ascii="Arial" w:cs="Arial" w:eastAsia="Arial" w:hAnsi="Arial"/>
          <w:sz w:val="14"/>
          <w:szCs w:val="14"/>
          <w:color w:val="auto"/>
        </w:rPr>
        <w:t>” means, the Warrants to purchase Common Stock issued pursuant to the Purchase Agreement.</w:t>
      </w:r>
    </w:p>
    <w:p>
      <w:pPr>
        <w:spacing w:after="0" w:line="370" w:lineRule="exact"/>
        <w:rPr>
          <w:sz w:val="20"/>
          <w:szCs w:val="20"/>
          <w:color w:val="auto"/>
        </w:rPr>
      </w:pPr>
    </w:p>
    <w:p>
      <w:pPr>
        <w:ind w:left="4957"/>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104775</wp:posOffset>
            </wp:positionV>
            <wp:extent cx="7267575"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417" w:right="20" w:firstLine="155"/>
        <w:spacing w:after="0" w:line="287" w:lineRule="auto"/>
        <w:tabs>
          <w:tab w:leader="none" w:pos="1050" w:val="left"/>
        </w:tabs>
        <w:numPr>
          <w:ilvl w:val="2"/>
          <w:numId w:val="60"/>
        </w:numPr>
        <w:rPr>
          <w:rFonts w:ascii="Arial" w:cs="Arial" w:eastAsia="Arial" w:hAnsi="Arial"/>
          <w:sz w:val="14"/>
          <w:szCs w:val="14"/>
          <w:color w:val="auto"/>
        </w:rPr>
      </w:pPr>
      <w:r>
        <w:rPr>
          <w:rFonts w:ascii="Arial" w:cs="Arial" w:eastAsia="Arial" w:hAnsi="Arial"/>
          <w:sz w:val="14"/>
          <w:szCs w:val="14"/>
          <w:color w:val="auto"/>
        </w:rPr>
        <w:t>Notwithstanding the foregoing provisions of this Section 2, until such time as the Company shall have delivered written notice to the Holder that the Board of Directors has authorized such number of shares of Common Stock available to be issued in connection with the Transaction Documents as to permit the exercise of this Warrant for cash pursuant to Section 2(b) above, (i) this Warrant may only be exercised by the Holder on a “cashless” basis pursuant to Section 2(c) above and</w:t>
      </w:r>
    </w:p>
    <w:p>
      <w:pPr>
        <w:ind w:left="417" w:right="20"/>
        <w:spacing w:after="0" w:line="290" w:lineRule="auto"/>
        <w:tabs>
          <w:tab w:leader="none" w:pos="645" w:val="left"/>
        </w:tabs>
        <w:numPr>
          <w:ilvl w:val="1"/>
          <w:numId w:val="61"/>
        </w:numPr>
        <w:rPr>
          <w:rFonts w:ascii="Arial" w:cs="Arial" w:eastAsia="Arial" w:hAnsi="Arial"/>
          <w:sz w:val="14"/>
          <w:szCs w:val="14"/>
          <w:color w:val="auto"/>
        </w:rPr>
      </w:pPr>
      <w:r>
        <w:rPr>
          <w:rFonts w:ascii="Arial" w:cs="Arial" w:eastAsia="Arial" w:hAnsi="Arial"/>
          <w:sz w:val="14"/>
          <w:szCs w:val="14"/>
          <w:color w:val="auto"/>
        </w:rPr>
        <w:t>if the VWAP exceeds $5.75 on the Trading Day prior to the applicable date of exercise of this Warrant, then, upon any such exercise of this Warrant, the Company shall deliver to the Holder 63% of the Warrant Shares that would have been issued had such portion of this Warrant been exercised for cash pursuant to Section 2(b) above and shall pay to the Holder cash in an amount equal to the product of (A) an amount per Warrant equal to the Black-Scholes Value (as defined below) per Warrant on such date and (B) a number equal to 37% of the Warrant Shares that would have been issued had such portion of this Warrant been exercised for cash pursuant to Section 2(b) above. As used in this Section 2(d)(iii)(A), “Black-Scholes Value” means the value per Warrant obtained from the “OV” function on Bloomberg using (i) a price per share of Common Stock equal to the VWAP of the Common Stock for the Trading Day on the applicable date, (ii) a risk-free interest rate corresponding to the U.S. Treasury rate for a period equal to the remaining term of this Warrant as of the applicable date and (iii) an expected volatility equal to the greater of 45% and the 100 day volatility obtained from the HVT function on Bloomberg determined as of applicable date..</w:t>
      </w:r>
    </w:p>
    <w:p>
      <w:pPr>
        <w:spacing w:after="0" w:line="179" w:lineRule="exact"/>
        <w:rPr>
          <w:rFonts w:ascii="Arial" w:cs="Arial" w:eastAsia="Arial" w:hAnsi="Arial"/>
          <w:sz w:val="14"/>
          <w:szCs w:val="14"/>
          <w:color w:val="auto"/>
        </w:rPr>
      </w:pPr>
    </w:p>
    <w:p>
      <w:pPr>
        <w:ind w:left="437" w:hanging="437"/>
        <w:spacing w:after="0"/>
        <w:tabs>
          <w:tab w:leader="none" w:pos="437"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417" w:firstLine="155"/>
        <w:spacing w:after="0" w:line="254" w:lineRule="auto"/>
        <w:tabs>
          <w:tab w:leader="none" w:pos="964" w:val="left"/>
        </w:tabs>
        <w:numPr>
          <w:ilvl w:val="2"/>
          <w:numId w:val="62"/>
        </w:numPr>
        <w:rPr>
          <w:rFonts w:ascii="Arial" w:cs="Arial" w:eastAsia="Arial" w:hAnsi="Arial"/>
          <w:sz w:val="16"/>
          <w:szCs w:val="16"/>
          <w:color w:val="auto"/>
        </w:rPr>
      </w:pPr>
      <w:r>
        <w:rPr>
          <w:rFonts w:ascii="Arial" w:cs="Arial" w:eastAsia="Arial" w:hAnsi="Arial"/>
          <w:sz w:val="16"/>
          <w:szCs w:val="16"/>
          <w:u w:val="single" w:color="auto"/>
          <w:color w:val="auto"/>
        </w:rPr>
        <w:t>Authorization of Warrant Shares</w:t>
      </w:r>
      <w:r>
        <w:rPr>
          <w:rFonts w:ascii="Arial" w:cs="Arial" w:eastAsia="Arial" w:hAnsi="Arial"/>
          <w:sz w:val="16"/>
          <w:szCs w:val="16"/>
          <w:color w:val="auto"/>
        </w:rPr>
        <w:t>. The Company covenants that all Warrant Shares which may be issued upon the exercise of the purchase rights represented by this Warrant will, upon exercise of the purchase rights represented by this Warrant and payment of the aggregate Exercise Price,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90" w:lineRule="exact"/>
        <w:rPr>
          <w:sz w:val="20"/>
          <w:szCs w:val="20"/>
          <w:color w:val="auto"/>
        </w:rPr>
      </w:pPr>
    </w:p>
    <w:p>
      <w:pPr>
        <w:ind w:left="4957"/>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104775</wp:posOffset>
            </wp:positionV>
            <wp:extent cx="7267575"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417" w:right="40" w:firstLine="155"/>
        <w:spacing w:after="0" w:line="310" w:lineRule="auto"/>
        <w:tabs>
          <w:tab w:leader="none" w:pos="1007" w:val="left"/>
        </w:tabs>
        <w:numPr>
          <w:ilvl w:val="0"/>
          <w:numId w:val="63"/>
        </w:numPr>
        <w:rPr>
          <w:rFonts w:ascii="Arial" w:cs="Arial" w:eastAsia="Arial" w:hAnsi="Arial"/>
          <w:sz w:val="14"/>
          <w:szCs w:val="14"/>
          <w:color w:val="auto"/>
        </w:rPr>
      </w:pPr>
      <w:r>
        <w:rPr>
          <w:rFonts w:ascii="Arial" w:cs="Arial" w:eastAsia="Arial" w:hAnsi="Arial"/>
          <w:sz w:val="14"/>
          <w:szCs w:val="14"/>
          <w:u w:val="single" w:color="auto"/>
          <w:color w:val="auto"/>
        </w:rPr>
        <w:t>Delivery of Certificates Upon Exercise</w:t>
      </w:r>
      <w:r>
        <w:rPr>
          <w:rFonts w:ascii="Arial" w:cs="Arial" w:eastAsia="Arial" w:hAnsi="Arial"/>
          <w:sz w:val="14"/>
          <w:szCs w:val="14"/>
          <w:color w:val="auto"/>
        </w:rPr>
        <w:t>. Certificates for shares purchased hereunder shall be transmitted by the transfer agent of the Company to the Holder, if such shares are issuable without legend pursuant to Section 4.1(c) of the Purchase Agreement, by crediting the account in the Holder’s name held at the Holder’s prime broker with the Depository Trust Company through its Deposit Withdrawal Agent Commission (“</w:t>
      </w:r>
      <w:r>
        <w:rPr>
          <w:rFonts w:ascii="Arial" w:cs="Arial" w:eastAsia="Arial" w:hAnsi="Arial"/>
          <w:sz w:val="14"/>
          <w:szCs w:val="14"/>
          <w:u w:val="single" w:color="auto"/>
          <w:color w:val="auto"/>
        </w:rPr>
        <w:t>DWAC</w:t>
      </w:r>
      <w:r>
        <w:rPr>
          <w:rFonts w:ascii="Arial" w:cs="Arial" w:eastAsia="Arial" w:hAnsi="Arial"/>
          <w:sz w:val="14"/>
          <w:szCs w:val="14"/>
          <w:color w:val="auto"/>
        </w:rPr>
        <w:t>”) system if the Company is a participant in such</w:t>
      </w:r>
    </w:p>
    <w:p>
      <w:pPr>
        <w:sectPr>
          <w:pgSz w:w="11900" w:h="16854" w:orient="portrait"/>
          <w:cols w:equalWidth="0" w:num="1">
            <w:col w:w="10717"/>
          </w:cols>
          <w:pgMar w:left="963" w:top="133" w:right="219" w:bottom="0" w:gutter="0" w:footer="0" w:header="0"/>
        </w:sectPr>
      </w:pPr>
    </w:p>
    <w:bookmarkStart w:id="73" w:name="page74"/>
    <w:bookmarkEnd w:id="73"/>
    <w:p>
      <w:pPr>
        <w:ind w:left="980"/>
        <w:spacing w:after="0"/>
        <w:rPr>
          <w:sz w:val="20"/>
          <w:szCs w:val="20"/>
          <w:color w:val="auto"/>
        </w:rPr>
      </w:pPr>
      <w:r>
        <w:rPr>
          <w:rFonts w:ascii="Arial" w:cs="Arial" w:eastAsia="Arial" w:hAnsi="Arial"/>
          <w:sz w:val="14"/>
          <w:szCs w:val="14"/>
          <w:color w:val="auto"/>
        </w:rPr>
        <w:t>system or if not issuable without legend, by physical delivery to the address specified by the Holder in the Notice of Exercise within 3 Trading Days from the</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delivery to the Company of the Notice of Exercise Form, surrender of this Warrant (if required) and payment of the aggregate Exercise Price as set forth above</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Warrant Share Delivery Date</w:t>
      </w:r>
      <w:r>
        <w:rPr>
          <w:rFonts w:ascii="Arial" w:cs="Arial" w:eastAsia="Arial" w:hAnsi="Arial"/>
          <w:sz w:val="14"/>
          <w:szCs w:val="14"/>
          <w:color w:val="auto"/>
        </w:rPr>
        <w:t>”). This Warrant shall be deemed to have been exercised on the date the Exercise Price is received by the Company or (b) notification</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to the Company that this Warrant is being exercised pursuant to a cashless exercise provision set forth in Section 2(c) above. The Warrant Shares shall be deemed to</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have been issued, and Holder or any other person so designated to be named therein shall be deemed to have become a holder of record of such shares for all</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3"/>
          <w:szCs w:val="13"/>
          <w:color w:val="auto"/>
        </w:rPr>
        <w:t>purposes, as of the date the Warrant has been exercised by payment to the Company of the Exercise Price (or by cashless exercise, if permitted) and all taxes required</w:t>
      </w:r>
    </w:p>
    <w:p>
      <w:pPr>
        <w:spacing w:after="0" w:line="4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to be paid by the Holder, if any, pursuant to Section 2(e)(vi) prior to the issuance of such shares, have been paid. The Holder hereby acknowledges that if the</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Registration Statement is not declared effective by the Commission, the Warrant Shares will not be registered under the Securities Act and unregistered shares will be</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issued upon exercise of the Warrant.</w:t>
      </w:r>
    </w:p>
    <w:p>
      <w:pPr>
        <w:spacing w:after="0" w:line="216" w:lineRule="exact"/>
        <w:rPr>
          <w:sz w:val="20"/>
          <w:szCs w:val="20"/>
          <w:color w:val="auto"/>
        </w:rPr>
      </w:pPr>
    </w:p>
    <w:p>
      <w:pPr>
        <w:ind w:left="980" w:right="40" w:firstLine="155"/>
        <w:spacing w:after="0" w:line="288" w:lineRule="auto"/>
        <w:tabs>
          <w:tab w:leader="none" w:pos="1613" w:val="left"/>
        </w:tabs>
        <w:numPr>
          <w:ilvl w:val="0"/>
          <w:numId w:val="64"/>
        </w:numPr>
        <w:rPr>
          <w:rFonts w:ascii="Arial" w:cs="Arial" w:eastAsia="Arial" w:hAnsi="Arial"/>
          <w:sz w:val="14"/>
          <w:szCs w:val="14"/>
          <w:color w:val="auto"/>
        </w:rPr>
      </w:pPr>
      <w:r>
        <w:rPr>
          <w:rFonts w:ascii="Arial" w:cs="Arial" w:eastAsia="Arial" w:hAnsi="Arial"/>
          <w:sz w:val="14"/>
          <w:szCs w:val="14"/>
          <w:u w:val="single" w:color="auto"/>
          <w:color w:val="auto"/>
        </w:rPr>
        <w:t>Company’s Failure to Timely Deliver Securities</w:t>
      </w:r>
      <w:r>
        <w:rPr>
          <w:rFonts w:ascii="Arial" w:cs="Arial" w:eastAsia="Arial" w:hAnsi="Arial"/>
          <w:sz w:val="14"/>
          <w:szCs w:val="14"/>
          <w:color w:val="auto"/>
        </w:rPr>
        <w:t xml:space="preserve">. If within three (3) Trading Days of receipt of the Notice of Exercise Form and the aggregate Exercise Price the Company shall fail for any reason or for no reason to issue and deliver a certificate to the Holder and register such shares of Common Stock on the Company’s share register or credit the Holder’s balance account with Depository Trust Company for the number of shares of Common Stock to which the Holder is entitled upon the Holder’s exercise hereunder, and if on or after such third Trading Day the Holder purchases (in an open market transaction or otherwise) shares of Common Stock to deliver in satisfaction of a sale by the Holder of shares of Common Stock issuable upon such exercise that the Holder anticipated receiving from the Company (a </w:t>
      </w:r>
      <w:r>
        <w:rPr>
          <w:rFonts w:ascii="Arial" w:cs="Arial" w:eastAsia="Arial" w:hAnsi="Arial"/>
          <w:sz w:val="14"/>
          <w:szCs w:val="14"/>
          <w:b w:val="1"/>
          <w:bCs w:val="1"/>
          <w:color w:val="auto"/>
        </w:rPr>
        <w:t>“Buy-In”</w:t>
      </w:r>
      <w:r>
        <w:rPr>
          <w:rFonts w:ascii="Arial" w:cs="Arial" w:eastAsia="Arial" w:hAnsi="Arial"/>
          <w:sz w:val="14"/>
          <w:szCs w:val="14"/>
          <w:color w:val="auto"/>
        </w:rPr>
        <w:t xml:space="preserve">), then the Company shall, within three (3) Business Days after the Holder’s request and in the Company’s discretion, either (i) pay cash to the Holder in an amount equal to the Holder’s total purchase price (including brokerage commissions, if any) for the shares of Common Stock so purchased (the </w:t>
      </w:r>
      <w:r>
        <w:rPr>
          <w:rFonts w:ascii="Arial" w:cs="Arial" w:eastAsia="Arial" w:hAnsi="Arial"/>
          <w:sz w:val="14"/>
          <w:szCs w:val="14"/>
          <w:b w:val="1"/>
          <w:bCs w:val="1"/>
          <w:color w:val="auto"/>
        </w:rPr>
        <w:t>“Buy-In Price”</w:t>
      </w:r>
      <w:r>
        <w:rPr>
          <w:rFonts w:ascii="Arial" w:cs="Arial" w:eastAsia="Arial" w:hAnsi="Arial"/>
          <w:sz w:val="14"/>
          <w:szCs w:val="14"/>
          <w:color w:val="auto"/>
        </w:rPr>
        <w:t>), at which point the Company’s obligation to deliver such certificate (and to issue such shares of Common Stock) shall terminate, or (ii) follow the</w:t>
      </w:r>
      <w:r>
        <w:rPr>
          <w:rFonts w:ascii="Arial" w:cs="Arial" w:eastAsia="Arial" w:hAnsi="Arial"/>
          <w:sz w:val="14"/>
          <w:szCs w:val="14"/>
          <w:b w:val="1"/>
          <w:bCs w:val="1"/>
          <w:color w:val="auto"/>
        </w:rPr>
        <w:t xml:space="preserve"> </w:t>
      </w:r>
      <w:r>
        <w:rPr>
          <w:rFonts w:ascii="Arial" w:cs="Arial" w:eastAsia="Arial" w:hAnsi="Arial"/>
          <w:sz w:val="14"/>
          <w:szCs w:val="14"/>
          <w:color w:val="auto"/>
        </w:rPr>
        <w:t>procedures set forth in the remainder of the this section. If the Company elects pursuant to clause (ii) above to follow these procedures, the Company shall promptly deliver to the Holder an unlegended certificate or unlegended certificates for a number of shares of Common Stock (the “Buy-In Shares”) equal to the number of shares which the Company failed to deliver on a timely basis and a cash payment equal to (x) the Buy-In-Price less (y) the VWAP on the on the Trading Day prior to the actual delivery of such certificate or certificates multiplied by the Buy-In-Shares. If the Holder elects to sell all or some of the Buy-In-Share it shall promptly so notify the Company and shall proceed to make reasonable efforts to sell such shares as soon as possible. The Holder shall then notify the Company if the net proceeds received by the Holder upon the sale of the Buy-In Shares are less than the Buy-In-Price less any cash payment made pursuant to the preceding sentence (such difference, the “</w:t>
      </w:r>
      <w:r>
        <w:rPr>
          <w:rFonts w:ascii="Arial" w:cs="Arial" w:eastAsia="Arial" w:hAnsi="Arial"/>
          <w:sz w:val="14"/>
          <w:szCs w:val="14"/>
          <w:b w:val="1"/>
          <w:bCs w:val="1"/>
          <w:color w:val="auto"/>
        </w:rPr>
        <w:t>Buy-In Shortfall</w:t>
      </w:r>
      <w:r>
        <w:rPr>
          <w:rFonts w:ascii="Arial" w:cs="Arial" w:eastAsia="Arial" w:hAnsi="Arial"/>
          <w:sz w:val="14"/>
          <w:szCs w:val="14"/>
          <w:color w:val="auto"/>
        </w:rPr>
        <w:t>”), in which case the Company shall then pay to the Holder an additional cash payment equal to the Buy-In Shortfall.</w:t>
      </w:r>
    </w:p>
    <w:p>
      <w:pPr>
        <w:spacing w:after="0" w:line="37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104775</wp:posOffset>
            </wp:positionV>
            <wp:extent cx="7267575"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980" w:right="120" w:firstLine="155"/>
        <w:spacing w:after="0" w:line="254" w:lineRule="auto"/>
        <w:tabs>
          <w:tab w:leader="none" w:pos="1594"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Delivery of New Warrants Upon Exercise</w:t>
      </w:r>
      <w:r>
        <w:rPr>
          <w:rFonts w:ascii="Arial" w:cs="Arial" w:eastAsia="Arial" w:hAnsi="Arial"/>
          <w:sz w:val="16"/>
          <w:szCs w:val="16"/>
          <w:color w:val="auto"/>
        </w:rPr>
        <w:t>. If this Warrant shall have been exercised in part, the Company shall, at the request of a Holder and upon surrender of this Warrant certificate, at the time of delivery of the certificate or certificates representing Warrant Shares, deliver to Holder a new Warrant evidencing the rights of Holder to purchase the unpurchased Warrant Shares called for by this Warrant, which new Warrant shall in all other respects be identical with this Warrant.</w:t>
      </w:r>
    </w:p>
    <w:p>
      <w:pPr>
        <w:spacing w:after="0" w:line="199" w:lineRule="exact"/>
        <w:rPr>
          <w:rFonts w:ascii="Arial" w:cs="Arial" w:eastAsia="Arial" w:hAnsi="Arial"/>
          <w:sz w:val="16"/>
          <w:szCs w:val="16"/>
          <w:color w:val="auto"/>
        </w:rPr>
      </w:pPr>
    </w:p>
    <w:p>
      <w:pPr>
        <w:ind w:left="980" w:right="420" w:firstLine="155"/>
        <w:spacing w:after="0" w:line="336" w:lineRule="auto"/>
        <w:tabs>
          <w:tab w:leader="none" w:pos="1551"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Rescission Rights</w:t>
      </w:r>
      <w:r>
        <w:rPr>
          <w:rFonts w:ascii="Arial" w:cs="Arial" w:eastAsia="Arial" w:hAnsi="Arial"/>
          <w:sz w:val="14"/>
          <w:szCs w:val="14"/>
          <w:color w:val="auto"/>
        </w:rPr>
        <w:t>. If the Company fails to cause its transfer agent to transmit to the Holder a certificate or certificates representing the Warrant Shares pursuant to this Section 2(e) by the Warrant Share Delivery Date, then the Holder will have the right to rescind such exercise.</w:t>
      </w:r>
    </w:p>
    <w:p>
      <w:pPr>
        <w:spacing w:after="0" w:line="145" w:lineRule="exact"/>
        <w:rPr>
          <w:rFonts w:ascii="Arial" w:cs="Arial" w:eastAsia="Arial" w:hAnsi="Arial"/>
          <w:sz w:val="14"/>
          <w:szCs w:val="14"/>
          <w:color w:val="auto"/>
        </w:rPr>
      </w:pPr>
    </w:p>
    <w:p>
      <w:pPr>
        <w:jc w:val="both"/>
        <w:ind w:left="980" w:right="440" w:firstLine="155"/>
        <w:spacing w:after="0" w:line="310" w:lineRule="auto"/>
        <w:tabs>
          <w:tab w:leader="none" w:pos="1604"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No Fractional Shares or Scrip</w:t>
      </w:r>
      <w:r>
        <w:rPr>
          <w:rFonts w:ascii="Arial" w:cs="Arial" w:eastAsia="Arial" w:hAnsi="Arial"/>
          <w:sz w:val="14"/>
          <w:szCs w:val="14"/>
          <w:color w:val="auto"/>
        </w:rPr>
        <w:t>. No fractional shares or scrip representing fractional shares shall be issued upon the exercise of this Warrant. As to any fraction of a share which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63" w:lineRule="exact"/>
        <w:rPr>
          <w:rFonts w:ascii="Arial" w:cs="Arial" w:eastAsia="Arial" w:hAnsi="Arial"/>
          <w:sz w:val="14"/>
          <w:szCs w:val="14"/>
          <w:color w:val="auto"/>
        </w:rPr>
      </w:pPr>
    </w:p>
    <w:p>
      <w:pPr>
        <w:ind w:left="980" w:right="40" w:firstLine="155"/>
        <w:spacing w:after="0" w:line="291" w:lineRule="auto"/>
        <w:tabs>
          <w:tab w:leader="none" w:pos="1647"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Charges, Taxes and Expenses</w:t>
      </w:r>
      <w:r>
        <w:rPr>
          <w:rFonts w:ascii="Arial" w:cs="Arial" w:eastAsia="Arial" w:hAnsi="Arial"/>
          <w:sz w:val="14"/>
          <w:szCs w:val="14"/>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Holder shall be liable for any and all income tax, capital gains tax or like taxes in connection with (a) the exercise of the Warrant, (b) the issuance of the Warrant Shares and payment therefor, (c) the sale, transfer, exchange or other disposition of the Warrant or the Warrant Shares. In no event shall the Company be responsible for any broker or similar commissions and such shall be borne by the Holder.</w:t>
      </w:r>
    </w:p>
    <w:p>
      <w:pPr>
        <w:spacing w:after="0" w:line="37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104775</wp:posOffset>
            </wp:positionV>
            <wp:extent cx="7267575"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980" w:right="520" w:firstLine="155"/>
        <w:spacing w:after="0" w:line="264" w:lineRule="auto"/>
        <w:tabs>
          <w:tab w:leader="none" w:pos="169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Closing of Books</w:t>
      </w:r>
      <w:r>
        <w:rPr>
          <w:rFonts w:ascii="Arial" w:cs="Arial" w:eastAsia="Arial" w:hAnsi="Arial"/>
          <w:sz w:val="16"/>
          <w:szCs w:val="16"/>
          <w:color w:val="auto"/>
        </w:rPr>
        <w:t>. The Company will not close its stockholder books or records in any manner which prevents the timely exercise of this Warrant, pursuant to the terms hereof.</w:t>
      </w:r>
    </w:p>
    <w:p>
      <w:pPr>
        <w:spacing w:after="0" w:line="38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u w:val="single" w:color="auto"/>
          <w:color w:val="auto"/>
        </w:rPr>
        <w:t>Section 3.</w:t>
      </w:r>
      <w:r>
        <w:rPr>
          <w:sz w:val="20"/>
          <w:szCs w:val="20"/>
          <w:color w:val="auto"/>
        </w:rPr>
        <w:tab/>
      </w:r>
      <w:r>
        <w:rPr>
          <w:rFonts w:ascii="Arial" w:cs="Arial" w:eastAsia="Arial" w:hAnsi="Arial"/>
          <w:sz w:val="14"/>
          <w:szCs w:val="14"/>
          <w:u w:val="single" w:color="auto"/>
          <w:color w:val="auto"/>
        </w:rPr>
        <w:t>Certain Adjustments.</w:t>
      </w:r>
    </w:p>
    <w:p>
      <w:pPr>
        <w:spacing w:after="0" w:line="198" w:lineRule="exact"/>
        <w:rPr>
          <w:sz w:val="20"/>
          <w:szCs w:val="20"/>
          <w:color w:val="auto"/>
        </w:rPr>
      </w:pPr>
    </w:p>
    <w:p>
      <w:pPr>
        <w:ind w:left="400" w:right="20" w:firstLine="163"/>
        <w:spacing w:after="0" w:line="289" w:lineRule="auto"/>
        <w:tabs>
          <w:tab w:leader="none" w:pos="1218"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Stock Dividends and Splits</w:t>
      </w:r>
      <w:r>
        <w:rPr>
          <w:rFonts w:ascii="Arial" w:cs="Arial" w:eastAsia="Arial" w:hAnsi="Arial"/>
          <w:sz w:val="14"/>
          <w:szCs w:val="14"/>
          <w:color w:val="auto"/>
        </w:rPr>
        <w:t>. If the Company, at any time while this Warrant is outstanding: (A) pays a stock dividend or otherwise make a distribution or distributions on shares of its Common Stock or any other equity or equity equivalent securities payable in shares of Common Stock (which, for avoidance of doubt, shall not include any shares of Common Stock issued by the Company upon exercise of this Warrant), (B) subdivides outstanding shares of Common Stock into a larger number of shares, (C) combines (including by way of reverse stock split) outstanding shares of Common Stock into a smaller number of shares, or (D)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Any adjustment made pursuant to this Section 3(a) shall become effective immediately after the record date for the determination of stockholders entitled to receive such dividend or distribution (provided, however, that if such record date is fixed and such dividend is not fully paid or if such distribution is not fully made on the date fixed therefor, the Exercise Price shall be recomputed accordingly as of the close of business on such record date and thereafter the Exercise Price shall be adjusted pursuant to this Section as of the time of the actual payment of such dividends or distribution) and shall become effective immediately after the effective date in the case of a subdivision, combination or re-classification.</w:t>
      </w:r>
    </w:p>
    <w:p>
      <w:pPr>
        <w:spacing w:after="0" w:line="178" w:lineRule="exact"/>
        <w:rPr>
          <w:rFonts w:ascii="Arial" w:cs="Arial" w:eastAsia="Arial" w:hAnsi="Arial"/>
          <w:sz w:val="14"/>
          <w:szCs w:val="14"/>
          <w:color w:val="auto"/>
        </w:rPr>
      </w:pPr>
    </w:p>
    <w:p>
      <w:pPr>
        <w:ind w:left="400" w:right="40" w:firstLine="163"/>
        <w:spacing w:after="0" w:line="297" w:lineRule="auto"/>
        <w:tabs>
          <w:tab w:leader="none" w:pos="994"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Adjustment for Issuance of Shares of Common Stock Below Exercise Price</w:t>
      </w:r>
      <w:r>
        <w:rPr>
          <w:rFonts w:ascii="Arial" w:cs="Arial" w:eastAsia="Arial" w:hAnsi="Arial"/>
          <w:sz w:val="14"/>
          <w:szCs w:val="14"/>
          <w:color w:val="auto"/>
        </w:rPr>
        <w:t>. If and whenever on or after the date hereof, if, the Company shall issue, or be deemed to issue (as provided below), any additional shares of Common Stock other than Excluded Stock, as defined below (“</w:t>
      </w:r>
      <w:r>
        <w:rPr>
          <w:rFonts w:ascii="Arial" w:cs="Arial" w:eastAsia="Arial" w:hAnsi="Arial"/>
          <w:sz w:val="14"/>
          <w:szCs w:val="14"/>
          <w:u w:val="single" w:color="auto"/>
          <w:color w:val="auto"/>
        </w:rPr>
        <w:t>Additional Shares of Common Stock</w:t>
      </w:r>
      <w:r>
        <w:rPr>
          <w:rFonts w:ascii="Arial" w:cs="Arial" w:eastAsia="Arial" w:hAnsi="Arial"/>
          <w:sz w:val="14"/>
          <w:szCs w:val="14"/>
          <w:color w:val="auto"/>
        </w:rPr>
        <w:t>”) for a consideration per share (the “</w:t>
      </w:r>
      <w:r>
        <w:rPr>
          <w:rFonts w:ascii="Arial" w:cs="Arial" w:eastAsia="Arial" w:hAnsi="Arial"/>
          <w:sz w:val="14"/>
          <w:szCs w:val="14"/>
          <w:u w:val="single" w:color="auto"/>
          <w:color w:val="auto"/>
        </w:rPr>
        <w:t>New Issuance Price</w:t>
      </w:r>
      <w:r>
        <w:rPr>
          <w:rFonts w:ascii="Arial" w:cs="Arial" w:eastAsia="Arial" w:hAnsi="Arial"/>
          <w:sz w:val="14"/>
          <w:szCs w:val="14"/>
          <w:color w:val="auto"/>
        </w:rPr>
        <w:t>”) less than the Exercise Price in effect immediately prior to the issuance of such Additional Shares of Common Stock (the foregoing a “</w:t>
      </w:r>
      <w:r>
        <w:rPr>
          <w:rFonts w:ascii="Arial" w:cs="Arial" w:eastAsia="Arial" w:hAnsi="Arial"/>
          <w:sz w:val="14"/>
          <w:szCs w:val="14"/>
          <w:u w:val="single" w:color="auto"/>
          <w:color w:val="auto"/>
        </w:rPr>
        <w:t>Dilutive Issuance</w:t>
      </w:r>
      <w:r>
        <w:rPr>
          <w:rFonts w:ascii="Arial" w:cs="Arial" w:eastAsia="Arial" w:hAnsi="Arial"/>
          <w:sz w:val="14"/>
          <w:szCs w:val="14"/>
          <w:color w:val="auto"/>
        </w:rPr>
        <w:t>”) (excluding subdivisions, stock dividends, combinations and reclassifications which are covered in Sections 3(a) above), then the Exercise Price shall be reduced concurrent with each such issuance to an amount equal to the product of (A) 90.5% times (B) the New Issuance Price.</w:t>
      </w: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104775</wp:posOffset>
            </wp:positionV>
            <wp:extent cx="7267575"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1280"/>
          </w:cols>
          <w:pgMar w:left="400" w:top="132" w:right="219" w:bottom="0" w:gutter="0" w:footer="0" w:header="0"/>
        </w:sectPr>
      </w:pPr>
    </w:p>
    <w:p>
      <w:pPr>
        <w:spacing w:after="0" w:line="305" w:lineRule="exact"/>
        <w:rPr>
          <w:sz w:val="20"/>
          <w:szCs w:val="20"/>
          <w:color w:val="auto"/>
        </w:rPr>
      </w:pPr>
    </w:p>
    <w:p>
      <w:pPr>
        <w:ind w:left="7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Convertible Securities</w:t>
      </w:r>
      <w:r>
        <w:rPr>
          <w:rFonts w:ascii="Arial" w:cs="Arial" w:eastAsia="Arial" w:hAnsi="Arial"/>
          <w:sz w:val="14"/>
          <w:szCs w:val="14"/>
          <w:color w:val="auto"/>
        </w:rPr>
        <w:t>” means any evidence of indebtedness, shares or securities, in each case convertible into or exchangeable for Additional Shares of Common Stock.</w:t>
      </w:r>
    </w:p>
    <w:p>
      <w:pPr>
        <w:sectPr>
          <w:pgSz w:w="11900" w:h="16838" w:orient="portrait"/>
          <w:cols w:equalWidth="0" w:num="1">
            <w:col w:w="11280"/>
          </w:cols>
          <w:pgMar w:left="400" w:top="132" w:right="219" w:bottom="0" w:gutter="0" w:footer="0" w:header="0"/>
          <w:type w:val="continuous"/>
        </w:sectPr>
      </w:pPr>
    </w:p>
    <w:bookmarkStart w:id="74" w:name="page75"/>
    <w:bookmarkEnd w:id="74"/>
    <w:p>
      <w:pPr>
        <w:ind w:firstLine="310"/>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Stock</w:t>
      </w:r>
      <w:r>
        <w:rPr>
          <w:rFonts w:ascii="Arial" w:cs="Arial" w:eastAsia="Arial" w:hAnsi="Arial"/>
          <w:sz w:val="14"/>
          <w:szCs w:val="14"/>
          <w:color w:val="auto"/>
        </w:rPr>
        <w:t>” means the issuance of (a) shares of Common Stock or options to employees, officers, directors or consultants of the Company or a Subsidiary pursuant to any stock or option plan or arrangement duly adopted, including subsequent to the date hereof, by a majority of the non-employee members of the Board of Directors of the Company or a majority of the members of a committee of non-employee directorsestablished for such purpose (for purposes of clarity, the issuance of shares of Common Stock upon exercise of options granted pursuant to a Company plan subsequent to the date hereof shall also be Excluded Stock), (b) securities upon the exercise or exchange of or conversion of (i) any Securities issued under the Purchase Agreement; (ii) securities to a registered broker-dealer in connection with the transactions contemplated by the Purchase Agreement; and/or (iii) other securities or rights exercisable or exchangeable for or convertible into shares of Common Stock which are issued and outstanding on the date of the Purchase Agreement, including agreements pursuant to which such securities or shares of Common Stock may be issued, provided that such securities have not been amended since the date of the Purchase Agreement, other than in accordance with their terms, to increase the number of such securities or to decrease the exercise, exchange or conversion price of any such securities, (c) securities issued pursuant to acquisitions, mergers or strategic transactions approved bya majority of the directors disinterested in such transaction, provided any such issuance shall only be to a Person which is, itself or through its subsidiaries, an operating company in a business synergistic with the business of the Company and in which the Company receives benefits in addition to the investment of funds or regarding which the Board of Directors of the Company determines in good faith that in addition to the investment of funds a relationship therewith would be beneficial to the Company, in each case the primary purpose of which is not to raise additional capital, (d) securities to a bank or financial institution in connection with a financing with such person which does not contain any equity component, (e) securities to any Purchaser pursuant to the Purchase Agreement and (f) shares of Common Stock or other securities issued in connection with any stock split, stock dividend or recapitalization of the Company (subject to Section 3(a) hereof and Section 4.13 of the Purchase Agreement).</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Options</w:t>
      </w:r>
      <w:r>
        <w:rPr>
          <w:rFonts w:ascii="Arial" w:cs="Arial" w:eastAsia="Arial" w:hAnsi="Arial"/>
          <w:sz w:val="16"/>
          <w:szCs w:val="16"/>
          <w:color w:val="auto"/>
        </w:rPr>
        <w:t>” means rights, options or warrants to subscribe for, purchase or otherwise acquire shares of Common Stock or Convertible Securities.</w:t>
      </w:r>
    </w:p>
    <w:p>
      <w:pPr>
        <w:spacing w:after="0" w:line="222" w:lineRule="exact"/>
        <w:rPr>
          <w:sz w:val="20"/>
          <w:szCs w:val="20"/>
          <w:color w:val="auto"/>
        </w:rPr>
      </w:pPr>
    </w:p>
    <w:p>
      <w:pPr>
        <w:ind w:right="40" w:firstLine="310"/>
        <w:spacing w:after="0" w:line="291" w:lineRule="auto"/>
        <w:rPr>
          <w:sz w:val="20"/>
          <w:szCs w:val="20"/>
          <w:color w:val="auto"/>
        </w:rPr>
      </w:pPr>
      <w:r>
        <w:rPr>
          <w:rFonts w:ascii="Arial" w:cs="Arial" w:eastAsia="Arial" w:hAnsi="Arial"/>
          <w:sz w:val="14"/>
          <w:szCs w:val="14"/>
          <w:color w:val="auto"/>
        </w:rPr>
        <w:t>No adjustment in the Exercise Price need be made if such adjustment would result in (i) a change in the Exercise Price of less than $0.01 or (ii) the Exercise Price being reduced to less than NIS 1.00. Any such adjustment which is not made shall be carried forward and shall be made at the time of and together with any subsequent adjustment which, on a cumulative basis, amounts to an adjustment of $0.01 or more in the Exercise Price, subject to (ii) of the previous sentence. No adjustment in the Exercise Price of this Warrant shall be made in respect of the issuance of Additional Shares of Common Stock unless the consideration per share for such Additional Shares of Common Stock issued or deemed to be issued (as provided below) by the Company is less than the Exercise Price then in effect on the date of, and immediately prior to, such issue, for this Warrant. Notwithstanding anything else herein, other than as set forth in Section 3(a) above, in the event of an adjustment as provided for herein, only the Exercise Price shall be adjusted and in no event shall the number of Warrant Shares issuable hereunder be adjusted and if an adjustment to the Exercise Price cannot be effected pursuant to the terms hereof, there shall be no obligation on the part of the Company to compensate the Holder in any manner.</w:t>
      </w:r>
    </w:p>
    <w:p>
      <w:pPr>
        <w:spacing w:after="0" w:line="370"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67575"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right="40" w:firstLine="310"/>
        <w:spacing w:after="0" w:line="293" w:lineRule="auto"/>
        <w:rPr>
          <w:sz w:val="20"/>
          <w:szCs w:val="20"/>
          <w:color w:val="auto"/>
        </w:rPr>
      </w:pPr>
      <w:r>
        <w:rPr>
          <w:rFonts w:ascii="Arial" w:cs="Arial" w:eastAsia="Arial" w:hAnsi="Arial"/>
          <w:sz w:val="14"/>
          <w:szCs w:val="14"/>
          <w:color w:val="auto"/>
        </w:rPr>
        <w:t>For purposes of making any adjustment required under this Section 3(b), the consideration received by the Company for any issue or sale of securities shall (a) to the extent that it consists of cash be computed as the amount of cash received by the Company without deduction of any underwriting or similar commissions, compensation or concessions paid or allowed by the Company in connection with such issue or sale, (b) to the extent that it consists of property other than cash, be computed at the fair market value of that property as determined in good faith by the Board of Directors, and (c) if Additional Shares of Common Stock, Convertible Securities or rights or Options are issued or sold together with other securities or other assets of the Company for a consideration which covers both, be computed (as provided in clauses (a) and (b) above) as the portion of the consideration so received that may be reasonably determined in good faith by the Board of Directors to be allocable to such Additional Shares of Common Stock, Convertible Securities or rights or Options.</w:t>
      </w:r>
    </w:p>
    <w:p>
      <w:pPr>
        <w:spacing w:after="0" w:line="175" w:lineRule="exact"/>
        <w:rPr>
          <w:sz w:val="20"/>
          <w:szCs w:val="20"/>
          <w:color w:val="auto"/>
        </w:rPr>
      </w:pPr>
    </w:p>
    <w:p>
      <w:pPr>
        <w:ind w:firstLine="310"/>
        <w:spacing w:after="0" w:line="289" w:lineRule="auto"/>
        <w:rPr>
          <w:sz w:val="20"/>
          <w:szCs w:val="20"/>
          <w:color w:val="auto"/>
        </w:rPr>
      </w:pPr>
      <w:r>
        <w:rPr>
          <w:rFonts w:ascii="Arial" w:cs="Arial" w:eastAsia="Arial" w:hAnsi="Arial"/>
          <w:sz w:val="14"/>
          <w:szCs w:val="14"/>
          <w:color w:val="auto"/>
        </w:rPr>
        <w:t>For purposes of the adjustment required under this Section 3(b), if at any time or from time to time after the issuance date of this Warrant, the Company issues or sells any Options or Convertible Securities, then in each case the Company shall be deemed to have issued at the time of the issuance of such Options or Convertible Securities the maximum number of Additional Shares of Common Stock (as set forth in the instruments relating thereto, giving effect to any provision contained therein for a subsequent upward adjustment of such number other than any provision requiring antidilution adjustments (based on price, recapitalizations, mergers, reorganizations or otherwise), which such antidilution provisions shall only result in upward adjustments upon the triggering of such antidilution adjustment) issuable upon exercise or conversion thereof and to have received as consideration for the issuance of such shares of Common Stock an amount equal to the total amount of consideration, if any, received by the Company for the issuance of such Options or Convertible Securities plus, in the case of such Options, the minimum amounts of consideration, if any (as set forth in the instruments relating thereto, giving effect to any provision contained therein for a subsequent downward adjustment of such consideration), payable to the Company upon the exercise of such Options and, in the case of Convertible Securities, the minimum amounts of consideration, if any, payable to the Company upon the subsequent conversion of any such Convertible Security (other than by cancellation of liabilities or obligations evidenced by such Convertible Securities). No further adjustment of the Exercise Price, adjusted upon the issuance of such Options or Convertible Securities, shall be made as a result of the actual issuance of Additional Shares of Common Stock on the exercise of any such Options or the conversion of any such Convertible Securities.</w:t>
      </w:r>
    </w:p>
    <w:p>
      <w:pPr>
        <w:spacing w:after="0" w:line="369"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67575"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right="60" w:firstLine="310"/>
        <w:spacing w:after="0" w:line="290" w:lineRule="auto"/>
        <w:rPr>
          <w:sz w:val="20"/>
          <w:szCs w:val="20"/>
          <w:color w:val="auto"/>
        </w:rPr>
      </w:pPr>
      <w:r>
        <w:rPr>
          <w:rFonts w:ascii="Arial" w:cs="Arial" w:eastAsia="Arial" w:hAnsi="Arial"/>
          <w:sz w:val="14"/>
          <w:szCs w:val="14"/>
          <w:color w:val="auto"/>
        </w:rPr>
        <w:t>Upon the happening of any of the following events, namely, if the purchase price provided for in any Option, the additional consideration, if any, payable upon the conversion or exchange of any Convertible Securities, or the rate at which Convertible Securities are convertible into or exchangeable for Common Stock shall change at any time (including, but not limited to, changes under or by reason of provisions designed to protect against dilution), the Exercise Price in effect at the time of such event shall forthwith be readjusted to the Exercise Price which would have been in effect at such time had such Options or Convertible Securities still outstanding provided for such changed purchase price, additional consideration or conversion rate, as the case may be, at the time initially granted, issued or sold, but only if as a result of such adjustment the Exercise Price then in effect hereunder is thereby reduced. For purposes of this Section 3(b) if the terms of any Option or Convertible Security that was outstanding as of the date of issuance of this Warrant are increased or decreased in the manner described in the immediately preceding sentence, other than in accordance with their terms, then such Option or Convertible Security and the shares of Common Stock deemed issuable upon exercise, conversion or exchange thereof shall be deemed to have been issued as of the date of such increase or decrease. No adjustment pursuant to this Section 3(b) shall be made if such adjustment would result in an increase of the Exercise Price then in effect or a decrease in the number of Warrant Shares.</w:t>
      </w:r>
    </w:p>
    <w:p>
      <w:pPr>
        <w:spacing w:after="0" w:line="178" w:lineRule="exact"/>
        <w:rPr>
          <w:sz w:val="20"/>
          <w:szCs w:val="20"/>
          <w:color w:val="auto"/>
        </w:rPr>
      </w:pPr>
    </w:p>
    <w:p>
      <w:pPr>
        <w:ind w:left="600" w:hanging="437"/>
        <w:spacing w:after="0"/>
        <w:tabs>
          <w:tab w:leader="none" w:pos="6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[Reserved].</w:t>
      </w:r>
    </w:p>
    <w:p>
      <w:pPr>
        <w:spacing w:after="0" w:line="221" w:lineRule="exact"/>
        <w:rPr>
          <w:rFonts w:ascii="Arial" w:cs="Arial" w:eastAsia="Arial" w:hAnsi="Arial"/>
          <w:sz w:val="16"/>
          <w:szCs w:val="16"/>
          <w:color w:val="auto"/>
        </w:rPr>
      </w:pPr>
    </w:p>
    <w:p>
      <w:pPr>
        <w:ind w:firstLine="163"/>
        <w:spacing w:after="0" w:line="256" w:lineRule="auto"/>
        <w:tabs>
          <w:tab w:leader="none" w:pos="594"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98" w:lineRule="exact"/>
        <w:rPr>
          <w:rFonts w:ascii="Arial" w:cs="Arial" w:eastAsia="Arial" w:hAnsi="Arial"/>
          <w:sz w:val="16"/>
          <w:szCs w:val="16"/>
          <w:color w:val="auto"/>
        </w:rPr>
      </w:pPr>
    </w:p>
    <w:p>
      <w:pPr>
        <w:ind w:firstLine="163"/>
        <w:spacing w:after="0" w:line="264" w:lineRule="auto"/>
        <w:tabs>
          <w:tab w:leader="none" w:pos="586"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Voluntary Adjustment By Company</w:t>
      </w:r>
      <w:r>
        <w:rPr>
          <w:rFonts w:ascii="Arial" w:cs="Arial" w:eastAsia="Arial" w:hAnsi="Arial"/>
          <w:sz w:val="16"/>
          <w:szCs w:val="16"/>
          <w:color w:val="auto"/>
        </w:rPr>
        <w:t>. The Company may at any time during the term of this Warrant reduce the then current Exercise Price to any amount and for any period of time deemed appropriate by the Board of Directors of the Company.</w:t>
      </w:r>
    </w:p>
    <w:p>
      <w:pPr>
        <w:spacing w:after="0" w:line="191" w:lineRule="exact"/>
        <w:rPr>
          <w:rFonts w:ascii="Arial" w:cs="Arial" w:eastAsia="Arial" w:hAnsi="Arial"/>
          <w:sz w:val="16"/>
          <w:szCs w:val="16"/>
          <w:color w:val="auto"/>
        </w:rPr>
      </w:pPr>
    </w:p>
    <w:p>
      <w:pPr>
        <w:ind w:left="580" w:hanging="417"/>
        <w:spacing w:after="0"/>
        <w:tabs>
          <w:tab w:leader="none" w:pos="58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Notice to Holders</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580" w:right="20" w:firstLine="155"/>
        <w:spacing w:after="0" w:line="336" w:lineRule="auto"/>
        <w:tabs>
          <w:tab w:leader="none" w:pos="1127" w:val="left"/>
        </w:tabs>
        <w:numPr>
          <w:ilvl w:val="1"/>
          <w:numId w:val="68"/>
        </w:numPr>
        <w:rPr>
          <w:rFonts w:ascii="Arial" w:cs="Arial" w:eastAsia="Arial" w:hAnsi="Arial"/>
          <w:sz w:val="14"/>
          <w:szCs w:val="14"/>
          <w:color w:val="auto"/>
        </w:rPr>
      </w:pPr>
      <w:r>
        <w:rPr>
          <w:rFonts w:ascii="Arial" w:cs="Arial" w:eastAsia="Arial" w:hAnsi="Arial"/>
          <w:sz w:val="14"/>
          <w:szCs w:val="14"/>
          <w:u w:val="single" w:color="auto"/>
          <w:color w:val="auto"/>
        </w:rPr>
        <w:t>Adjustment to Exercise Price</w:t>
      </w:r>
      <w:r>
        <w:rPr>
          <w:rFonts w:ascii="Arial" w:cs="Arial" w:eastAsia="Arial" w:hAnsi="Arial"/>
          <w:sz w:val="14"/>
          <w:szCs w:val="14"/>
          <w:color w:val="auto"/>
        </w:rPr>
        <w:t>. Whenever the Exercise Price is adjusted pursuant to any provision of this Section 3, the Company shall promptly mail to each Holder a notice setting forth the Exercise Price after such adjustment and setting forth a brief statement of the facts requiring such adjustment.</w:t>
      </w:r>
    </w:p>
    <w:p>
      <w:pPr>
        <w:spacing w:after="0" w:line="336"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67575"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0840"/>
          </w:cols>
          <w:pgMar w:left="800" w:top="133" w:right="259" w:bottom="0" w:gutter="0" w:footer="0" w:header="0"/>
        </w:sectPr>
      </w:pPr>
    </w:p>
    <w:p>
      <w:pPr>
        <w:spacing w:after="0" w:line="305" w:lineRule="exact"/>
        <w:rPr>
          <w:sz w:val="20"/>
          <w:szCs w:val="20"/>
          <w:color w:val="auto"/>
        </w:rPr>
      </w:pPr>
    </w:p>
    <w:p>
      <w:pPr>
        <w:ind w:left="1180" w:hanging="445"/>
        <w:spacing w:after="0"/>
        <w:tabs>
          <w:tab w:leader="none" w:pos="1180"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auto"/>
        </w:rPr>
        <w:t>Notice to Allow Exercise by Holder</w:t>
      </w:r>
      <w:r>
        <w:rPr>
          <w:rFonts w:ascii="Arial" w:cs="Arial" w:eastAsia="Arial" w:hAnsi="Arial"/>
          <w:sz w:val="14"/>
          <w:szCs w:val="14"/>
          <w:color w:val="auto"/>
        </w:rPr>
        <w:t>. If (A) the Company shall declare a dividend (or any other distribution in whatever form) on the Common Stock; (B)</w:t>
      </w:r>
    </w:p>
    <w:p>
      <w:pPr>
        <w:sectPr>
          <w:pgSz w:w="11900" w:h="16838" w:orient="portrait"/>
          <w:cols w:equalWidth="0" w:num="1">
            <w:col w:w="10840"/>
          </w:cols>
          <w:pgMar w:left="800" w:top="133" w:right="259" w:bottom="0" w:gutter="0" w:footer="0" w:header="0"/>
          <w:type w:val="continuous"/>
        </w:sectPr>
      </w:pPr>
    </w:p>
    <w:bookmarkStart w:id="75" w:name="page76"/>
    <w:bookmarkEnd w:id="75"/>
    <w:p>
      <w:pPr>
        <w:spacing w:after="0" w:line="24" w:lineRule="exact"/>
        <w:rPr>
          <w:sz w:val="20"/>
          <w:szCs w:val="20"/>
          <w:color w:val="auto"/>
        </w:rPr>
      </w:pPr>
    </w:p>
    <w:p>
      <w:pPr>
        <w:ind w:left="1145"/>
        <w:spacing w:after="0" w:line="288" w:lineRule="auto"/>
        <w:rPr>
          <w:sz w:val="20"/>
          <w:szCs w:val="20"/>
          <w:color w:val="auto"/>
        </w:rPr>
      </w:pPr>
      <w:r>
        <w:rPr>
          <w:rFonts w:ascii="Arial" w:cs="Arial" w:eastAsia="Arial" w:hAnsi="Arial"/>
          <w:sz w:val="14"/>
          <w:szCs w:val="14"/>
          <w:color w:val="auto"/>
        </w:rPr>
        <w:t>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of any compulsory share exchange whereby the Common Stock is converted into other securities, cash or property; (E) the Company shall authorize the voluntary or involuntary dissolution, liquidation or winding up of the affairs of the Company; then, in each case, the Company shall cause to be mailed to the Holder at its last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The Holder is entitled to exercise this Warrant during the 20-day period commencing on the date of such notice to the effective date of the event triggering such notice.</w:t>
      </w:r>
    </w:p>
    <w:p>
      <w:pPr>
        <w:spacing w:after="0" w:line="372" w:lineRule="exact"/>
        <w:rPr>
          <w:sz w:val="20"/>
          <w:szCs w:val="20"/>
          <w:color w:val="auto"/>
        </w:rPr>
      </w:pPr>
    </w:p>
    <w:p>
      <w:pPr>
        <w:ind w:left="165"/>
        <w:spacing w:after="0"/>
        <w:tabs>
          <w:tab w:leader="none" w:pos="1064" w:val="left"/>
        </w:tabs>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w:t>
      </w:r>
      <w:r>
        <w:rPr>
          <w:sz w:val="20"/>
          <w:szCs w:val="20"/>
          <w:color w:val="auto"/>
        </w:rPr>
        <w:tab/>
      </w:r>
      <w:r>
        <w:rPr>
          <w:rFonts w:ascii="Arial" w:cs="Arial" w:eastAsia="Arial" w:hAnsi="Arial"/>
          <w:sz w:val="14"/>
          <w:szCs w:val="14"/>
          <w:u w:val="single" w:color="auto"/>
          <w:color w:val="auto"/>
        </w:rPr>
        <w:t>Transfer of Warrant</w:t>
      </w:r>
      <w:r>
        <w:rPr>
          <w:rFonts w:ascii="Arial" w:cs="Arial" w:eastAsia="Arial" w:hAnsi="Arial"/>
          <w:sz w:val="14"/>
          <w:szCs w:val="14"/>
          <w:color w:val="auto"/>
        </w:rPr>
        <w:t>.</w:t>
      </w:r>
    </w:p>
    <w:p>
      <w:pPr>
        <w:spacing w:after="0" w:line="198" w:lineRule="exact"/>
        <w:rPr>
          <w:sz w:val="20"/>
          <w:szCs w:val="20"/>
          <w:color w:val="auto"/>
        </w:rPr>
      </w:pPr>
    </w:p>
    <w:p>
      <w:pPr>
        <w:ind w:left="565" w:right="40" w:firstLine="163"/>
        <w:spacing w:after="0" w:line="293" w:lineRule="auto"/>
        <w:tabs>
          <w:tab w:leader="none" w:pos="1111" w:val="left"/>
        </w:tabs>
        <w:numPr>
          <w:ilvl w:val="0"/>
          <w:numId w:val="70"/>
        </w:numPr>
        <w:rPr>
          <w:rFonts w:ascii="Arial" w:cs="Arial" w:eastAsia="Arial" w:hAnsi="Arial"/>
          <w:sz w:val="14"/>
          <w:szCs w:val="14"/>
          <w:color w:val="auto"/>
        </w:rPr>
      </w:pPr>
      <w:r>
        <w:rPr>
          <w:rFonts w:ascii="Arial" w:cs="Arial" w:eastAsia="Arial" w:hAnsi="Arial"/>
          <w:sz w:val="14"/>
          <w:szCs w:val="14"/>
          <w:u w:val="single" w:color="auto"/>
          <w:color w:val="auto"/>
        </w:rPr>
        <w:t>Transferability</w:t>
      </w:r>
      <w:r>
        <w:rPr>
          <w:rFonts w:ascii="Arial" w:cs="Arial" w:eastAsia="Arial" w:hAnsi="Arial"/>
          <w:sz w:val="14"/>
          <w:szCs w:val="14"/>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and in the denomination or denominations specified in such instrument of assignment, and shall issue to the assignor a new Warrant evidencing the portion of this Warrant not so assigned, and this Warrant shall promptly be cancelled. A Warrant, if properly assigned, may be exercised by a new holder for the purchase of Warrant Shares without having a new Warrant issued.</w:t>
      </w:r>
    </w:p>
    <w:p>
      <w:pPr>
        <w:spacing w:after="0" w:line="174" w:lineRule="exact"/>
        <w:rPr>
          <w:rFonts w:ascii="Arial" w:cs="Arial" w:eastAsia="Arial" w:hAnsi="Arial"/>
          <w:sz w:val="14"/>
          <w:szCs w:val="14"/>
          <w:color w:val="auto"/>
        </w:rPr>
      </w:pPr>
    </w:p>
    <w:p>
      <w:pPr>
        <w:ind w:left="565" w:right="40" w:firstLine="163"/>
        <w:spacing w:after="0" w:line="254" w:lineRule="auto"/>
        <w:tabs>
          <w:tab w:leader="none" w:pos="112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New Warrants</w:t>
      </w:r>
      <w:r>
        <w:rPr>
          <w:rFonts w:ascii="Arial" w:cs="Arial" w:eastAsia="Arial" w:hAnsi="Arial"/>
          <w:sz w:val="16"/>
          <w:szCs w:val="16"/>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w:t>
      </w:r>
    </w:p>
    <w:p>
      <w:pPr>
        <w:spacing w:after="0" w:line="39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267575" cy="35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565" w:right="100" w:firstLine="163"/>
        <w:spacing w:after="0" w:line="310" w:lineRule="auto"/>
        <w:tabs>
          <w:tab w:leader="none" w:pos="1111"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Warrant Register</w:t>
      </w:r>
      <w:r>
        <w:rPr>
          <w:rFonts w:ascii="Arial" w:cs="Arial" w:eastAsia="Arial" w:hAnsi="Arial"/>
          <w:sz w:val="14"/>
          <w:szCs w:val="14"/>
          <w:color w:val="auto"/>
        </w:rPr>
        <w:t>. The Company shall register this Warrant, upon records to be maintained by the Company for that purpose (the “</w:t>
      </w:r>
      <w:r>
        <w:rPr>
          <w:rFonts w:ascii="Arial" w:cs="Arial" w:eastAsia="Arial" w:hAnsi="Arial"/>
          <w:sz w:val="14"/>
          <w:szCs w:val="14"/>
          <w:u w:val="single" w:color="auto"/>
          <w:color w:val="auto"/>
        </w:rPr>
        <w:t>Warrant Register</w:t>
      </w:r>
      <w:r>
        <w:rPr>
          <w:rFonts w:ascii="Arial" w:cs="Arial" w:eastAsia="Arial" w:hAnsi="Arial"/>
          <w:sz w:val="14"/>
          <w:szCs w:val="14"/>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63" w:lineRule="exact"/>
        <w:rPr>
          <w:rFonts w:ascii="Arial" w:cs="Arial" w:eastAsia="Arial" w:hAnsi="Arial"/>
          <w:sz w:val="14"/>
          <w:szCs w:val="14"/>
          <w:color w:val="auto"/>
        </w:rPr>
      </w:pPr>
    </w:p>
    <w:p>
      <w:pPr>
        <w:ind w:left="565" w:firstLine="163"/>
        <w:spacing w:after="0" w:line="293" w:lineRule="auto"/>
        <w:tabs>
          <w:tab w:leader="none" w:pos="1120"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Transfer Restrictions</w:t>
      </w:r>
      <w:r>
        <w:rPr>
          <w:rFonts w:ascii="Arial" w:cs="Arial" w:eastAsia="Arial" w:hAnsi="Arial"/>
          <w:sz w:val="14"/>
          <w:szCs w:val="14"/>
          <w:color w:val="auto"/>
        </w:rPr>
        <w:t>. If, at the time of the surrender of this Warrant in connection with any transfer of this Warrant, the transfer of this Warrant shall not be registered pursuant to an effective registration statement under the Securities Act and under applicable state securities or blue sky laws, the Company may require, as a condition of allowing such transfer (i) that the Holder or transferee of this Warrant, as the case may be, furnish to the Company a written opinion of counsel (which opinion shall be in form, substance and scope customary for opinions of counsel in comparable transactions) to the effect that such transfer may be made without registration under the Securities Act and under applicable state securities or blue sky laws, (ii) that the holder or transferee execute and deliver to the Company an investment letter in form and substance acceptable to the Company and (iii) that the transferee be an “accredited investor” as defined in Rule 501(a)(1), (a)(2), (a)(3), (a)(7), or (a)(8) promulgated under the Securities Act or a “qualified institutional buyer” as defined in Rule 144A(a) under the Securities Act.</w:t>
      </w:r>
    </w:p>
    <w:p>
      <w:pPr>
        <w:spacing w:after="0" w:line="365" w:lineRule="exact"/>
        <w:rPr>
          <w:sz w:val="20"/>
          <w:szCs w:val="20"/>
          <w:color w:val="auto"/>
        </w:rPr>
      </w:pPr>
    </w:p>
    <w:p>
      <w:pPr>
        <w:ind w:left="165"/>
        <w:spacing w:after="0"/>
        <w:tabs>
          <w:tab w:leader="none" w:pos="1064" w:val="left"/>
        </w:tabs>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w:t>
      </w:r>
      <w:r>
        <w:rPr>
          <w:sz w:val="20"/>
          <w:szCs w:val="20"/>
          <w:color w:val="auto"/>
        </w:rPr>
        <w:tab/>
      </w:r>
      <w:r>
        <w:rPr>
          <w:rFonts w:ascii="Arial" w:cs="Arial" w:eastAsia="Arial" w:hAnsi="Arial"/>
          <w:sz w:val="13"/>
          <w:szCs w:val="13"/>
          <w:u w:val="single" w:color="auto"/>
          <w:color w:val="auto"/>
        </w:rPr>
        <w:t>Purchase Rights; Fundamental Transactions</w:t>
      </w:r>
      <w:r>
        <w:rPr>
          <w:rFonts w:ascii="Arial" w:cs="Arial" w:eastAsia="Arial" w:hAnsi="Arial"/>
          <w:sz w:val="13"/>
          <w:szCs w:val="13"/>
          <w:color w:val="auto"/>
        </w:rPr>
        <w:t>.</w:t>
      </w:r>
    </w:p>
    <w:p>
      <w:pPr>
        <w:spacing w:after="0" w:line="198" w:lineRule="exact"/>
        <w:rPr>
          <w:sz w:val="20"/>
          <w:szCs w:val="20"/>
          <w:color w:val="auto"/>
        </w:rPr>
      </w:pPr>
    </w:p>
    <w:p>
      <w:pPr>
        <w:ind w:left="565" w:firstLine="163"/>
        <w:spacing w:after="0" w:line="294" w:lineRule="auto"/>
        <w:tabs>
          <w:tab w:leader="none" w:pos="1163"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Purchase Rights</w:t>
      </w:r>
      <w:r>
        <w:rPr>
          <w:rFonts w:ascii="Arial" w:cs="Arial" w:eastAsia="Arial" w:hAnsi="Arial"/>
          <w:sz w:val="14"/>
          <w:szCs w:val="14"/>
          <w:color w:val="auto"/>
        </w:rPr>
        <w:t>. In addition to any adjustments pursuant to Section 3 above, if at any time the Company grants, issues or sells any Options, Convertible Securities or rights to purchase stock, warrants, securities or other property pro rata to the record holders of any class of shares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the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76" w:lineRule="exact"/>
        <w:rPr>
          <w:rFonts w:ascii="Arial" w:cs="Arial" w:eastAsia="Arial" w:hAnsi="Arial"/>
          <w:sz w:val="14"/>
          <w:szCs w:val="14"/>
          <w:color w:val="auto"/>
        </w:rPr>
      </w:pPr>
    </w:p>
    <w:p>
      <w:pPr>
        <w:ind w:left="1185" w:hanging="457"/>
        <w:spacing w:after="0"/>
        <w:tabs>
          <w:tab w:leader="none" w:pos="1185"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w:t>
      </w:r>
    </w:p>
    <w:p>
      <w:pPr>
        <w:spacing w:after="0" w:line="200" w:lineRule="exact"/>
        <w:rPr>
          <w:sz w:val="20"/>
          <w:szCs w:val="20"/>
          <w:color w:val="auto"/>
        </w:rPr>
      </w:pPr>
    </w:p>
    <w:p>
      <w:pPr>
        <w:spacing w:after="0" w:line="21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267575" cy="35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380" w:lineRule="exact"/>
        <w:rPr>
          <w:sz w:val="20"/>
          <w:szCs w:val="20"/>
          <w:color w:val="auto"/>
        </w:rPr>
      </w:pPr>
    </w:p>
    <w:p>
      <w:pPr>
        <w:ind w:left="5" w:hanging="5"/>
        <w:spacing w:after="0" w:line="286" w:lineRule="auto"/>
        <w:tabs>
          <w:tab w:leader="none" w:pos="376"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Company shall not enter into or be party to a Fundamental Transaction unless (A) the Successor Entity assumes in writing all of the obligations of the Company under this Warrant, the Purchase Agreement and the Registration Rights Agreement in accordance with the provisions of this Section 5(b)(1) pursuant to written agreements in form and substance satisfactory to the Holder and approved by the Holder prior to such Fundamental Transaction, including agreements to deliver to each holder of Warrants in exchange for such Warrants a security of the Successor Entity evidenced by a written instrument substantially similar in form and substance to this Warrant, including, without limitation, an adjusted exercise price equal to the value for the shares of Common Stock reflected by the terms of such Fundamental Transaction, and exercisable for a corresponding number of shares of capital stock of the Successor Entity equivalent to the shares of Common Stock acquirable and receivable upon exercise of this Warrant (without regard to any limitations on the exercise of this Warrant) prior to such Fundamental Transaction, and reasonably satisfactory to the Holder and (B) the Successor Entity (including its Parent Entity) is a publicly traded corporation whose Common Stock is quoted on or listed for trading on a Trading Market.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the Purchase Agreement and the Registration Rights Agreement, with the same effect as if such Successor Entity had been named as the Company herein and therein. Upon consummation of such Fundamental Transaction (the date of such consummation, the “</w:t>
      </w:r>
      <w:r>
        <w:rPr>
          <w:rFonts w:ascii="Arial" w:cs="Arial" w:eastAsia="Arial" w:hAnsi="Arial"/>
          <w:sz w:val="14"/>
          <w:szCs w:val="14"/>
          <w:u w:val="single" w:color="auto"/>
          <w:color w:val="auto"/>
        </w:rPr>
        <w:t>Fundamental Transaction Closing Date</w:t>
      </w:r>
      <w:r>
        <w:rPr>
          <w:rFonts w:ascii="Arial" w:cs="Arial" w:eastAsia="Arial" w:hAnsi="Arial"/>
          <w:sz w:val="14"/>
          <w:szCs w:val="14"/>
          <w:color w:val="auto"/>
        </w:rPr>
        <w:t>”), the Successor Entity shall deliver to the Holder confirmation that there shall be issued upon exercise of this Warrant at any time after the consummation of the Fundamental Transaction, in lieu of the shares of the Common Stock (or other securities, cash, assets or other property) issuable upon the exercise of the Warrant prior to such Fundamental Transaction, such shares of publicly traded Common Stock (or their equivalent) of the Successor Entity, as adjusted in accordance with the provisions of this Warrant.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“Corporate Event”), the Company shall make appropriate provision to insure that the Holder will thereafter have the right to receive upon an exercise of this Warrant at any time after the consummation of such Fundamental Transaction but prior to the Termination Date, in lieu of (A) the shares of the Common Stock (or other securities, cash, assets or other property) purchasable upon the exercise of the Warrant prior to such Fundamental Transaction and (B) the Common Stock of the Successor Entity, such shares of stock, securities, cash, assets or any other property whatsoever (including warrants or other purchase or subscription rights) which the Holder would have been entitled to receive upon the happening of such Fundamental Transaction had the Warrant been exercised immediately prior to such Fundamental Transaction. Provision made pursuant to the preceding sentence shall be in a form and substance reasonably satisfactory to the Holder. The provisions of this Section shall apply similarly and equally to each such successive Fundamental Transactions and Corporate Events and shall be applied without regard to any limitations on the exercise of this Warrant.</w:t>
      </w:r>
    </w:p>
    <w:p>
      <w:pPr>
        <w:sectPr>
          <w:pgSz w:w="11900" w:h="16863" w:orient="portrait"/>
          <w:cols w:equalWidth="0" w:num="1">
            <w:col w:w="11425"/>
          </w:cols>
          <w:pgMar w:left="235" w:top="133" w:right="239" w:bottom="0" w:gutter="0" w:footer="0" w:header="0"/>
        </w:sectPr>
      </w:pPr>
    </w:p>
    <w:bookmarkStart w:id="76" w:name="page77"/>
    <w:bookmarkEnd w:id="76"/>
    <w:p>
      <w:pPr>
        <w:spacing w:after="0" w:line="8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267575" cy="35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380" w:lineRule="exact"/>
        <w:rPr>
          <w:sz w:val="20"/>
          <w:szCs w:val="20"/>
          <w:color w:val="auto"/>
        </w:rPr>
      </w:pPr>
    </w:p>
    <w:p>
      <w:pPr>
        <w:ind w:left="5" w:right="60" w:hanging="5"/>
        <w:spacing w:after="0" w:line="291" w:lineRule="auto"/>
        <w:tabs>
          <w:tab w:leader="none" w:pos="379" w:val="left"/>
        </w:tabs>
        <w:numPr>
          <w:ilvl w:val="0"/>
          <w:numId w:val="74"/>
        </w:numPr>
        <w:rPr>
          <w:rFonts w:ascii="Arial" w:cs="Arial" w:eastAsia="Arial" w:hAnsi="Arial"/>
          <w:sz w:val="14"/>
          <w:szCs w:val="14"/>
          <w:color w:val="auto"/>
        </w:rPr>
      </w:pPr>
      <w:r>
        <w:rPr>
          <w:rFonts w:ascii="Arial" w:cs="Arial" w:eastAsia="Arial" w:hAnsi="Arial"/>
          <w:sz w:val="14"/>
          <w:szCs w:val="14"/>
          <w:color w:val="auto"/>
        </w:rPr>
        <w:t>Notwithstanding the provisions of Section 5(b)(1), the Company shall have the right to require that Holder waive the requirements of Section 5(b)(1) (the “Waiver”) in exchange for a payment of cash in an amount equal to the Fundamental Transaction Black-Scholes Value of the remaining unexercised portion of this Warrant as of the Fundamental Transaction Closing Date, with the Waiver becoming effective, and this Warrant cancelled, concurrently with such payment of such cash amount (the “</w:t>
      </w:r>
      <w:r>
        <w:rPr>
          <w:rFonts w:ascii="Arial" w:cs="Arial" w:eastAsia="Arial" w:hAnsi="Arial"/>
          <w:sz w:val="14"/>
          <w:szCs w:val="14"/>
          <w:u w:val="single" w:color="auto"/>
          <w:color w:val="auto"/>
        </w:rPr>
        <w:t>Fundamental Transaction Amount</w:t>
      </w:r>
      <w:r>
        <w:rPr>
          <w:rFonts w:ascii="Arial" w:cs="Arial" w:eastAsia="Arial" w:hAnsi="Arial"/>
          <w:sz w:val="14"/>
          <w:szCs w:val="14"/>
          <w:color w:val="auto"/>
        </w:rPr>
        <w:t>”) to the Holder on the Fundamental Transaction Closing Date. Notwithstanding anything to the contrary in this Section 5(b), but subject to Section 2(c)(ii), until such time that the Holder receives the Fundamental Transaction Amount (at which point this Warrant shall be cancelled), this Warrant may be exercised, in whole or in part, by the Holder (x) prior to the Fundamental Transaction Closing Date, into Common Stock pursuant to Section 2, or (y) upon (which may be expressly conditioned upon the closing of the Fundamental Transaction) or after the Fundamental Transaction Closing Date, into any such shares of stock, securities, cash, assets or any other property whatsoever (including warrants or other purchase or subscription rights, if applicable) which the Holder would have been entitled to receive upon the happening of such Fundamental Transaction had the Warrant been exercised immediately prior to such Fundamental Transaction Closing Date..</w:t>
      </w:r>
    </w:p>
    <w:p>
      <w:pPr>
        <w:spacing w:after="0" w:line="151" w:lineRule="exact"/>
        <w:rPr>
          <w:rFonts w:ascii="Arial" w:cs="Arial" w:eastAsia="Arial" w:hAnsi="Arial"/>
          <w:sz w:val="14"/>
          <w:szCs w:val="14"/>
          <w:color w:val="auto"/>
        </w:rPr>
      </w:pPr>
    </w:p>
    <w:p>
      <w:pPr>
        <w:ind w:left="1205" w:hanging="477"/>
        <w:spacing w:after="0"/>
        <w:tabs>
          <w:tab w:leader="none" w:pos="1205" w:val="left"/>
        </w:tabs>
        <w:numPr>
          <w:ilvl w:val="1"/>
          <w:numId w:val="74"/>
        </w:numPr>
        <w:rPr>
          <w:rFonts w:ascii="Arial" w:cs="Arial" w:eastAsia="Arial" w:hAnsi="Arial"/>
          <w:sz w:val="16"/>
          <w:szCs w:val="16"/>
          <w:color w:val="auto"/>
        </w:rPr>
      </w:pPr>
      <w:r>
        <w:rPr>
          <w:rFonts w:ascii="Arial" w:cs="Arial" w:eastAsia="Arial" w:hAnsi="Arial"/>
          <w:sz w:val="16"/>
          <w:szCs w:val="16"/>
          <w:color w:val="auto"/>
        </w:rPr>
        <w:t>As used herein:</w:t>
      </w:r>
    </w:p>
    <w:p>
      <w:pPr>
        <w:spacing w:after="0" w:line="222" w:lineRule="exact"/>
        <w:rPr>
          <w:sz w:val="20"/>
          <w:szCs w:val="20"/>
          <w:color w:val="auto"/>
        </w:rPr>
      </w:pPr>
    </w:p>
    <w:p>
      <w:pPr>
        <w:ind w:left="565" w:right="20" w:firstLine="310"/>
        <w:spacing w:after="0" w:line="290" w:lineRule="auto"/>
        <w:rPr>
          <w:sz w:val="20"/>
          <w:szCs w:val="20"/>
          <w:color w:val="auto"/>
        </w:rPr>
      </w:pPr>
      <w:r>
        <w:rPr>
          <w:rFonts w:ascii="Arial" w:cs="Arial" w:eastAsia="Arial" w:hAnsi="Arial"/>
          <w:sz w:val="14"/>
          <w:szCs w:val="14"/>
          <w:color w:val="auto"/>
        </w:rPr>
        <w:t>“Fundamental Transaction” means that the Company shall, directly or indirectly, in one or more related transactions, (i) consolidate or merge with or into (whether or not the Company is the surviving corporation) another Person,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Common Stock (not including any shares of Common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178" w:lineRule="exact"/>
        <w:rPr>
          <w:sz w:val="20"/>
          <w:szCs w:val="20"/>
          <w:color w:val="auto"/>
        </w:rPr>
      </w:pPr>
    </w:p>
    <w:p>
      <w:pPr>
        <w:ind w:left="565" w:right="200" w:firstLine="310"/>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Fundamental Transaction Black-Scholes Value,</w:t>
      </w:r>
      <w:r>
        <w:rPr>
          <w:rFonts w:ascii="Arial" w:cs="Arial" w:eastAsia="Arial" w:hAnsi="Arial"/>
          <w:sz w:val="14"/>
          <w:szCs w:val="14"/>
          <w:color w:val="auto"/>
        </w:rPr>
        <w:t>” as used in Section 5(b)(2) above, means the value of this Warrant obtained from the “OV” function on Bloomberg using (i) a price per share of Common Stock equal to the greater of (A) the arithmetic average of the VWAP of the Common Stock for the five Trading Days immediately preceding the Fundamental Transaction Closing Date and (B) the VWAP of the Common Stock for the Trading Day immediately preceding the Fundamental Transaction Closing Date, (ii) a risk-free interest rate corresponding to the U.S. Treasury rate for a period equal to the remaining term of this Warrant as of the Fundamental Transaction Closing Date and (iii) an expected volatility equal to the greater of 45% and the 100 day volatility obtained from the HVT function on Bloomberg determined as of the Trading Day immediately following the public announcement of the applicable Fundamental Transaction.</w:t>
      </w:r>
    </w:p>
    <w:p>
      <w:pPr>
        <w:spacing w:after="0" w:line="36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267575" cy="35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jc w:val="both"/>
        <w:ind w:left="565" w:right="60" w:firstLine="310"/>
        <w:spacing w:after="0" w:line="256" w:lineRule="auto"/>
        <w:rPr>
          <w:sz w:val="20"/>
          <w:szCs w:val="20"/>
          <w:color w:val="auto"/>
        </w:rPr>
      </w:pPr>
      <w:r>
        <w:rPr>
          <w:rFonts w:ascii="Arial" w:cs="Arial" w:eastAsia="Arial" w:hAnsi="Arial"/>
          <w:sz w:val="16"/>
          <w:szCs w:val="16"/>
          <w:color w:val="auto"/>
        </w:rPr>
        <w:t>“Parent Entity” of a Person means an entity that, directly or indirectly, controls the applicable Person and whose common stock or equivalent equity security is quoted or listed on a Trading Market, or, if there is more than one such Person or Parent Entity, the Person or Parent Entity with the largest public market capitalization as of the date of consummation of the Fundamental Transaction.</w:t>
      </w:r>
    </w:p>
    <w:p>
      <w:pPr>
        <w:spacing w:after="0" w:line="198" w:lineRule="exact"/>
        <w:rPr>
          <w:sz w:val="20"/>
          <w:szCs w:val="20"/>
          <w:color w:val="auto"/>
        </w:rPr>
      </w:pPr>
    </w:p>
    <w:p>
      <w:pPr>
        <w:ind w:left="565" w:firstLine="310"/>
        <w:spacing w:after="0" w:line="264" w:lineRule="auto"/>
        <w:rPr>
          <w:sz w:val="20"/>
          <w:szCs w:val="20"/>
          <w:color w:val="auto"/>
        </w:rPr>
      </w:pPr>
      <w:r>
        <w:rPr>
          <w:rFonts w:ascii="Arial" w:cs="Arial" w:eastAsia="Arial" w:hAnsi="Arial"/>
          <w:sz w:val="16"/>
          <w:szCs w:val="16"/>
          <w:color w:val="auto"/>
        </w:rPr>
        <w:t>“Successor Entity”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382" w:lineRule="exact"/>
        <w:rPr>
          <w:sz w:val="20"/>
          <w:szCs w:val="20"/>
          <w:color w:val="auto"/>
        </w:rPr>
      </w:pPr>
    </w:p>
    <w:p>
      <w:pPr>
        <w:ind w:left="165"/>
        <w:spacing w:after="0"/>
        <w:tabs>
          <w:tab w:leader="none" w:pos="1064" w:val="left"/>
        </w:tabs>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w:t>
      </w:r>
      <w:r>
        <w:rPr>
          <w:sz w:val="20"/>
          <w:szCs w:val="20"/>
          <w:color w:val="auto"/>
        </w:rPr>
        <w:tab/>
      </w: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98" w:lineRule="exact"/>
        <w:rPr>
          <w:sz w:val="20"/>
          <w:szCs w:val="20"/>
          <w:color w:val="auto"/>
        </w:rPr>
      </w:pPr>
    </w:p>
    <w:p>
      <w:pPr>
        <w:ind w:left="565" w:right="240" w:firstLine="163"/>
        <w:spacing w:after="0" w:line="264" w:lineRule="auto"/>
        <w:tabs>
          <w:tab w:leader="none" w:pos="111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No Rights as Shareholder Until Exercise</w:t>
      </w:r>
      <w:r>
        <w:rPr>
          <w:rFonts w:ascii="Arial" w:cs="Arial" w:eastAsia="Arial" w:hAnsi="Arial"/>
          <w:sz w:val="16"/>
          <w:szCs w:val="16"/>
          <w:color w:val="auto"/>
        </w:rPr>
        <w:t>. This Warrant does not entitle the Holder to any voting rights or other rights as a shareholder of the Company prior to the exercise hereof as set forth in Section 2(e)(ii).</w:t>
      </w:r>
    </w:p>
    <w:p>
      <w:pPr>
        <w:spacing w:after="0" w:line="191" w:lineRule="exact"/>
        <w:rPr>
          <w:rFonts w:ascii="Arial" w:cs="Arial" w:eastAsia="Arial" w:hAnsi="Arial"/>
          <w:sz w:val="16"/>
          <w:szCs w:val="16"/>
          <w:color w:val="auto"/>
        </w:rPr>
      </w:pPr>
    </w:p>
    <w:p>
      <w:pPr>
        <w:ind w:left="565" w:right="20" w:firstLine="163"/>
        <w:spacing w:after="0" w:line="294" w:lineRule="auto"/>
        <w:tabs>
          <w:tab w:leader="none" w:pos="1120" w:val="left"/>
        </w:tabs>
        <w:numPr>
          <w:ilvl w:val="0"/>
          <w:numId w:val="75"/>
        </w:numPr>
        <w:rPr>
          <w:rFonts w:ascii="Arial" w:cs="Arial" w:eastAsia="Arial" w:hAnsi="Arial"/>
          <w:sz w:val="14"/>
          <w:szCs w:val="14"/>
          <w:color w:val="auto"/>
        </w:rPr>
      </w:pPr>
      <w:r>
        <w:rPr>
          <w:rFonts w:ascii="Arial" w:cs="Arial" w:eastAsia="Arial" w:hAnsi="Arial"/>
          <w:sz w:val="14"/>
          <w:szCs w:val="14"/>
          <w:u w:val="single" w:color="auto"/>
          <w:color w:val="auto"/>
        </w:rPr>
        <w:t>Loss, Theft, Destruction or Mutilation of Warrant</w:t>
      </w:r>
      <w:r>
        <w:rPr>
          <w:rFonts w:ascii="Arial" w:cs="Arial" w:eastAsia="Arial" w:hAnsi="Arial"/>
          <w:sz w:val="14"/>
          <w:szCs w:val="14"/>
          <w:color w:val="auto"/>
        </w:rPr>
        <w:t>. If this Warrant or any certificate or any stock certificate relating to the Warrant Shares is mutilated, lost, stolen or destroyed, the Company shall issue or cause to be issued in exchange and substitution for and upon cancellation thereof (in the case of mutilation), or in lieu of and substitution therefor, a new certificate or stock certificate, but only upon receipt of evidence reasonably satisfactory to the Company of such loss, theft or destruction or upon surrender and cancellation of such Warrant or stock certificate, if mutilated. The applicant for a new certificate or stock certificate under such circumstances shall also pay any reasonable third-party administrative costs (including customary indemnity) associated with the issuance of such replacement certificate or stock certificate, provided that the posting of any bond or other security shall not be required.</w:t>
      </w:r>
    </w:p>
    <w:p>
      <w:pPr>
        <w:spacing w:after="0" w:line="176" w:lineRule="exact"/>
        <w:rPr>
          <w:rFonts w:ascii="Arial" w:cs="Arial" w:eastAsia="Arial" w:hAnsi="Arial"/>
          <w:sz w:val="14"/>
          <w:szCs w:val="14"/>
          <w:color w:val="auto"/>
        </w:rPr>
      </w:pPr>
    </w:p>
    <w:p>
      <w:pPr>
        <w:ind w:left="565" w:right="140" w:firstLine="163"/>
        <w:spacing w:after="0" w:line="256" w:lineRule="auto"/>
        <w:tabs>
          <w:tab w:leader="none" w:pos="1111"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 A Business Day shall mean any day that is a business day in both the State of Israel and the State of New York.</w:t>
      </w:r>
    </w:p>
    <w:p>
      <w:pPr>
        <w:spacing w:after="0" w:line="198" w:lineRule="exact"/>
        <w:rPr>
          <w:rFonts w:ascii="Arial" w:cs="Arial" w:eastAsia="Arial" w:hAnsi="Arial"/>
          <w:sz w:val="16"/>
          <w:szCs w:val="16"/>
          <w:color w:val="auto"/>
        </w:rPr>
      </w:pPr>
    </w:p>
    <w:p>
      <w:pPr>
        <w:ind w:left="1125" w:hanging="397"/>
        <w:spacing w:after="0"/>
        <w:tabs>
          <w:tab w:leader="none" w:pos="112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w:t>
      </w:r>
    </w:p>
    <w:p>
      <w:pPr>
        <w:spacing w:after="0" w:line="222" w:lineRule="exact"/>
        <w:rPr>
          <w:sz w:val="20"/>
          <w:szCs w:val="20"/>
          <w:color w:val="auto"/>
        </w:rPr>
      </w:pPr>
    </w:p>
    <w:p>
      <w:pPr>
        <w:ind w:left="1145" w:firstLine="307"/>
        <w:spacing w:after="0" w:line="294" w:lineRule="auto"/>
        <w:rPr>
          <w:sz w:val="20"/>
          <w:szCs w:val="20"/>
          <w:color w:val="auto"/>
        </w:rPr>
      </w:pPr>
      <w:r>
        <w:rPr>
          <w:rFonts w:ascii="Arial" w:cs="Arial" w:eastAsia="Arial" w:hAnsi="Arial"/>
          <w:sz w:val="14"/>
          <w:szCs w:val="14"/>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w:t>
      </w:r>
    </w:p>
    <w:p>
      <w:pPr>
        <w:spacing w:after="0" w:line="36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267575" cy="35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1145" w:right="40" w:firstLine="310"/>
        <w:spacing w:after="0" w:line="291" w:lineRule="auto"/>
        <w:rPr>
          <w:sz w:val="20"/>
          <w:szCs w:val="20"/>
          <w:color w:val="auto"/>
        </w:rPr>
      </w:pPr>
      <w:r>
        <w:rPr>
          <w:rFonts w:ascii="Arial" w:cs="Arial" w:eastAsia="Arial" w:hAnsi="Arial"/>
          <w:sz w:val="14"/>
          <w:szCs w:val="14"/>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the general meeting of the Shareholders of the Company and any public regulatory body having jurisdiction thereof as may be necessary to enable the Company to perform its obligations under this Warrant.</w:t>
      </w:r>
    </w:p>
    <w:p>
      <w:pPr>
        <w:spacing w:after="0" w:line="175" w:lineRule="exact"/>
        <w:rPr>
          <w:sz w:val="20"/>
          <w:szCs w:val="20"/>
          <w:color w:val="auto"/>
        </w:rPr>
      </w:pPr>
    </w:p>
    <w:p>
      <w:pPr>
        <w:ind w:left="1145" w:right="40" w:firstLine="310"/>
        <w:spacing w:after="0" w:line="336" w:lineRule="auto"/>
        <w:rPr>
          <w:sz w:val="20"/>
          <w:szCs w:val="20"/>
          <w:color w:val="auto"/>
        </w:rPr>
      </w:pPr>
      <w:r>
        <w:rPr>
          <w:rFonts w:ascii="Arial" w:cs="Arial" w:eastAsia="Arial" w:hAnsi="Arial"/>
          <w:sz w:val="14"/>
          <w:szCs w:val="14"/>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w:t>
      </w:r>
    </w:p>
    <w:p>
      <w:pPr>
        <w:sectPr>
          <w:pgSz w:w="11900" w:h="16920" w:orient="portrait"/>
          <w:cols w:equalWidth="0" w:num="1">
            <w:col w:w="11425"/>
          </w:cols>
          <w:pgMar w:left="235" w:top="132" w:right="239" w:bottom="0" w:gutter="0" w:footer="0" w:header="0"/>
        </w:sectPr>
      </w:pPr>
    </w:p>
    <w:bookmarkStart w:id="77" w:name="page78"/>
    <w:bookmarkEnd w:id="77"/>
    <w:p>
      <w:pPr>
        <w:ind w:left="1140"/>
        <w:spacing w:after="0"/>
        <w:rPr>
          <w:sz w:val="20"/>
          <w:szCs w:val="20"/>
          <w:color w:val="auto"/>
        </w:rPr>
      </w:pPr>
      <w:r>
        <w:rPr>
          <w:rFonts w:ascii="Arial" w:cs="Arial" w:eastAsia="Arial" w:hAnsi="Arial"/>
          <w:sz w:val="16"/>
          <w:szCs w:val="16"/>
          <w:color w:val="auto"/>
        </w:rPr>
        <w:t>jurisdiction thereof.</w:t>
      </w:r>
    </w:p>
    <w:p>
      <w:pPr>
        <w:spacing w:after="0" w:line="222" w:lineRule="exact"/>
        <w:rPr>
          <w:sz w:val="20"/>
          <w:szCs w:val="20"/>
          <w:color w:val="auto"/>
        </w:rPr>
      </w:pPr>
    </w:p>
    <w:p>
      <w:pPr>
        <w:ind w:left="560" w:right="80" w:firstLine="163"/>
        <w:spacing w:after="0" w:line="264" w:lineRule="auto"/>
        <w:tabs>
          <w:tab w:leader="none" w:pos="110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Jurisdiction</w:t>
      </w:r>
      <w:r>
        <w:rPr>
          <w:rFonts w:ascii="Arial" w:cs="Arial" w:eastAsia="Arial" w:hAnsi="Arial"/>
          <w:sz w:val="16"/>
          <w:szCs w:val="16"/>
          <w:color w:val="auto"/>
        </w:rPr>
        <w:t>. All questions concerning the construction, validity, enforcement and interpretation of this Warrant shall be determined in accordance with the provisions of the Purchase Agreement.</w:t>
      </w:r>
    </w:p>
    <w:p>
      <w:pPr>
        <w:spacing w:after="0" w:line="191" w:lineRule="exact"/>
        <w:rPr>
          <w:rFonts w:ascii="Arial" w:cs="Arial" w:eastAsia="Arial" w:hAnsi="Arial"/>
          <w:sz w:val="16"/>
          <w:szCs w:val="16"/>
          <w:color w:val="auto"/>
        </w:rPr>
      </w:pPr>
    </w:p>
    <w:p>
      <w:pPr>
        <w:ind w:left="560" w:right="560" w:firstLine="163"/>
        <w:spacing w:after="0" w:line="264" w:lineRule="auto"/>
        <w:tabs>
          <w:tab w:leader="none" w:pos="1090"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Holder acknowledges that the Warrant Shares acquired upon the exercise of this Warrant, if not registered, will have restrictions upon resale imposed by state and U.S. federal and Israeli securities laws.</w:t>
      </w:r>
    </w:p>
    <w:p>
      <w:pPr>
        <w:spacing w:after="0" w:line="191" w:lineRule="exact"/>
        <w:rPr>
          <w:rFonts w:ascii="Arial" w:cs="Arial" w:eastAsia="Arial" w:hAnsi="Arial"/>
          <w:sz w:val="16"/>
          <w:szCs w:val="16"/>
          <w:color w:val="auto"/>
        </w:rPr>
      </w:pPr>
    </w:p>
    <w:p>
      <w:pPr>
        <w:ind w:left="560" w:right="100" w:firstLine="163"/>
        <w:spacing w:after="0" w:line="252" w:lineRule="auto"/>
        <w:tabs>
          <w:tab w:leader="none" w:pos="111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Nonwaiver and Expenses</w:t>
      </w:r>
      <w:r>
        <w:rPr>
          <w:rFonts w:ascii="Arial" w:cs="Arial" w:eastAsia="Arial" w:hAnsi="Arial"/>
          <w:sz w:val="16"/>
          <w:szCs w:val="16"/>
          <w:color w:val="auto"/>
        </w:rPr>
        <w:t>. No course of dealing or any delay or failure to exercise any right hereunder on the part of Holder shall operate as a waiver of such right or otherwise prejudice the Company’s or the Holder’s rights, powers or remedies, notwithstanding the fact that all rights hereunder terminate on the Termination Date. If the Company or a Holder willfully and knowingly fails to comply with any provision of this Warrant, which results in any material damages to the Holder or Company (as the case may be), the breaching party shall pay to the other party such amounts as shall be sufficient to cover any costs and expenses including, but not limited to, reasonable attorneys’ fees, including those of appellate proceedings, incurred by the non-breaching party in collecting any amounts due pursuant hereto or in otherwise enforcing any of its rights, powers or remedies hereunder.</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7575" cy="35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85" w:lineRule="exact"/>
        <w:rPr>
          <w:sz w:val="20"/>
          <w:szCs w:val="20"/>
          <w:color w:val="auto"/>
        </w:rPr>
      </w:pPr>
    </w:p>
    <w:p>
      <w:pPr>
        <w:ind w:left="560" w:right="40" w:firstLine="163"/>
        <w:spacing w:after="0" w:line="264" w:lineRule="auto"/>
        <w:tabs>
          <w:tab w:leader="none" w:pos="111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other document required or permitted to be given or delivered to the Holder by the Company shall be delivered in accordance with the notice provisions of the Purchase Agreement.</w:t>
      </w:r>
    </w:p>
    <w:p>
      <w:pPr>
        <w:spacing w:after="0" w:line="191" w:lineRule="exact"/>
        <w:rPr>
          <w:rFonts w:ascii="Arial" w:cs="Arial" w:eastAsia="Arial" w:hAnsi="Arial"/>
          <w:sz w:val="16"/>
          <w:szCs w:val="16"/>
          <w:color w:val="auto"/>
        </w:rPr>
      </w:pPr>
    </w:p>
    <w:p>
      <w:pPr>
        <w:ind w:left="560" w:right="480" w:firstLine="163"/>
        <w:spacing w:after="0" w:line="256" w:lineRule="auto"/>
        <w:tabs>
          <w:tab w:leader="none" w:pos="1081"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Holder to exercise this Warrant to purchase Warrant Shares, and no enumeration herein of the rights or privileges of Holder, shall give rise to any liability of Holder for the purchase price of any Common Stock or as a stockholder of the Company, whether such liability is asserted by the Company or by creditors of the Company.</w:t>
      </w:r>
    </w:p>
    <w:p>
      <w:pPr>
        <w:spacing w:after="0" w:line="198" w:lineRule="exact"/>
        <w:rPr>
          <w:rFonts w:ascii="Arial" w:cs="Arial" w:eastAsia="Arial" w:hAnsi="Arial"/>
          <w:sz w:val="16"/>
          <w:szCs w:val="16"/>
          <w:color w:val="auto"/>
        </w:rPr>
      </w:pPr>
    </w:p>
    <w:p>
      <w:pPr>
        <w:jc w:val="both"/>
        <w:ind w:left="560" w:right="40" w:firstLine="163"/>
        <w:spacing w:after="0" w:line="310" w:lineRule="auto"/>
        <w:tabs>
          <w:tab w:leader="none" w:pos="1081"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Remedies</w:t>
      </w:r>
      <w:r>
        <w:rPr>
          <w:rFonts w:ascii="Arial" w:cs="Arial" w:eastAsia="Arial" w:hAnsi="Arial"/>
          <w:sz w:val="14"/>
          <w:szCs w:val="14"/>
          <w:color w:val="auto"/>
        </w:rPr>
        <w:t>. Holder, in addition to being entitled to exercise all rights granted by law, including recovery of damages, will be entitled to seek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63" w:lineRule="exact"/>
        <w:rPr>
          <w:rFonts w:ascii="Arial" w:cs="Arial" w:eastAsia="Arial" w:hAnsi="Arial"/>
          <w:sz w:val="14"/>
          <w:szCs w:val="14"/>
          <w:color w:val="auto"/>
        </w:rPr>
      </w:pPr>
    </w:p>
    <w:p>
      <w:pPr>
        <w:jc w:val="both"/>
        <w:ind w:left="560" w:firstLine="163"/>
        <w:spacing w:after="0" w:line="310" w:lineRule="auto"/>
        <w:tabs>
          <w:tab w:leader="none" w:pos="1116"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Subject to applicable securities laws, this Warrant and the rights and obligations evidenced hereby shall inure to the benefit of and be binding upon the successors of the Company and the successors and permitted assigns of Holder as set forth in the Purchase Agreement. The provisions of this Warrant are intended to be for the benefit of all Holders from time to time of this Warrant and shall be enforceable by any such Holder or holder of Warrant Shares.</w:t>
      </w:r>
    </w:p>
    <w:p>
      <w:pPr>
        <w:spacing w:after="0" w:line="163" w:lineRule="exact"/>
        <w:rPr>
          <w:rFonts w:ascii="Arial" w:cs="Arial" w:eastAsia="Arial" w:hAnsi="Arial"/>
          <w:sz w:val="14"/>
          <w:szCs w:val="14"/>
          <w:color w:val="auto"/>
        </w:rPr>
      </w:pPr>
    </w:p>
    <w:p>
      <w:pPr>
        <w:ind w:left="1080" w:hanging="357"/>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 Holder.</w:t>
      </w:r>
    </w:p>
    <w:p>
      <w:pPr>
        <w:spacing w:after="0" w:line="221" w:lineRule="exact"/>
        <w:rPr>
          <w:rFonts w:ascii="Arial" w:cs="Arial" w:eastAsia="Arial" w:hAnsi="Arial"/>
          <w:sz w:val="16"/>
          <w:szCs w:val="16"/>
          <w:color w:val="auto"/>
        </w:rPr>
      </w:pPr>
    </w:p>
    <w:p>
      <w:pPr>
        <w:jc w:val="both"/>
        <w:ind w:left="560" w:right="420" w:firstLine="163"/>
        <w:spacing w:after="0" w:line="256" w:lineRule="auto"/>
        <w:tabs>
          <w:tab w:leader="none" w:pos="115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98" w:lineRule="exact"/>
        <w:rPr>
          <w:rFonts w:ascii="Arial" w:cs="Arial" w:eastAsia="Arial" w:hAnsi="Arial"/>
          <w:sz w:val="16"/>
          <w:szCs w:val="16"/>
          <w:color w:val="auto"/>
        </w:rPr>
      </w:pPr>
    </w:p>
    <w:p>
      <w:pPr>
        <w:ind w:left="1120" w:hanging="397"/>
        <w:spacing w:after="0"/>
        <w:tabs>
          <w:tab w:leader="none" w:pos="1120" w:val="left"/>
        </w:tabs>
        <w:numPr>
          <w:ilvl w:val="0"/>
          <w:numId w:val="77"/>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used in this Warrant are for the convenience of reference only and shall not, for any purpose, be deemed a part of this Warrant.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7575" cy="355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38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WITNESS WHEREOF, the Company has caused this Warrant to be executed by its officer thereunto duly authorized.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Dated: March 15, 2007</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TOWER SEMICONDUCTOR LTD.</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7"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7575" cy="35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EXERCISE</w:t>
      </w:r>
    </w:p>
    <w:p>
      <w:pPr>
        <w:spacing w:after="0" w:line="275"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3"/>
          <w:szCs w:val="13"/>
          <w:color w:val="auto"/>
        </w:rPr>
        <w:t>_______________________</w:t>
      </w:r>
    </w:p>
    <w:p>
      <w:pPr>
        <w:spacing w:after="0" w:line="198" w:lineRule="exact"/>
        <w:rPr>
          <w:sz w:val="20"/>
          <w:szCs w:val="20"/>
          <w:color w:val="auto"/>
        </w:rPr>
      </w:pPr>
    </w:p>
    <w:p>
      <w:pPr>
        <w:ind w:right="380" w:firstLine="305"/>
        <w:spacing w:after="0" w:line="264" w:lineRule="auto"/>
        <w:tabs>
          <w:tab w:leader="none" w:pos="53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7" w:lineRule="exact"/>
        <w:rPr>
          <w:rFonts w:ascii="Arial" w:cs="Arial" w:eastAsia="Arial" w:hAnsi="Arial"/>
          <w:sz w:val="16"/>
          <w:szCs w:val="16"/>
          <w:color w:val="auto"/>
        </w:rPr>
      </w:pPr>
    </w:p>
    <w:p>
      <w:pPr>
        <w:ind w:left="520" w:hanging="215"/>
        <w:spacing w:after="0"/>
        <w:tabs>
          <w:tab w:leader="none" w:pos="5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Payment shall take the form of (check applicable box):</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 xml:space="preserve">o </w:t>
      </w:r>
      <w:r>
        <w:rPr>
          <w:rFonts w:ascii="Arial" w:cs="Arial" w:eastAsia="Arial" w:hAnsi="Arial"/>
          <w:sz w:val="15"/>
          <w:szCs w:val="15"/>
          <w:color w:val="auto"/>
        </w:rPr>
        <w:t>in lawful money of the United States; or</w:t>
      </w:r>
    </w:p>
    <w:p>
      <w:pPr>
        <w:spacing w:after="0" w:line="211" w:lineRule="exact"/>
        <w:rPr>
          <w:sz w:val="20"/>
          <w:szCs w:val="20"/>
          <w:color w:val="auto"/>
        </w:rPr>
      </w:pPr>
    </w:p>
    <w:p>
      <w:pPr>
        <w:ind w:left="1140" w:right="40"/>
        <w:spacing w:after="0" w:line="232" w:lineRule="auto"/>
        <w:rPr>
          <w:sz w:val="20"/>
          <w:szCs w:val="20"/>
          <w:color w:val="auto"/>
        </w:rPr>
      </w:pPr>
      <w:r>
        <w:rPr>
          <w:rFonts w:ascii="Arial" w:cs="Arial" w:eastAsia="Arial" w:hAnsi="Arial"/>
          <w:sz w:val="19"/>
          <w:szCs w:val="19"/>
          <w:color w:val="auto"/>
        </w:rPr>
        <w:t xml:space="preserve">o </w:t>
      </w:r>
      <w:r>
        <w:rPr>
          <w:rFonts w:ascii="Arial" w:cs="Arial" w:eastAsia="Arial" w:hAnsi="Arial"/>
          <w:sz w:val="15"/>
          <w:szCs w:val="15"/>
          <w:color w:val="auto"/>
        </w:rPr>
        <w:t>the cancellation of such number of Warrant Shares as is necessary, in accordance with the formula set forth in subsection 2(c), to exercise this Warrant with respect</w:t>
      </w:r>
      <w:r>
        <w:rPr>
          <w:rFonts w:ascii="Arial" w:cs="Arial" w:eastAsia="Arial" w:hAnsi="Arial"/>
          <w:sz w:val="19"/>
          <w:szCs w:val="19"/>
          <w:color w:val="auto"/>
        </w:rPr>
        <w:t xml:space="preserve"> </w:t>
      </w:r>
      <w:r>
        <w:rPr>
          <w:rFonts w:ascii="Arial" w:cs="Arial" w:eastAsia="Arial" w:hAnsi="Arial"/>
          <w:sz w:val="15"/>
          <w:szCs w:val="15"/>
          <w:color w:val="auto"/>
        </w:rPr>
        <w:t>to the maximum number of Warrant Shares purchasable pursuant to the cashless exercise procedure set forth in subsection 2(c).</w:t>
      </w:r>
    </w:p>
    <w:p>
      <w:pPr>
        <w:spacing w:after="0" w:line="200" w:lineRule="exact"/>
        <w:rPr>
          <w:sz w:val="20"/>
          <w:szCs w:val="20"/>
          <w:color w:val="auto"/>
        </w:rPr>
      </w:pPr>
    </w:p>
    <w:p>
      <w:pPr>
        <w:spacing w:after="0" w:line="201" w:lineRule="exact"/>
        <w:rPr>
          <w:sz w:val="20"/>
          <w:szCs w:val="20"/>
          <w:color w:val="auto"/>
        </w:rPr>
      </w:pPr>
    </w:p>
    <w:p>
      <w:pPr>
        <w:ind w:left="520" w:hanging="215"/>
        <w:spacing w:after="0"/>
        <w:tabs>
          <w:tab w:leader="none" w:pos="5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Please issue a certificate or certificates representing said Warrant Shares in the name of the undersigned or in such other name as is specified below:</w:t>
      </w:r>
    </w:p>
    <w:p>
      <w:pPr>
        <w:spacing w:after="0" w:line="197" w:lineRule="exact"/>
        <w:rPr>
          <w:rFonts w:ascii="Arial" w:cs="Arial" w:eastAsia="Arial" w:hAnsi="Arial"/>
          <w:sz w:val="16"/>
          <w:szCs w:val="16"/>
          <w:color w:val="auto"/>
        </w:rPr>
      </w:pPr>
    </w:p>
    <w:p>
      <w:pPr>
        <w:ind w:left="1720"/>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w:t>
      </w:r>
    </w:p>
    <w:p>
      <w:pPr>
        <w:sectPr>
          <w:pgSz w:w="11900" w:h="16838" w:orient="portrait"/>
          <w:cols w:equalWidth="0" w:num="1">
            <w:col w:w="11440"/>
          </w:cols>
          <w:pgMar w:left="240" w:top="132" w:right="219" w:bottom="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The Warrant Shares shall be delivered to the following DWAC Account Number or by physical delivery of a certificate to:</w:t>
      </w:r>
    </w:p>
    <w:p>
      <w:pPr>
        <w:sectPr>
          <w:pgSz w:w="11900" w:h="16838" w:orient="portrait"/>
          <w:cols w:equalWidth="0" w:num="1">
            <w:col w:w="11440"/>
          </w:cols>
          <w:pgMar w:left="240" w:top="132" w:right="219" w:bottom="0" w:gutter="0" w:footer="0" w:header="0"/>
          <w:type w:val="continuous"/>
        </w:sectPr>
      </w:pPr>
    </w:p>
    <w:bookmarkStart w:id="78" w:name="page79"/>
    <w:bookmarkEnd w:id="78"/>
    <w:p>
      <w:pPr>
        <w:ind w:left="1720"/>
        <w:spacing w:after="0"/>
        <w:rPr>
          <w:sz w:val="20"/>
          <w:szCs w:val="20"/>
          <w:color w:val="auto"/>
        </w:rPr>
      </w:pPr>
      <w:r>
        <w:rPr>
          <w:rFonts w:ascii="Arial" w:cs="Arial" w:eastAsia="Arial" w:hAnsi="Arial"/>
          <w:sz w:val="16"/>
          <w:szCs w:val="16"/>
          <w:color w:val="auto"/>
        </w:rPr>
        <w:t>________________________________________</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________________________________________</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________________________________________</w:t>
      </w:r>
    </w:p>
    <w:p>
      <w:pPr>
        <w:spacing w:after="0" w:line="200" w:lineRule="exact"/>
        <w:rPr>
          <w:sz w:val="20"/>
          <w:szCs w:val="20"/>
          <w:color w:val="auto"/>
        </w:rPr>
      </w:pPr>
    </w:p>
    <w:p>
      <w:pPr>
        <w:spacing w:after="0" w:line="212" w:lineRule="exact"/>
        <w:rPr>
          <w:sz w:val="20"/>
          <w:szCs w:val="20"/>
          <w:color w:val="auto"/>
        </w:rPr>
      </w:pPr>
    </w:p>
    <w:p>
      <w:pPr>
        <w:ind w:left="520" w:hanging="215"/>
        <w:spacing w:after="0"/>
        <w:tabs>
          <w:tab w:leader="none" w:pos="52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 1933, as amended.</w:t>
      </w:r>
    </w:p>
    <w:p>
      <w:pPr>
        <w:spacing w:after="0" w:line="197" w:lineRule="exact"/>
        <w:rPr>
          <w:rFonts w:ascii="Arial" w:cs="Arial" w:eastAsia="Arial" w:hAnsi="Arial"/>
          <w:sz w:val="16"/>
          <w:szCs w:val="16"/>
          <w:color w:val="auto"/>
        </w:rPr>
      </w:pPr>
    </w:p>
    <w:p>
      <w:pPr>
        <w:jc w:val="both"/>
        <w:ind w:firstLine="305"/>
        <w:spacing w:after="0" w:line="256" w:lineRule="auto"/>
        <w:tabs>
          <w:tab w:leader="none" w:pos="53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exercising this Warrant, the undersigned hereby confirms and acknowledges that the Warrant Shares are being acquired solely for the account of the undersigned and not as a nominee for any other party, or for investment, and that the undersigned will not offer, sell or otherwise dispose of any such Warrant Shares except under circumstances that will not result in a violation of the Securities Act of 1933, as amended, or any state securities laws.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[SIGNATURE OF HOLDER]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Investing Entity: ________________________________________________________________________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of Authorized Signatory of Investing Entity</w:t>
      </w:r>
      <w:r>
        <w:rPr>
          <w:rFonts w:ascii="Arial" w:cs="Arial" w:eastAsia="Arial" w:hAnsi="Arial"/>
          <w:sz w:val="16"/>
          <w:szCs w:val="16"/>
          <w:color w:val="auto"/>
        </w:rPr>
        <w:t>: _________________________________________________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Authorized Signatory: 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Title of Authorized Signatory: 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67575" cy="35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ASSIGNMENT FORM</w:t>
      </w:r>
    </w:p>
    <w:p>
      <w:pPr>
        <w:spacing w:after="0" w:line="27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(To assign the foregoing warrant, execute</w:t>
      </w:r>
    </w:p>
    <w:p>
      <w:pPr>
        <w:spacing w:after="0" w:line="12"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this form and supply required information.</w:t>
      </w:r>
    </w:p>
    <w:p>
      <w:pPr>
        <w:spacing w:after="0" w:line="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Do not use this form to exercise the warrant.)</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VALUE RECEIVED, [ ____ ] all of or [ _______ ] shares of the foregoing Warrant and all rights evidenced thereby are hereby assigned to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 whose address is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w:t>
      </w:r>
    </w:p>
    <w:p>
      <w:pPr>
        <w:spacing w:after="0" w:line="198"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Dated: __________________, _____</w:t>
      </w:r>
    </w:p>
    <w:p>
      <w:pPr>
        <w:spacing w:after="0" w:line="24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Holder's Signature: _____________________________</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Holder's Address: _____________________________</w:t>
      </w:r>
    </w:p>
    <w:p>
      <w:pPr>
        <w:spacing w:after="0" w:line="198"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_____________________________</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 ___________________________________________</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67575" cy="35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35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4270375</wp:posOffset>
            </wp:positionV>
            <wp:extent cx="7282815" cy="292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2815" cy="29210"/>
                    </a:xfrm>
                    <a:prstGeom prst="rect">
                      <a:avLst/>
                    </a:prstGeom>
                    <a:noFill/>
                  </pic:spPr>
                </pic:pic>
              </a:graphicData>
            </a:graphic>
          </wp:anchor>
        </w:drawing>
      </w:r>
    </w:p>
    <w:p>
      <w:pPr>
        <w:sectPr>
          <w:pgSz w:w="11900" w:h="16838" w:orient="portrait"/>
          <w:cols w:equalWidth="0" w:num="1">
            <w:col w:w="11320"/>
          </w:cols>
          <w:pgMar w:left="240" w:top="132"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u w:val="single" w:color="auto"/>
          <w:color w:val="auto"/>
        </w:rPr>
        <w:t>EXHIBIT 99.7</w:t>
      </w:r>
    </w:p>
    <w:p>
      <w:pPr>
        <w:spacing w:after="0" w:line="198" w:lineRule="exact"/>
        <w:rPr>
          <w:sz w:val="20"/>
          <w:szCs w:val="20"/>
          <w:color w:val="auto"/>
        </w:rPr>
      </w:pPr>
    </w:p>
    <w:p>
      <w:pPr>
        <w:ind w:left="10620"/>
        <w:spacing w:after="0"/>
        <w:rPr>
          <w:sz w:val="20"/>
          <w:szCs w:val="20"/>
          <w:color w:val="auto"/>
        </w:rPr>
      </w:pPr>
      <w:r>
        <w:rPr>
          <w:rFonts w:ascii="Arial" w:cs="Arial" w:eastAsia="Arial" w:hAnsi="Arial"/>
          <w:sz w:val="16"/>
          <w:szCs w:val="16"/>
          <w:b w:val="1"/>
          <w:bCs w:val="1"/>
          <w:color w:val="auto"/>
        </w:rPr>
        <w:t>EXHIBIT D</w:t>
      </w:r>
    </w:p>
    <w:p>
      <w:pPr>
        <w:spacing w:after="0" w:line="204" w:lineRule="exact"/>
        <w:rPr>
          <w:sz w:val="20"/>
          <w:szCs w:val="20"/>
          <w:color w:val="auto"/>
        </w:rPr>
      </w:pPr>
    </w:p>
    <w:p>
      <w:pPr>
        <w:ind w:right="60"/>
        <w:spacing w:after="0" w:line="291" w:lineRule="auto"/>
        <w:rPr>
          <w:sz w:val="20"/>
          <w:szCs w:val="20"/>
          <w:color w:val="auto"/>
        </w:rPr>
      </w:pPr>
      <w:r>
        <w:rPr>
          <w:rFonts w:ascii="Arial" w:cs="Arial" w:eastAsia="Arial" w:hAnsi="Arial"/>
          <w:sz w:val="14"/>
          <w:szCs w:val="14"/>
          <w:color w:val="auto"/>
        </w:rPr>
        <w:t>NEITHER THIS SECURITY NOR THE SECURITIES INTO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SERIES II WARRANT</w:t>
      </w:r>
    </w:p>
    <w:p>
      <w:pPr>
        <w:spacing w:after="0" w:line="275"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To Purchase __________ Ordinary Shares of</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TOWER SEMICONDUCTOR LTD.</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Issue Date: March 15, 2007</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THIS SERIES II WARRANT (the “</w:t>
      </w:r>
      <w:r>
        <w:rPr>
          <w:rFonts w:ascii="Arial" w:cs="Arial" w:eastAsia="Arial" w:hAnsi="Arial"/>
          <w:sz w:val="14"/>
          <w:szCs w:val="14"/>
          <w:u w:val="single" w:color="auto"/>
          <w:color w:val="auto"/>
        </w:rPr>
        <w:t>Warrant</w:t>
      </w:r>
      <w:r>
        <w:rPr>
          <w:rFonts w:ascii="Arial" w:cs="Arial" w:eastAsia="Arial" w:hAnsi="Arial"/>
          <w:sz w:val="14"/>
          <w:szCs w:val="14"/>
          <w:color w:val="auto"/>
        </w:rPr>
        <w:t>”) certifies that, for value received, _____________ (the “</w:t>
      </w:r>
      <w:r>
        <w:rPr>
          <w:rFonts w:ascii="Arial" w:cs="Arial" w:eastAsia="Arial" w:hAnsi="Arial"/>
          <w:sz w:val="14"/>
          <w:szCs w:val="14"/>
          <w:u w:val="single" w:color="auto"/>
          <w:color w:val="auto"/>
        </w:rPr>
        <w:t>Holder</w:t>
      </w:r>
      <w:r>
        <w:rPr>
          <w:rFonts w:ascii="Arial" w:cs="Arial" w:eastAsia="Arial" w:hAnsi="Arial"/>
          <w:sz w:val="14"/>
          <w:szCs w:val="14"/>
          <w:color w:val="auto"/>
        </w:rPr>
        <w:t>”), is entitled, upon the terms and subject to the limitations on</w:t>
      </w:r>
    </w:p>
    <w:p>
      <w:pPr>
        <w:spacing w:after="0" w:line="35" w:lineRule="exact"/>
        <w:rPr>
          <w:sz w:val="20"/>
          <w:szCs w:val="20"/>
          <w:color w:val="auto"/>
        </w:rPr>
      </w:pPr>
    </w:p>
    <w:p>
      <w:pPr>
        <w:ind w:right="80"/>
        <w:spacing w:after="0" w:line="284" w:lineRule="auto"/>
        <w:rPr>
          <w:sz w:val="20"/>
          <w:szCs w:val="20"/>
          <w:color w:val="auto"/>
        </w:rPr>
      </w:pPr>
      <w:r>
        <w:rPr>
          <w:rFonts w:ascii="Arial" w:cs="Arial" w:eastAsia="Arial" w:hAnsi="Arial"/>
          <w:sz w:val="14"/>
          <w:szCs w:val="14"/>
          <w:color w:val="auto"/>
        </w:rPr>
        <w:t>exercise and the conditions hereinafter set forth, at any time on or after the date hereof (the “</w:t>
      </w:r>
      <w:r>
        <w:rPr>
          <w:rFonts w:ascii="Arial" w:cs="Arial" w:eastAsia="Arial" w:hAnsi="Arial"/>
          <w:sz w:val="14"/>
          <w:szCs w:val="14"/>
          <w:u w:val="single" w:color="auto"/>
          <w:color w:val="auto"/>
        </w:rPr>
        <w:t>Initial Exercise Date</w:t>
      </w:r>
      <w:r>
        <w:rPr>
          <w:rFonts w:ascii="Arial" w:cs="Arial" w:eastAsia="Arial" w:hAnsi="Arial"/>
          <w:sz w:val="14"/>
          <w:szCs w:val="14"/>
          <w:color w:val="auto"/>
        </w:rPr>
        <w:t>”) and on or prior to the close of business on the Termination Date but not thereafter, to subscribe for and purchase from Tower Semiconductor Ltd., an Israeli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up to ______ shares (the “</w:t>
      </w:r>
      <w:r>
        <w:rPr>
          <w:rFonts w:ascii="Arial" w:cs="Arial" w:eastAsia="Arial" w:hAnsi="Arial"/>
          <w:sz w:val="14"/>
          <w:szCs w:val="14"/>
          <w:u w:val="single" w:color="auto"/>
          <w:color w:val="auto"/>
        </w:rPr>
        <w:t>Warrant Shares</w:t>
      </w:r>
      <w:r>
        <w:rPr>
          <w:rFonts w:ascii="Arial" w:cs="Arial" w:eastAsia="Arial" w:hAnsi="Arial"/>
          <w:sz w:val="14"/>
          <w:szCs w:val="14"/>
          <w:color w:val="auto"/>
        </w:rPr>
        <w:t>”) of ordinary shares,</w:t>
      </w:r>
    </w:p>
    <w:p>
      <w:pPr>
        <w:spacing w:after="0" w:line="1"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par value NIS 1.00 per share, of the Company (the “</w:t>
      </w:r>
      <w:r>
        <w:rPr>
          <w:rFonts w:ascii="Arial" w:cs="Arial" w:eastAsia="Arial" w:hAnsi="Arial"/>
          <w:sz w:val="14"/>
          <w:szCs w:val="14"/>
          <w:u w:val="single" w:color="auto"/>
          <w:color w:val="auto"/>
        </w:rPr>
        <w:t>Common Stock</w:t>
      </w:r>
      <w:r>
        <w:rPr>
          <w:rFonts w:ascii="Arial" w:cs="Arial" w:eastAsia="Arial" w:hAnsi="Arial"/>
          <w:sz w:val="14"/>
          <w:szCs w:val="14"/>
          <w:color w:val="auto"/>
        </w:rPr>
        <w:t>”). The purchase price of one share of Common Stock under this Warrant shall be equal to the Exercise Price, as defined in Section 2(b). “</w:t>
      </w:r>
      <w:r>
        <w:rPr>
          <w:rFonts w:ascii="Arial" w:cs="Arial" w:eastAsia="Arial" w:hAnsi="Arial"/>
          <w:sz w:val="14"/>
          <w:szCs w:val="14"/>
          <w:u w:val="single" w:color="auto"/>
          <w:color w:val="auto"/>
        </w:rPr>
        <w:t>Termination Date</w:t>
      </w:r>
      <w:r>
        <w:rPr>
          <w:rFonts w:ascii="Arial" w:cs="Arial" w:eastAsia="Arial" w:hAnsi="Arial"/>
          <w:sz w:val="14"/>
          <w:szCs w:val="14"/>
          <w:color w:val="auto"/>
        </w:rPr>
        <w:t>” shall mean the later of (i) December 31, 2007 and (ii) 90 days after the Effective Date (as defined in the Purchase Agreement) of the Registration Statement; provided, however, that if at any time after the Effective Date the Registration Statement is not effective or has been suspended, or any stop order is in effect, or the Holder is unable to sell such Warrant Shares pursuant to the Registration Statement for any reason, the Termination Date shall be extended by the number of days that the Holder is unable to sell such Warrant Shares pursuant to the Registration Statement, in each case subject to the call right described below in Section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7575" cy="35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80" w:name="page81"/>
    <w:bookmarkEnd w:id="80"/>
    <w:p>
      <w:pPr>
        <w:ind w:right="240" w:firstLine="155"/>
        <w:spacing w:after="0" w:line="264"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and not otherwise defined herein shall have the meanings set forth in that certain Securities Purchase Agreement (the “</w:t>
      </w:r>
      <w:r>
        <w:rPr>
          <w:rFonts w:ascii="Arial" w:cs="Arial" w:eastAsia="Arial" w:hAnsi="Arial"/>
          <w:sz w:val="16"/>
          <w:szCs w:val="16"/>
          <w:u w:val="single" w:color="auto"/>
          <w:color w:val="auto"/>
        </w:rPr>
        <w:t>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dated March 14, 2007, among the Company and the purchasers signatory thereto.</w:t>
      </w:r>
    </w:p>
    <w:p>
      <w:pPr>
        <w:spacing w:after="0" w:line="168" w:lineRule="exact"/>
        <w:rPr>
          <w:sz w:val="20"/>
          <w:szCs w:val="20"/>
          <w:color w:val="auto"/>
        </w:rPr>
      </w:pPr>
    </w:p>
    <w:p>
      <w:pPr>
        <w:ind w:left="160"/>
        <w:spacing w:after="0"/>
        <w:tabs>
          <w:tab w:leader="none" w:pos="1020" w:val="left"/>
        </w:tabs>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w:t>
      </w:r>
      <w:r>
        <w:rPr>
          <w:sz w:val="20"/>
          <w:szCs w:val="20"/>
          <w:color w:val="auto"/>
        </w:rPr>
        <w:tab/>
      </w:r>
      <w:r>
        <w:rPr>
          <w:rFonts w:ascii="Arial" w:cs="Arial" w:eastAsia="Arial" w:hAnsi="Arial"/>
          <w:sz w:val="14"/>
          <w:szCs w:val="14"/>
          <w:u w:val="single" w:color="auto"/>
          <w:color w:val="auto"/>
        </w:rPr>
        <w:t>Exercise</w:t>
      </w:r>
      <w:r>
        <w:rPr>
          <w:rFonts w:ascii="Arial" w:cs="Arial" w:eastAsia="Arial" w:hAnsi="Arial"/>
          <w:sz w:val="14"/>
          <w:szCs w:val="14"/>
          <w:color w:val="auto"/>
        </w:rPr>
        <w:t>.</w:t>
      </w:r>
    </w:p>
    <w:p>
      <w:pPr>
        <w:spacing w:after="0" w:line="198" w:lineRule="exact"/>
        <w:rPr>
          <w:sz w:val="20"/>
          <w:szCs w:val="20"/>
          <w:color w:val="auto"/>
        </w:rPr>
      </w:pPr>
    </w:p>
    <w:p>
      <w:pPr>
        <w:ind w:left="560" w:firstLine="163"/>
        <w:spacing w:after="0" w:line="311" w:lineRule="auto"/>
        <w:tabs>
          <w:tab w:leader="none" w:pos="1107" w:val="left"/>
        </w:tabs>
        <w:numPr>
          <w:ilvl w:val="1"/>
          <w:numId w:val="81"/>
        </w:numPr>
        <w:rPr>
          <w:rFonts w:ascii="Arial" w:cs="Arial" w:eastAsia="Arial" w:hAnsi="Arial"/>
          <w:sz w:val="13"/>
          <w:szCs w:val="13"/>
          <w:color w:val="auto"/>
        </w:rPr>
      </w:pPr>
      <w:r>
        <w:rPr>
          <w:rFonts w:ascii="Arial" w:cs="Arial" w:eastAsia="Arial" w:hAnsi="Arial"/>
          <w:sz w:val="13"/>
          <w:szCs w:val="13"/>
          <w:u w:val="single" w:color="auto"/>
          <w:color w:val="auto"/>
        </w:rPr>
        <w:t>Exercise of Warrant</w:t>
      </w:r>
      <w:r>
        <w:rPr>
          <w:rFonts w:ascii="Arial" w:cs="Arial" w:eastAsia="Arial" w:hAnsi="Arial"/>
          <w:sz w:val="13"/>
          <w:szCs w:val="13"/>
          <w:color w:val="auto"/>
        </w:rPr>
        <w:t>. Exercise of the purchase rights represented by this Warrant may be made, in whole or in part (but if in part, the aggregate Exercise Price shall be in multiples of the Exercise Price, except if the exercise shall be for all of the then Warrant Shares available hereunder and the Warrant has been exercised in full), at any time or times on or after the Initial Exercise Date and on or before the Termination Date by delivery to the Company of a duly executed facsimile copy of the Notice of Exercise Form annexed hereto (or such other office or agency of the Company as it may designate by notice in writing to the registered Holder at the address of such Holder appearing on the books of the Company); and, within 3 Trading Days of the date said Notice of Exercise is delivered to the Company, the Company shall have received payment of the aggregate Exercise Price of the shares thereby purchased by wire transfer or cashier’s check drawn on a United States bank.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2 Trading Days of receipt of such notice. In the case of a dispute as to the determination of the Exercise Price or the arithmetic calculation of the Warrant Shares, or as to the number of Warrant Shares exercisable under this Warrant or the Exercise Price otherwise in effect from time to time, the Company shall submit the disputed determinations or arithmetic calculations via facsimile within two Business Days of receipt of the Exercise Notice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facsimile</w:t>
      </w:r>
    </w:p>
    <w:p>
      <w:pPr>
        <w:spacing w:after="0" w:line="152" w:lineRule="exact"/>
        <w:rPr>
          <w:rFonts w:ascii="Arial" w:cs="Arial" w:eastAsia="Arial" w:hAnsi="Arial"/>
          <w:sz w:val="13"/>
          <w:szCs w:val="13"/>
          <w:color w:val="auto"/>
        </w:rPr>
      </w:pPr>
    </w:p>
    <w:p>
      <w:pPr>
        <w:ind w:left="560" w:right="120" w:firstLine="8"/>
        <w:spacing w:after="0" w:line="317" w:lineRule="auto"/>
        <w:tabs>
          <w:tab w:leader="none" w:pos="771"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disputed determination of the Exercise Price to an independent, reputable investment bank selected by the Company and approved by the Holder or (b) the disputed arithmetic calculation of the Warrant Shares to the Company’s independent, outside accountant, in each case with such additional documentation as reasonably requested by the Company and the Holder with respect to such dispute. The Company shall cause at its expense the investment bank or the accountant, as the case may be, to perform the determinations or calculations and notify the Company and the Holder of the results no later than ten Business Days from the time it receives the disputed determinations or calculations. Such investment bank’s or accountant’s determination or calculation, as the case may be, shall be binding upon all parties absent manifest error. 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7575" cy="35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81" w:name="page82"/>
    <w:bookmarkEnd w:id="81"/>
    <w:p>
      <w:pPr>
        <w:ind w:left="397" w:hanging="397"/>
        <w:spacing w:after="0"/>
        <w:tabs>
          <w:tab w:leader="none" w:pos="397"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per share of the Common Stock under this Warrant shall be $1.70, subject to adjustment hereunder (the “</w:t>
      </w:r>
      <w:r>
        <w:rPr>
          <w:rFonts w:ascii="Arial" w:cs="Arial" w:eastAsia="Arial" w:hAnsi="Arial"/>
          <w:sz w:val="14"/>
          <w:szCs w:val="14"/>
          <w:u w:val="single" w:color="auto"/>
          <w:color w:val="auto"/>
        </w:rPr>
        <w:t>Exercise Price</w:t>
      </w:r>
      <w:r>
        <w:rPr>
          <w:rFonts w:ascii="Arial" w:cs="Arial" w:eastAsia="Arial" w:hAnsi="Arial"/>
          <w:sz w:val="14"/>
          <w:szCs w:val="14"/>
          <w:color w:val="auto"/>
        </w:rPr>
        <w:t>”).</w:t>
      </w:r>
    </w:p>
    <w:p>
      <w:pPr>
        <w:spacing w:after="0" w:line="244" w:lineRule="exact"/>
        <w:rPr>
          <w:rFonts w:ascii="Arial" w:cs="Arial" w:eastAsia="Arial" w:hAnsi="Arial"/>
          <w:sz w:val="14"/>
          <w:szCs w:val="14"/>
          <w:color w:val="auto"/>
        </w:rPr>
      </w:pPr>
    </w:p>
    <w:p>
      <w:pPr>
        <w:ind w:left="397" w:hanging="397"/>
        <w:spacing w:after="0"/>
        <w:tabs>
          <w:tab w:leader="none" w:pos="39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Exercise Limitations</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417" w:firstLine="155"/>
        <w:spacing w:after="0" w:line="286" w:lineRule="auto"/>
        <w:tabs>
          <w:tab w:leader="none" w:pos="964" w:val="left"/>
        </w:tabs>
        <w:numPr>
          <w:ilvl w:val="1"/>
          <w:numId w:val="83"/>
        </w:numPr>
        <w:rPr>
          <w:rFonts w:ascii="Arial" w:cs="Arial" w:eastAsia="Arial" w:hAnsi="Arial"/>
          <w:sz w:val="14"/>
          <w:szCs w:val="14"/>
          <w:color w:val="auto"/>
        </w:rPr>
      </w:pPr>
      <w:r>
        <w:rPr>
          <w:rFonts w:ascii="Arial" w:cs="Arial" w:eastAsia="Arial" w:hAnsi="Arial"/>
          <w:sz w:val="14"/>
          <w:szCs w:val="14"/>
          <w:u w:val="single" w:color="auto"/>
          <w:color w:val="auto"/>
        </w:rPr>
        <w:t>Beneficial Ownership</w:t>
      </w:r>
      <w:r>
        <w:rPr>
          <w:rFonts w:ascii="Arial" w:cs="Arial" w:eastAsia="Arial" w:hAnsi="Arial"/>
          <w:sz w:val="14"/>
          <w:szCs w:val="14"/>
          <w:color w:val="auto"/>
        </w:rPr>
        <w:t>. The Company shall not effect any exercise of this Warrant, and a Holder shall not have the right to exercise any portion of this Warrant subject to Section 4, to the extent that after giving effect to such issuance after exercise as set forth on the applicable Notice of Exercise, such Holder (together with such Holder’s Affiliates, and any other person or entity acting as a group together with such Holder or any of such Holder’s Affiliates), as set forth on the applicable Notice of Exercise, would beneficially own in excess of the Beneficial Ownership Limitation (as defined below). For purposes of the foregoing sentence, the number of shares of Common Stock beneficially owned by such Holder and its Affiliates shall include the number of shares of Common Stock issuable upon exercise of this Warrant with respect to which such determination is being made, but shall exclude the number of shares of Common Stock which would be issuable upon (A) exercise of the remaining, nonexercised portion of this Warrant beneficially owned by such Holder or any of its Affiliates and (B) exercise or conversion of the unexercised or nonconverted portion of any other securities of the Company (including, without limitation, any other convertible debentures or warrants) subject to a limitation on conversion or exercise analogous to the limitation contained herein beneficially owned by such Holder or any of its affiliates. Except as set forth in the preceding sentence, for purposes of this Section 2(c), beneficial ownership shall be calculated in accordance with Section 13(d) of the Exchange Act and the rules and regulations promulgated thereunder, it being acknowledged by a Holder that the Company is not representing to such Holder that such calculation is in compliance with Section 13(d) of the Exchange Act and such Holder is solely responsible for any schedules required to be filed in accordance therewith. To the extent that the limitation contained in this Section 2(c) applies, the determination of whether this Warrant is exercisable (in relation to other securities owned by such Holder together with any Affiliates) and of which a portion of this Warrant is exercisable shall be in the sole discretion of a Holder, and the submission of a Notice of Exercise shall be deemed to be each Holder’s determination of whether this Warrant is exercisable (in relation to other securities owned by such Holder together with any Affiliates) and of which portion of this Warrant is exercisable, in each case subject to such aggregate percentage limitation, and the Company shall have no obligation to verify or confirm the accuracy of such determination or any liability in connection thereto. In addition, a determination as to any group status as contemplated above shall be determined in accordance with Section 13(d) of the Exchange Act and the rules and regulations promulgated thereunder. For purposes of this Section 2(c), in determining the number of outstanding shares of Common Stock, a Holder may rely on the number of outstanding shares of Common Stock as reflected in the later dated of (x) the Company’s most recent Form 20-F (y) a more recent public announcement by the Company or (z) any other notice by the Company or the Company’s Transfer Agent setting forth the number of shares of Common Stock outstanding. Upon the written or oral request of a Holder, the Company shall within two Trading Days confirm orally and in writing to such Holder the number of shares of Common Stock then outstanding. In any case, the number of outstanding shares of Common Stock shall be determined after giving effect to the conversion or exercise of securities of the Company, including this Warrant, by such Holder or its Affiliates since the date as of which such number of outstanding shares of Common Stock was reported. The “Beneficial Ownership Limitation” shall be 4.99% of the number of shares of the Common Stock outstanding immediately after giving effect to the issuance of shares of Common Stock issuable upon exercise of this Warrant. The Beneficial Ownership Limitation provisions of this Section 2(c) may be waived by such Holder, at the election of such Holder, upon not less than 61 days’ prior notice to the Company to change the Beneficial Ownership Limitation to 9.99% of the number of shares of the Common Stock outstanding immediately after giving effect to the issuance of shares of Common Stock upon exercise of this Warrant, and the provisions of this Section 2(c) shall continue to apply. Upon such a change by a Holder of the Beneficial Ownership Limitation from such 4.99% limitation to such 9.99% limitation, the Beneficial Ownership Limitation may not be further waived by such Holder. The provisions of this paragraph shall be construed and implemented in a manner otherwise than in strict conformity with the terms of this Section 2(c)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71" w:lineRule="exact"/>
        <w:rPr>
          <w:sz w:val="20"/>
          <w:szCs w:val="20"/>
          <w:color w:val="auto"/>
        </w:rPr>
      </w:pPr>
    </w:p>
    <w:p>
      <w:pPr>
        <w:ind w:left="4957"/>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104775</wp:posOffset>
            </wp:positionV>
            <wp:extent cx="7267575" cy="35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0717"/>
          </w:cols>
          <w:pgMar w:left="963" w:top="132" w:right="219" w:bottom="1440" w:gutter="0" w:footer="0" w:header="0"/>
        </w:sectPr>
      </w:pPr>
    </w:p>
    <w:bookmarkStart w:id="82" w:name="page83"/>
    <w:bookmarkEnd w:id="82"/>
    <w:p>
      <w:pPr>
        <w:ind w:left="417" w:firstLine="194"/>
        <w:spacing w:after="0" w:line="287" w:lineRule="auto"/>
        <w:tabs>
          <w:tab w:leader="none" w:pos="1046" w:val="left"/>
        </w:tabs>
        <w:numPr>
          <w:ilvl w:val="2"/>
          <w:numId w:val="84"/>
        </w:numPr>
        <w:rPr>
          <w:rFonts w:ascii="Arial" w:cs="Arial" w:eastAsia="Arial" w:hAnsi="Arial"/>
          <w:sz w:val="14"/>
          <w:szCs w:val="14"/>
          <w:color w:val="auto"/>
        </w:rPr>
      </w:pPr>
      <w:r>
        <w:rPr>
          <w:rFonts w:ascii="Arial" w:cs="Arial" w:eastAsia="Arial" w:hAnsi="Arial"/>
          <w:sz w:val="14"/>
          <w:szCs w:val="14"/>
          <w:u w:val="single" w:color="auto"/>
          <w:color w:val="auto"/>
        </w:rPr>
        <w:t>Principal Market Regulation</w:t>
      </w:r>
      <w:r>
        <w:rPr>
          <w:rFonts w:ascii="Arial" w:cs="Arial" w:eastAsia="Arial" w:hAnsi="Arial"/>
          <w:sz w:val="14"/>
          <w:szCs w:val="14"/>
          <w:color w:val="auto"/>
        </w:rPr>
        <w:t>. The Company shall not be obligated to issue any shares of Common Stock upon exercise of this Warrant and no Buyer shall be entitled to receive any shares of Common Stock if the issuance of such shares of Common Stock together with the Common Stock issued pursuant to the Purchase Agreement would exceed that number of shares of Common Stock which the Company may issue upon exercise of the SPA Warrants without breaching the Company’s obligations under the rules or regulations of any applicable Trading Market (the “</w:t>
      </w:r>
      <w:r>
        <w:rPr>
          <w:rFonts w:ascii="Arial" w:cs="Arial" w:eastAsia="Arial" w:hAnsi="Arial"/>
          <w:sz w:val="14"/>
          <w:szCs w:val="14"/>
          <w:u w:val="single" w:color="auto"/>
          <w:color w:val="auto"/>
        </w:rPr>
        <w:t>Exchange Cap</w:t>
      </w:r>
      <w:r>
        <w:rPr>
          <w:rFonts w:ascii="Arial" w:cs="Arial" w:eastAsia="Arial" w:hAnsi="Arial"/>
          <w:sz w:val="14"/>
          <w:szCs w:val="14"/>
          <w:color w:val="auto"/>
        </w:rPr>
        <w:t xml:space="preserve">”), except that such limitation shall not apply in the event that the Company (A) obtains the approval of its stockholders as required by the applicable rules of the Trading Market for issuances of shares of Common Stock in excess of such amount or (B) obtains a written opinion from outside counsel to the Company that such approval is not required, which opinion shall be reasonably satisfactory to the holders of the SPA Warrants representing at least a majority of shares of Common Stock underlying the SPA Warrants then outstanding (the </w:t>
      </w:r>
      <w:r>
        <w:rPr>
          <w:rFonts w:ascii="Arial" w:cs="Arial" w:eastAsia="Arial" w:hAnsi="Arial"/>
          <w:sz w:val="14"/>
          <w:szCs w:val="14"/>
          <w:u w:val="single" w:color="auto"/>
          <w:color w:val="auto"/>
        </w:rPr>
        <w:t>“Required Holders</w:t>
      </w:r>
      <w:r>
        <w:rPr>
          <w:rFonts w:ascii="Arial" w:cs="Arial" w:eastAsia="Arial" w:hAnsi="Arial"/>
          <w:sz w:val="14"/>
          <w:szCs w:val="14"/>
          <w:color w:val="auto"/>
        </w:rPr>
        <w:t>”). Until such approval or written opinion is obtained, no Holder shall be issued in the aggregate, upon exercise of any SPA Warrants, shares of Common Stock in an amount greater than the product of the Exchange Cap multiplied by a fraction, the numerator of which is the total number of shares of Common Stock underlying the SPA Warrants issued to such Holder pursuant to the Securities Purchase Agreement on the date the SPA Warrants were first issued (the “</w:t>
      </w:r>
      <w:r>
        <w:rPr>
          <w:rFonts w:ascii="Arial" w:cs="Arial" w:eastAsia="Arial" w:hAnsi="Arial"/>
          <w:sz w:val="14"/>
          <w:szCs w:val="14"/>
          <w:u w:val="single" w:color="auto"/>
          <w:color w:val="auto"/>
        </w:rPr>
        <w:t>Issuance Date</w:t>
      </w:r>
      <w:r>
        <w:rPr>
          <w:rFonts w:ascii="Arial" w:cs="Arial" w:eastAsia="Arial" w:hAnsi="Arial"/>
          <w:sz w:val="14"/>
          <w:szCs w:val="14"/>
          <w:color w:val="auto"/>
        </w:rPr>
        <w:t>”) and the denominator of which is the aggregate number of shares of Common Stock underlying the SPA Warrants issued to the Holders pursuant to the Securities Purchase Agreement on the Issuance Date (with respect to each Buyer, the “</w:t>
      </w:r>
      <w:r>
        <w:rPr>
          <w:rFonts w:ascii="Arial" w:cs="Arial" w:eastAsia="Arial" w:hAnsi="Arial"/>
          <w:sz w:val="14"/>
          <w:szCs w:val="14"/>
          <w:u w:val="single" w:color="auto"/>
          <w:color w:val="auto"/>
        </w:rPr>
        <w:t>Exchange Cap Allocation</w:t>
      </w:r>
      <w:r>
        <w:rPr>
          <w:rFonts w:ascii="Arial" w:cs="Arial" w:eastAsia="Arial" w:hAnsi="Arial"/>
          <w:sz w:val="14"/>
          <w:szCs w:val="14"/>
          <w:color w:val="auto"/>
        </w:rPr>
        <w:t>”). In the event that any Buyer shall sell or otherwise transfer any of such Buyer’s SPA Warrants, the transferee shall be allocated a pro rata portion of such Buyer’s Exchange Cap Allocation, and the restrictions of the prior sentence shall apply to such transferee with respect to the portion of the Exchange Cap Allocation allocated to such transferee. In the event that any holder of SPA Warrants shall exercise all of such holder’s SPA Warrants into a number of shares of Common Stock which, in the aggregate, is less than such holder’s Exchange Cap Allocation, then the difference between such holder’s Exchange Cap Allocation and the number of shares of Common Stock actually issued to such holder shall be allocated to the respective Exchange Cap Allocations of the remaining holders of SPA Warrants on a pro rata basis in proportion to the shares of Common Stock underlying the SPA Warrants then held by each such holder. In the event that the Company is prohibited from issuing any Warrant Shares for which an Exercise Notice has been received as a result of the operation of this Section 2(c)(ii), the Company shall pay cash in exchange for cancellation of such Warrant Shares, at a price per Warrant Share equal to the difference between the VWAP and the Exercise Price as of the date of the attempted exercise. As used herein, “</w:t>
      </w:r>
      <w:r>
        <w:rPr>
          <w:rFonts w:ascii="Arial" w:cs="Arial" w:eastAsia="Arial" w:hAnsi="Arial"/>
          <w:sz w:val="14"/>
          <w:szCs w:val="14"/>
          <w:u w:val="single" w:color="auto"/>
          <w:color w:val="auto"/>
        </w:rPr>
        <w:t>SPA Warrants</w:t>
      </w:r>
      <w:r>
        <w:rPr>
          <w:rFonts w:ascii="Arial" w:cs="Arial" w:eastAsia="Arial" w:hAnsi="Arial"/>
          <w:sz w:val="14"/>
          <w:szCs w:val="14"/>
          <w:color w:val="auto"/>
        </w:rPr>
        <w:t>” means, the Warrants to purchase Common Stock issued pursuant to the Purchase Agreement.</w:t>
      </w:r>
    </w:p>
    <w:p>
      <w:pPr>
        <w:spacing w:after="0" w:line="178" w:lineRule="exact"/>
        <w:rPr>
          <w:rFonts w:ascii="Arial" w:cs="Arial" w:eastAsia="Arial" w:hAnsi="Arial"/>
          <w:sz w:val="14"/>
          <w:szCs w:val="14"/>
          <w:color w:val="auto"/>
        </w:rPr>
      </w:pPr>
    </w:p>
    <w:p>
      <w:pPr>
        <w:ind w:left="437" w:hanging="437"/>
        <w:spacing w:after="0"/>
        <w:tabs>
          <w:tab w:leader="none" w:pos="43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417" w:right="40" w:firstLine="155"/>
        <w:spacing w:after="0" w:line="254" w:lineRule="auto"/>
        <w:tabs>
          <w:tab w:leader="none" w:pos="964"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Authorization of Warrant Shares</w:t>
      </w:r>
      <w:r>
        <w:rPr>
          <w:rFonts w:ascii="Arial" w:cs="Arial" w:eastAsia="Arial" w:hAnsi="Arial"/>
          <w:sz w:val="16"/>
          <w:szCs w:val="16"/>
          <w:color w:val="auto"/>
        </w:rPr>
        <w:t>. The Company covenants that all Warrant Shares which may be issued upon the exercise of the purchase rights represented by this Warrant will, upon exercise of the purchase rights represented by this Warrant and payment of the aggregate Exercise Price,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90" w:lineRule="exact"/>
        <w:rPr>
          <w:sz w:val="20"/>
          <w:szCs w:val="20"/>
          <w:color w:val="auto"/>
        </w:rPr>
      </w:pPr>
    </w:p>
    <w:p>
      <w:pPr>
        <w:ind w:left="4957"/>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104775</wp:posOffset>
            </wp:positionV>
            <wp:extent cx="7267575" cy="35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0677"/>
          </w:cols>
          <w:pgMar w:left="963" w:top="132" w:right="259" w:bottom="1440" w:gutter="0" w:footer="0" w:header="0"/>
        </w:sectPr>
      </w:pPr>
    </w:p>
    <w:bookmarkStart w:id="83" w:name="page84"/>
    <w:bookmarkEnd w:id="83"/>
    <w:p>
      <w:pPr>
        <w:ind w:left="-60" w:firstLine="155"/>
        <w:spacing w:after="0" w:line="289" w:lineRule="auto"/>
        <w:tabs>
          <w:tab w:leader="none" w:pos="530"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Delivery of Certificates Upon Exercise</w:t>
      </w:r>
      <w:r>
        <w:rPr>
          <w:rFonts w:ascii="Arial" w:cs="Arial" w:eastAsia="Arial" w:hAnsi="Arial"/>
          <w:sz w:val="14"/>
          <w:szCs w:val="14"/>
          <w:color w:val="auto"/>
        </w:rPr>
        <w:t>. Certificates for shares purchased hereunder shall be transmitted by the transfer agent of the Company to the Holder, if such shares are issuable without legend pursuant to Section 4.1(c) of the Purchase Agreement, by crediting the account in the Holder’s name held at the Holder’s prime broker with the Depository Trust Company through its Deposit Withdrawal Agent Commission (“</w:t>
      </w:r>
      <w:r>
        <w:rPr>
          <w:rFonts w:ascii="Arial" w:cs="Arial" w:eastAsia="Arial" w:hAnsi="Arial"/>
          <w:sz w:val="14"/>
          <w:szCs w:val="14"/>
          <w:u w:val="single" w:color="auto"/>
          <w:color w:val="auto"/>
        </w:rPr>
        <w:t>DWAC</w:t>
      </w:r>
      <w:r>
        <w:rPr>
          <w:rFonts w:ascii="Arial" w:cs="Arial" w:eastAsia="Arial" w:hAnsi="Arial"/>
          <w:sz w:val="14"/>
          <w:szCs w:val="14"/>
          <w:color w:val="auto"/>
        </w:rPr>
        <w:t>”) system if the Company is a participant in such system or if not issuable without legend, by physical delivery to the address specified by the Holder in the Notice of Exercise within 3 Trading Days from the delivery to the Company of the Notice of Exercise Form, surrender of this Warrant (if required) and payment of the aggregate Exercise Price as set forth above (“</w:t>
      </w:r>
      <w:r>
        <w:rPr>
          <w:rFonts w:ascii="Arial" w:cs="Arial" w:eastAsia="Arial" w:hAnsi="Arial"/>
          <w:sz w:val="14"/>
          <w:szCs w:val="14"/>
          <w:u w:val="single" w:color="auto"/>
          <w:color w:val="auto"/>
        </w:rPr>
        <w:t>Warrant Share Delivery Date</w:t>
      </w:r>
      <w:r>
        <w:rPr>
          <w:rFonts w:ascii="Arial" w:cs="Arial" w:eastAsia="Arial" w:hAnsi="Arial"/>
          <w:sz w:val="14"/>
          <w:szCs w:val="14"/>
          <w:color w:val="auto"/>
        </w:rPr>
        <w:t>”). This Warrant shall be deemed to have been exercised on the date the Exercise Price is received by the Company. The Warrant Shares shall be deemed to have been issued, and Holder or any other person so designated to be named therein shall be deemed to have become a holder of record of such shares for all purposes, as of the date the Warrant has been exercised by payment to the Company of the Exercise Price and all taxes required to be paid by the Holder, if any, pursuant to Section 2(d)(vi) prior to the issuance of such shares, have been paid. The Holder hereby acknowledges that if the Registration Statement is not declared effective by the Commission, the Warrant Shares will not be registered under the Securities Act and unregistered shares will be issued upon exercise of the Warrant.</w:t>
      </w:r>
    </w:p>
    <w:p>
      <w:pPr>
        <w:spacing w:after="0" w:line="181" w:lineRule="exact"/>
        <w:rPr>
          <w:rFonts w:ascii="Arial" w:cs="Arial" w:eastAsia="Arial" w:hAnsi="Arial"/>
          <w:sz w:val="14"/>
          <w:szCs w:val="14"/>
          <w:color w:val="auto"/>
        </w:rPr>
      </w:pPr>
    </w:p>
    <w:p>
      <w:pPr>
        <w:ind w:left="-60" w:firstLine="155"/>
        <w:spacing w:after="0" w:line="287" w:lineRule="auto"/>
        <w:tabs>
          <w:tab w:leader="none" w:pos="573"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Company’s Failure to Timely Deliver Securities</w:t>
      </w:r>
      <w:r>
        <w:rPr>
          <w:rFonts w:ascii="Arial" w:cs="Arial" w:eastAsia="Arial" w:hAnsi="Arial"/>
          <w:sz w:val="14"/>
          <w:szCs w:val="14"/>
          <w:color w:val="auto"/>
        </w:rPr>
        <w:t xml:space="preserve">. If the Company within three (3) Trading Days of receipt of the Notice of Exercise Form and the aggregate Exercise Price the Company shall fail for any reason or for no reason to issue and deliver a certificate to the Holder and register such shares of Common Stock on the Company’s share register or credit the Holder’s balance account with Depository Trust Company for the number of shares of Common Stock to which the Holder is entitled upon the Holder’s exercise hereunder, and if on or after such third Trading Day the Holder purchases (in an open market transaction or otherwise) shares of Common Stock to deliver in satisfaction of a sale by the Holder of shares of Common Stock issuable upon such exercise that the Holder anticipated receiving from the Company (a </w:t>
      </w:r>
      <w:r>
        <w:rPr>
          <w:rFonts w:ascii="Arial" w:cs="Arial" w:eastAsia="Arial" w:hAnsi="Arial"/>
          <w:sz w:val="14"/>
          <w:szCs w:val="14"/>
          <w:b w:val="1"/>
          <w:bCs w:val="1"/>
          <w:color w:val="auto"/>
        </w:rPr>
        <w:t>“Buy-In”</w:t>
      </w:r>
      <w:r>
        <w:rPr>
          <w:rFonts w:ascii="Arial" w:cs="Arial" w:eastAsia="Arial" w:hAnsi="Arial"/>
          <w:sz w:val="14"/>
          <w:szCs w:val="14"/>
          <w:color w:val="auto"/>
        </w:rPr>
        <w:t xml:space="preserve">), then the Company shall, within three (3) Business Days after the Holder’s request and in the Company’s discretion, either (i) pay cash to the Holder in an amount equal to the Holder’s total purchase price (including brokerage commissions, if any) for the shares of Common Stock so purchased (the </w:t>
      </w:r>
      <w:r>
        <w:rPr>
          <w:rFonts w:ascii="Arial" w:cs="Arial" w:eastAsia="Arial" w:hAnsi="Arial"/>
          <w:sz w:val="14"/>
          <w:szCs w:val="14"/>
          <w:b w:val="1"/>
          <w:bCs w:val="1"/>
          <w:color w:val="auto"/>
        </w:rPr>
        <w:t>“Buy-In Price”</w:t>
      </w:r>
      <w:r>
        <w:rPr>
          <w:rFonts w:ascii="Arial" w:cs="Arial" w:eastAsia="Arial" w:hAnsi="Arial"/>
          <w:sz w:val="14"/>
          <w:szCs w:val="14"/>
          <w:color w:val="auto"/>
        </w:rPr>
        <w:t>), at which point the Company’s obligation to deliver such certificate (and to issue such shares of Common Stock) shall terminate, or (ii) follow the</w:t>
      </w:r>
      <w:r>
        <w:rPr>
          <w:rFonts w:ascii="Arial" w:cs="Arial" w:eastAsia="Arial" w:hAnsi="Arial"/>
          <w:sz w:val="14"/>
          <w:szCs w:val="14"/>
          <w:b w:val="1"/>
          <w:bCs w:val="1"/>
          <w:color w:val="auto"/>
        </w:rPr>
        <w:t xml:space="preserve"> </w:t>
      </w:r>
      <w:r>
        <w:rPr>
          <w:rFonts w:ascii="Arial" w:cs="Arial" w:eastAsia="Arial" w:hAnsi="Arial"/>
          <w:sz w:val="14"/>
          <w:szCs w:val="14"/>
          <w:color w:val="auto"/>
        </w:rPr>
        <w:t>procedures set forth in the remainder of the this section. If the Company elects pursuant to clause (ii) above to follow these procedures, the Company shall promptly honor its obligation to deliver to the Holder an unlegended certificate or unlegended certificates representing such shares of Common Stock (the “Buy-In Shares”) equal to the number of shares which the Company failed to deliver on a timely basis and a cash payment equal to (x) the Buy-In-Price less (y) the VWAP on the on the Trading Day prior to the actual delivery of such certificate or certificates multiplied by the Buy-In-Shares. If the Holder elects to sell all or some of the Buy-In-Shares it shall promptly so notify the Company and shall proceed to make reasonable efforts to sell such shares as soon as possible. The Holder shall then notify the Company if the net proceeds received by the Holder upon the sale of the Buy-In Shares are less than the Buy-In-Price less any cash payment made pursuant to the preceding sentence (such difference, the “</w:t>
      </w:r>
      <w:r>
        <w:rPr>
          <w:rFonts w:ascii="Arial" w:cs="Arial" w:eastAsia="Arial" w:hAnsi="Arial"/>
          <w:sz w:val="14"/>
          <w:szCs w:val="14"/>
          <w:b w:val="1"/>
          <w:bCs w:val="1"/>
          <w:color w:val="auto"/>
        </w:rPr>
        <w:t>Buy-In Shortfall</w:t>
      </w:r>
      <w:r>
        <w:rPr>
          <w:rFonts w:ascii="Arial" w:cs="Arial" w:eastAsia="Arial" w:hAnsi="Arial"/>
          <w:sz w:val="14"/>
          <w:szCs w:val="14"/>
          <w:color w:val="auto"/>
        </w:rPr>
        <w:t>”), in which case the Company shall then pay to the Holder an additional cash payment equal to the Buy-In Shortfall.</w:t>
      </w:r>
    </w:p>
    <w:p>
      <w:pPr>
        <w:spacing w:after="0" w:line="378"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104775</wp:posOffset>
            </wp:positionV>
            <wp:extent cx="7267575" cy="35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0200"/>
          </w:cols>
          <w:pgMar w:left="1440" w:top="132" w:right="259" w:bottom="1440" w:gutter="0" w:footer="0" w:header="0"/>
        </w:sectPr>
      </w:pPr>
    </w:p>
    <w:bookmarkStart w:id="84" w:name="page85"/>
    <w:bookmarkEnd w:id="84"/>
    <w:p>
      <w:pPr>
        <w:ind w:left="-60" w:right="80" w:firstLine="155"/>
        <w:spacing w:after="0" w:line="254" w:lineRule="auto"/>
        <w:tabs>
          <w:tab w:leader="none" w:pos="51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Delivery of New Warrants Upon Exercise</w:t>
      </w:r>
      <w:r>
        <w:rPr>
          <w:rFonts w:ascii="Arial" w:cs="Arial" w:eastAsia="Arial" w:hAnsi="Arial"/>
          <w:sz w:val="16"/>
          <w:szCs w:val="16"/>
          <w:color w:val="auto"/>
        </w:rPr>
        <w:t>. If this Warrant shall have been exercised in part, the Company shall, at the request of a Holder and upon surrender of this Warrant certificate, at the time of delivery of the certificate or certificates representing Warrant Shares, deliver to Holder a new Warrant evidencing the rights of Holder to purchase the unpurchased Warrant Shares called for by this Warrant, which new Warrant shall in all other respects be identical with this Warrant.</w:t>
      </w:r>
    </w:p>
    <w:p>
      <w:pPr>
        <w:spacing w:after="0" w:line="199" w:lineRule="exact"/>
        <w:rPr>
          <w:rFonts w:ascii="Arial" w:cs="Arial" w:eastAsia="Arial" w:hAnsi="Arial"/>
          <w:sz w:val="16"/>
          <w:szCs w:val="16"/>
          <w:color w:val="auto"/>
        </w:rPr>
      </w:pPr>
    </w:p>
    <w:p>
      <w:pPr>
        <w:ind w:left="-60" w:right="420" w:firstLine="155"/>
        <w:spacing w:after="0" w:line="336" w:lineRule="auto"/>
        <w:tabs>
          <w:tab w:leader="none" w:pos="472"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Rescission Rights</w:t>
      </w:r>
      <w:r>
        <w:rPr>
          <w:rFonts w:ascii="Arial" w:cs="Arial" w:eastAsia="Arial" w:hAnsi="Arial"/>
          <w:sz w:val="14"/>
          <w:szCs w:val="14"/>
          <w:color w:val="auto"/>
        </w:rPr>
        <w:t>. If the Company fails to cause its transfer agent to transmit to the Holder a certificate or certificates representing the Warrant Shares pursuant to this Section 2(e) by the Warrant Share Delivery Date, then the Holder will have the right to rescind such exercise.</w:t>
      </w:r>
    </w:p>
    <w:p>
      <w:pPr>
        <w:spacing w:after="0" w:line="145" w:lineRule="exact"/>
        <w:rPr>
          <w:rFonts w:ascii="Arial" w:cs="Arial" w:eastAsia="Arial" w:hAnsi="Arial"/>
          <w:sz w:val="14"/>
          <w:szCs w:val="14"/>
          <w:color w:val="auto"/>
        </w:rPr>
      </w:pPr>
    </w:p>
    <w:p>
      <w:pPr>
        <w:jc w:val="both"/>
        <w:ind w:left="-60" w:right="420" w:firstLine="155"/>
        <w:spacing w:after="0" w:line="310" w:lineRule="auto"/>
        <w:tabs>
          <w:tab w:leader="none" w:pos="526"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No Fractional Shares or Scrip</w:t>
      </w:r>
      <w:r>
        <w:rPr>
          <w:rFonts w:ascii="Arial" w:cs="Arial" w:eastAsia="Arial" w:hAnsi="Arial"/>
          <w:sz w:val="14"/>
          <w:szCs w:val="14"/>
          <w:color w:val="auto"/>
        </w:rPr>
        <w:t>. No fractional shares or scrip representing fractional shares shall be issued upon the exercise of this Warrant. As to any fraction of a share which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63" w:lineRule="exact"/>
        <w:rPr>
          <w:rFonts w:ascii="Arial" w:cs="Arial" w:eastAsia="Arial" w:hAnsi="Arial"/>
          <w:sz w:val="14"/>
          <w:szCs w:val="14"/>
          <w:color w:val="auto"/>
        </w:rPr>
      </w:pPr>
    </w:p>
    <w:p>
      <w:pPr>
        <w:ind w:left="-60" w:firstLine="155"/>
        <w:spacing w:after="0" w:line="291" w:lineRule="auto"/>
        <w:tabs>
          <w:tab w:leader="none" w:pos="569"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Charges, Taxes and Expenses</w:t>
      </w:r>
      <w:r>
        <w:rPr>
          <w:rFonts w:ascii="Arial" w:cs="Arial" w:eastAsia="Arial" w:hAnsi="Arial"/>
          <w:sz w:val="14"/>
          <w:szCs w:val="14"/>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Holder shall be liable for any and all income tax, capital gains tax or like taxes in connection with (a) the exercise of the Warrant, (b) the issuance of the Warrant Shares and payment therefor, (c) the sale, transfer, exchange or other disposition of the Warrant or the Warrant Shares. In no event shall the Company be responsible for any broker or similar commissions and such shall be borne by the Holder.</w:t>
      </w:r>
    </w:p>
    <w:p>
      <w:pPr>
        <w:spacing w:after="0" w:line="37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104775</wp:posOffset>
            </wp:positionV>
            <wp:extent cx="7267575" cy="355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0200"/>
          </w:cols>
          <w:pgMar w:left="1440" w:top="132" w:right="259" w:bottom="1440" w:gutter="0" w:footer="0" w:header="0"/>
        </w:sectPr>
      </w:pPr>
    </w:p>
    <w:bookmarkStart w:id="85" w:name="page86"/>
    <w:bookmarkEnd w:id="85"/>
    <w:p>
      <w:pPr>
        <w:ind w:left="980" w:right="520" w:firstLine="155"/>
        <w:spacing w:after="0" w:line="264" w:lineRule="auto"/>
        <w:tabs>
          <w:tab w:leader="none" w:pos="169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Closing of Books</w:t>
      </w:r>
      <w:r>
        <w:rPr>
          <w:rFonts w:ascii="Arial" w:cs="Arial" w:eastAsia="Arial" w:hAnsi="Arial"/>
          <w:sz w:val="16"/>
          <w:szCs w:val="16"/>
          <w:color w:val="auto"/>
        </w:rPr>
        <w:t>. The Company will not close its stockholder books or records in any manner which prevents the timely exercise of this Warrant, pursuant to the terms hereof.</w:t>
      </w:r>
    </w:p>
    <w:p>
      <w:pPr>
        <w:spacing w:after="0" w:line="38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w:t>
      </w:r>
      <w:r>
        <w:rPr>
          <w:sz w:val="20"/>
          <w:szCs w:val="20"/>
          <w:color w:val="auto"/>
        </w:rPr>
        <w:tab/>
      </w:r>
      <w:r>
        <w:rPr>
          <w:rFonts w:ascii="Arial" w:cs="Arial" w:eastAsia="Arial" w:hAnsi="Arial"/>
          <w:sz w:val="14"/>
          <w:szCs w:val="14"/>
          <w:u w:val="single" w:color="auto"/>
          <w:color w:val="auto"/>
        </w:rPr>
        <w:t>Certain Adjustments</w:t>
      </w:r>
      <w:r>
        <w:rPr>
          <w:rFonts w:ascii="Arial" w:cs="Arial" w:eastAsia="Arial" w:hAnsi="Arial"/>
          <w:sz w:val="14"/>
          <w:szCs w:val="14"/>
          <w:color w:val="auto"/>
        </w:rPr>
        <w:t>.</w:t>
      </w:r>
    </w:p>
    <w:p>
      <w:pPr>
        <w:spacing w:after="0" w:line="198" w:lineRule="exact"/>
        <w:rPr>
          <w:sz w:val="20"/>
          <w:szCs w:val="20"/>
          <w:color w:val="auto"/>
        </w:rPr>
      </w:pPr>
    </w:p>
    <w:p>
      <w:pPr>
        <w:ind w:left="400" w:firstLine="163"/>
        <w:spacing w:after="0" w:line="289" w:lineRule="auto"/>
        <w:tabs>
          <w:tab w:leader="none" w:pos="986"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Stock Dividends and Splits</w:t>
      </w:r>
      <w:r>
        <w:rPr>
          <w:rFonts w:ascii="Arial" w:cs="Arial" w:eastAsia="Arial" w:hAnsi="Arial"/>
          <w:sz w:val="14"/>
          <w:szCs w:val="14"/>
          <w:color w:val="auto"/>
        </w:rPr>
        <w:t>. If the Company, at any time while this Warrant is outstanding: (A) pays a stock dividend or otherwise make a distribution or distributions on shares of its Common Stock or any other equity or equity equivalent securities payable in shares of Common Stock (which, for avoidance of doubt, shall not include any shares of Common Stock issued by the Company upon exercise of this Warrant), (B) subdivides outstanding shares of Common Stock into a larger number of shares, (C) combines (including by way of reverse stock split) outstanding shares of Common Stock into a smaller number of shares, or (D)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Any adjustment made pursuant to this Section 3(a) shall become effective immediately after the record date for the determination of stockholders entitled to receive such dividend or distribution (provided, however, that if such record date is fixed and such dividend is not fully paid or if such distribution is not fully made on the date fixed therefor, the Exercise Price shall be recomputed accordingly as of the close of business on such record date and thereafter the Exercise Price shall be adjusted pursuant to this Section as of the time of the actual payment of such dividends or distribution) and shall become effective immediately after the effective date in the case of a subdivision, combination or re-classification.</w:t>
      </w:r>
    </w:p>
    <w:p>
      <w:pPr>
        <w:spacing w:after="0" w:line="371" w:lineRule="exact"/>
        <w:rPr>
          <w:rFonts w:ascii="Arial" w:cs="Arial" w:eastAsia="Arial" w:hAnsi="Arial"/>
          <w:sz w:val="14"/>
          <w:szCs w:val="14"/>
          <w:color w:val="auto"/>
        </w:rPr>
      </w:pPr>
    </w:p>
    <w:p>
      <w:pPr>
        <w:ind w:left="400" w:right="60" w:firstLine="163"/>
        <w:spacing w:after="0" w:line="256" w:lineRule="auto"/>
        <w:tabs>
          <w:tab w:leader="none" w:pos="994"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38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104775</wp:posOffset>
            </wp:positionV>
            <wp:extent cx="7267575"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1280"/>
          </w:cols>
          <w:pgMar w:left="400" w:top="132" w:right="219" w:bottom="1440" w:gutter="0" w:footer="0" w:header="0"/>
        </w:sectPr>
      </w:pPr>
    </w:p>
    <w:bookmarkStart w:id="86" w:name="page87"/>
    <w:bookmarkEnd w:id="86"/>
    <w:p>
      <w:pPr>
        <w:ind w:right="20" w:firstLine="163"/>
        <w:spacing w:after="0" w:line="264" w:lineRule="auto"/>
        <w:tabs>
          <w:tab w:leader="none" w:pos="586"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Voluntary Adjustment By Company</w:t>
      </w:r>
      <w:r>
        <w:rPr>
          <w:rFonts w:ascii="Arial" w:cs="Arial" w:eastAsia="Arial" w:hAnsi="Arial"/>
          <w:sz w:val="16"/>
          <w:szCs w:val="16"/>
          <w:color w:val="auto"/>
        </w:rPr>
        <w:t>. The Company may at any time during the term of this Warrant reduce the then current Exercise Price to any amount and for any period of time deemed appropriate by the Board of Directors of the Company.</w:t>
      </w:r>
    </w:p>
    <w:p>
      <w:pPr>
        <w:spacing w:after="0" w:line="191" w:lineRule="exact"/>
        <w:rPr>
          <w:rFonts w:ascii="Arial" w:cs="Arial" w:eastAsia="Arial" w:hAnsi="Arial"/>
          <w:sz w:val="16"/>
          <w:szCs w:val="16"/>
          <w:color w:val="auto"/>
        </w:rPr>
      </w:pPr>
    </w:p>
    <w:p>
      <w:pPr>
        <w:ind w:left="600" w:hanging="437"/>
        <w:spacing w:after="0"/>
        <w:tabs>
          <w:tab w:leader="none" w:pos="600"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Notice to Holders</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ind w:left="580" w:right="40" w:firstLine="155"/>
        <w:spacing w:after="0" w:line="336" w:lineRule="auto"/>
        <w:tabs>
          <w:tab w:leader="none" w:pos="1127" w:val="left"/>
        </w:tabs>
        <w:numPr>
          <w:ilvl w:val="1"/>
          <w:numId w:val="90"/>
        </w:numPr>
        <w:rPr>
          <w:rFonts w:ascii="Arial" w:cs="Arial" w:eastAsia="Arial" w:hAnsi="Arial"/>
          <w:sz w:val="14"/>
          <w:szCs w:val="14"/>
          <w:color w:val="auto"/>
        </w:rPr>
      </w:pPr>
      <w:r>
        <w:rPr>
          <w:rFonts w:ascii="Arial" w:cs="Arial" w:eastAsia="Arial" w:hAnsi="Arial"/>
          <w:sz w:val="14"/>
          <w:szCs w:val="14"/>
          <w:u w:val="single" w:color="auto"/>
          <w:color w:val="auto"/>
        </w:rPr>
        <w:t>Adjustment to Exercise Price</w:t>
      </w:r>
      <w:r>
        <w:rPr>
          <w:rFonts w:ascii="Arial" w:cs="Arial" w:eastAsia="Arial" w:hAnsi="Arial"/>
          <w:sz w:val="14"/>
          <w:szCs w:val="14"/>
          <w:color w:val="auto"/>
        </w:rPr>
        <w:t>. Whenever the Exercise Price is adjusted pursuant to any provision of this Section 3, the Company shall promptly mail to each Holder a notice setting forth the Exercise Price after such adjustment and setting forth a brief statement of the facts requiring such adjustment.</w:t>
      </w:r>
    </w:p>
    <w:p>
      <w:pPr>
        <w:spacing w:after="0" w:line="145" w:lineRule="exact"/>
        <w:rPr>
          <w:rFonts w:ascii="Arial" w:cs="Arial" w:eastAsia="Arial" w:hAnsi="Arial"/>
          <w:sz w:val="14"/>
          <w:szCs w:val="14"/>
          <w:color w:val="auto"/>
        </w:rPr>
      </w:pPr>
    </w:p>
    <w:p>
      <w:pPr>
        <w:ind w:left="580" w:firstLine="155"/>
        <w:spacing w:after="0" w:line="288" w:lineRule="auto"/>
        <w:tabs>
          <w:tab w:leader="none" w:pos="1170" w:val="left"/>
        </w:tabs>
        <w:numPr>
          <w:ilvl w:val="1"/>
          <w:numId w:val="90"/>
        </w:numPr>
        <w:rPr>
          <w:rFonts w:ascii="Arial" w:cs="Arial" w:eastAsia="Arial" w:hAnsi="Arial"/>
          <w:sz w:val="14"/>
          <w:szCs w:val="14"/>
          <w:color w:val="auto"/>
        </w:rPr>
      </w:pPr>
      <w:r>
        <w:rPr>
          <w:rFonts w:ascii="Arial" w:cs="Arial" w:eastAsia="Arial" w:hAnsi="Arial"/>
          <w:sz w:val="14"/>
          <w:szCs w:val="14"/>
          <w:u w:val="single" w:color="auto"/>
          <w:color w:val="auto"/>
        </w:rPr>
        <w:t>Notice to Allow Exercise by Holder</w:t>
      </w:r>
      <w:r>
        <w:rPr>
          <w:rFonts w:ascii="Arial" w:cs="Arial" w:eastAsia="Arial" w:hAnsi="Arial"/>
          <w:sz w:val="14"/>
          <w:szCs w:val="14"/>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of any compulsory share exchange whereby the Common Stock is converted into other securities, cash or property; (E) the Company shall authorize the voluntary or involuntary dissolution, liquidation or winding up of the affairs of the Company; then, in each case, the Company shall cause to be mailed to the Holder at its last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mail such notice or any defect therein or in the mailing thereof shall not affect the validity of the corporate action required to be specified in such notice. The Holder is entitled to exercise this Warrant during the 20-day period commencing on the date of such notice to the effective date of the event triggering such notice.</w:t>
      </w:r>
    </w:p>
    <w:p>
      <w:pPr>
        <w:spacing w:after="0" w:line="370"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67575"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0860"/>
          </w:cols>
          <w:pgMar w:left="800" w:top="132" w:right="239" w:bottom="1440" w:gutter="0" w:footer="0" w:header="0"/>
        </w:sectPr>
      </w:pPr>
    </w:p>
    <w:bookmarkStart w:id="87" w:name="page88"/>
    <w:bookmarkEnd w:id="87"/>
    <w:p>
      <w:pPr>
        <w:ind w:left="20"/>
        <w:spacing w:after="0"/>
        <w:tabs>
          <w:tab w:leader="none" w:pos="980" w:val="left"/>
        </w:tabs>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w:t>
      </w:r>
      <w:r>
        <w:rPr>
          <w:sz w:val="20"/>
          <w:szCs w:val="20"/>
          <w:color w:val="auto"/>
        </w:rPr>
        <w:tab/>
      </w:r>
      <w:r>
        <w:rPr>
          <w:rFonts w:ascii="Arial" w:cs="Arial" w:eastAsia="Arial" w:hAnsi="Arial"/>
          <w:sz w:val="14"/>
          <w:szCs w:val="14"/>
          <w:u w:val="single" w:color="auto"/>
          <w:color w:val="auto"/>
        </w:rPr>
        <w:t>Call Right</w:t>
      </w:r>
      <w:r>
        <w:rPr>
          <w:rFonts w:ascii="Arial" w:cs="Arial" w:eastAsia="Arial" w:hAnsi="Arial"/>
          <w:sz w:val="14"/>
          <w:szCs w:val="14"/>
          <w:color w:val="auto"/>
        </w:rPr>
        <w:t>.</w:t>
      </w:r>
    </w:p>
    <w:p>
      <w:pPr>
        <w:spacing w:after="0" w:line="198" w:lineRule="exact"/>
        <w:rPr>
          <w:sz w:val="20"/>
          <w:szCs w:val="20"/>
          <w:color w:val="auto"/>
        </w:rPr>
      </w:pPr>
    </w:p>
    <w:p>
      <w:pPr>
        <w:ind w:left="400" w:right="20" w:firstLine="163"/>
        <w:spacing w:after="0" w:line="294" w:lineRule="auto"/>
        <w:tabs>
          <w:tab w:leader="none" w:pos="947"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Call Right</w:t>
      </w:r>
      <w:r>
        <w:rPr>
          <w:rFonts w:ascii="Arial" w:cs="Arial" w:eastAsia="Arial" w:hAnsi="Arial"/>
          <w:sz w:val="14"/>
          <w:szCs w:val="14"/>
          <w:color w:val="auto"/>
        </w:rPr>
        <w:t>. At any time after the date hereof, if the closing price on a Trading Market of a share of the Common Stock has exceeded 125% of the Exercise Price for a minimum of 20 Trading Days in any consecutive 30-Trading Day period (the “Call Event”), then the Company may, at its option, give notice to all, but not less than all, Holders (the “Call Notice”) describing the Call Event, at which point each of the Holders will have been deemed to have provided a Notice of Exercise pursuant to Section 2(a) and will be required to pay the Company the aggregate Exercise Price and the Company will be required to deliver the Warrant Shares, all in accordance with the terms of Section 2(a) and the other terms of this Warrant. The Company must mail the Call Notice within 5 days after the occurrence of the Call Event, and the date of the Notice of Exercise shall be deemed to be the 10th calendar day after the mailing date of the Call Notice (the “</w:t>
      </w:r>
      <w:r>
        <w:rPr>
          <w:rFonts w:ascii="Arial" w:cs="Arial" w:eastAsia="Arial" w:hAnsi="Arial"/>
          <w:sz w:val="14"/>
          <w:szCs w:val="14"/>
          <w:u w:val="single" w:color="auto"/>
          <w:color w:val="auto"/>
        </w:rPr>
        <w:t>Notice Period</w:t>
      </w:r>
      <w:r>
        <w:rPr>
          <w:rFonts w:ascii="Arial" w:cs="Arial" w:eastAsia="Arial" w:hAnsi="Arial"/>
          <w:sz w:val="14"/>
          <w:szCs w:val="14"/>
          <w:color w:val="auto"/>
        </w:rPr>
        <w:t>”).</w:t>
      </w:r>
    </w:p>
    <w:p>
      <w:pPr>
        <w:spacing w:after="0" w:line="176" w:lineRule="exact"/>
        <w:rPr>
          <w:rFonts w:ascii="Arial" w:cs="Arial" w:eastAsia="Arial" w:hAnsi="Arial"/>
          <w:sz w:val="14"/>
          <w:szCs w:val="14"/>
          <w:color w:val="auto"/>
        </w:rPr>
      </w:pPr>
    </w:p>
    <w:p>
      <w:pPr>
        <w:ind w:left="400" w:right="20" w:firstLine="163"/>
        <w:spacing w:after="0" w:line="301" w:lineRule="auto"/>
        <w:tabs>
          <w:tab w:leader="none" w:pos="956" w:val="left"/>
        </w:tabs>
        <w:numPr>
          <w:ilvl w:val="0"/>
          <w:numId w:val="91"/>
        </w:numPr>
        <w:rPr>
          <w:rFonts w:ascii="Arial" w:cs="Arial" w:eastAsia="Arial" w:hAnsi="Arial"/>
          <w:sz w:val="14"/>
          <w:szCs w:val="14"/>
          <w:color w:val="auto"/>
        </w:rPr>
      </w:pPr>
      <w:r>
        <w:rPr>
          <w:rFonts w:ascii="Arial" w:cs="Arial" w:eastAsia="Arial" w:hAnsi="Arial"/>
          <w:sz w:val="14"/>
          <w:szCs w:val="14"/>
          <w:color w:val="auto"/>
        </w:rPr>
        <w:t>Notwithstanding the preceding subsection (a), no Call Event shall occur unless from the date of receipt of the Call Notice and through the delivery of the Warrant Shares pursuant to the operation of subsection (a): (i) the Registration Statement is effectiveand has not been suspended and no stop order is in effect, and the Holder is able to sell such Warrant Shares pursuant to the Registration Statement and (ii) all of the Warrant Shares are designated for listing and freely tradable, without restriction, on the Nasdaq Global Market and shall not have been suspended from trading on such exchange.</w:t>
      </w:r>
    </w:p>
    <w:p>
      <w:pPr>
        <w:spacing w:after="0" w:line="170" w:lineRule="exact"/>
        <w:rPr>
          <w:rFonts w:ascii="Arial" w:cs="Arial" w:eastAsia="Arial" w:hAnsi="Arial"/>
          <w:sz w:val="14"/>
          <w:szCs w:val="14"/>
          <w:color w:val="auto"/>
        </w:rPr>
      </w:pPr>
    </w:p>
    <w:p>
      <w:pPr>
        <w:ind w:left="400" w:right="180" w:firstLine="163"/>
        <w:spacing w:after="0" w:line="264" w:lineRule="auto"/>
        <w:tabs>
          <w:tab w:leader="none" w:pos="947" w:val="left"/>
        </w:tabs>
        <w:numPr>
          <w:ilvl w:val="0"/>
          <w:numId w:val="91"/>
        </w:numPr>
        <w:rPr>
          <w:rFonts w:ascii="Arial" w:cs="Arial" w:eastAsia="Arial" w:hAnsi="Arial"/>
          <w:sz w:val="16"/>
          <w:szCs w:val="16"/>
          <w:color w:val="auto"/>
        </w:rPr>
      </w:pPr>
      <w:r>
        <w:rPr>
          <w:rFonts w:ascii="Arial" w:cs="Arial" w:eastAsia="Arial" w:hAnsi="Arial"/>
          <w:sz w:val="16"/>
          <w:szCs w:val="16"/>
          <w:color w:val="auto"/>
        </w:rPr>
        <w:t>Other than as described in subsections (a) and (b) above, the exercise of this Warrant shall be subject to and governed by all the provisions relating to such exercise contained herein.</w:t>
      </w:r>
    </w:p>
    <w:p>
      <w:pPr>
        <w:spacing w:after="0" w:line="38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w:t>
      </w:r>
      <w:r>
        <w:rPr>
          <w:sz w:val="20"/>
          <w:szCs w:val="20"/>
          <w:color w:val="auto"/>
        </w:rPr>
        <w:tab/>
      </w:r>
      <w:r>
        <w:rPr>
          <w:rFonts w:ascii="Arial" w:cs="Arial" w:eastAsia="Arial" w:hAnsi="Arial"/>
          <w:sz w:val="13"/>
          <w:szCs w:val="13"/>
          <w:u w:val="single" w:color="auto"/>
          <w:color w:val="auto"/>
        </w:rPr>
        <w:t>Purchase Rights; Fundamental Transactions</w:t>
      </w:r>
      <w:r>
        <w:rPr>
          <w:rFonts w:ascii="Arial" w:cs="Arial" w:eastAsia="Arial" w:hAnsi="Arial"/>
          <w:sz w:val="13"/>
          <w:szCs w:val="13"/>
          <w:color w:val="auto"/>
        </w:rPr>
        <w:t>.</w:t>
      </w:r>
    </w:p>
    <w:p>
      <w:pPr>
        <w:spacing w:after="0" w:line="198" w:lineRule="exact"/>
        <w:rPr>
          <w:sz w:val="20"/>
          <w:szCs w:val="20"/>
          <w:color w:val="auto"/>
        </w:rPr>
      </w:pPr>
    </w:p>
    <w:p>
      <w:pPr>
        <w:ind w:left="400" w:firstLine="202"/>
        <w:spacing w:after="0" w:line="294" w:lineRule="auto"/>
        <w:tabs>
          <w:tab w:leader="none" w:pos="1076"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Purchase Rights</w:t>
      </w:r>
      <w:r>
        <w:rPr>
          <w:rFonts w:ascii="Arial" w:cs="Arial" w:eastAsia="Arial" w:hAnsi="Arial"/>
          <w:sz w:val="14"/>
          <w:szCs w:val="14"/>
          <w:color w:val="auto"/>
        </w:rPr>
        <w:t>. In addition to any adjustments pursuant to Section 3 above, if at any time the Company grants, issues or sells any Options, Convertible Securities or rights to purchase stock, warrants, securities or other property pro rata to the record holders of any class of shares of Common Stock (the “Purchase Rights”),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the exercise of this Warrant)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36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104775</wp:posOffset>
            </wp:positionV>
            <wp:extent cx="7267575" cy="35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1260"/>
          </w:cols>
          <w:pgMar w:left="400" w:top="323" w:right="239" w:bottom="1440" w:gutter="0" w:footer="0" w:header="0"/>
        </w:sectPr>
      </w:pPr>
    </w:p>
    <w:bookmarkStart w:id="88" w:name="page89"/>
    <w:bookmarkEnd w:id="88"/>
    <w:p>
      <w:pPr>
        <w:ind w:left="1265" w:hanging="498"/>
        <w:spacing w:after="0"/>
        <w:tabs>
          <w:tab w:leader="none" w:pos="1265"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5" w:hanging="5"/>
        <w:spacing w:after="0" w:line="286" w:lineRule="auto"/>
        <w:tabs>
          <w:tab w:leader="none" w:pos="379"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Company shall not enter into or be party to a Fundamental Transaction unless (A) the Successor Entity assumes in writing all of the obligations of the Company under this Warrant, the Purchase Agreement and the Registration Rights Agreement in accordance with the provisions of this Section 5(b)(1) pursuant to written agreements in form and substance satisfactory to the Holder and approved by the Holder prior to such Fundamental Transaction, including agreements to deliver to each holder of Warrants in exchange for such Warrants a security of the Successor Entity evidenced by a written instrument substantially similar in form and substance to this Warrant, including, without limitation, an adjusted exercise price equal to the value for the shares of Common Stock reflected by the terms of such Fundamental Transaction, and exercisable for a corresponding number of shares of capital stock of the Successor Entity equivalent to the shares of Common Stock acquirable and receivable upon exercise of this Warrant (without regard to any limitations on the exercise of this Warrant) prior to such Fundamental Transaction, and reasonably satisfactory to the Holder and (B) the Successor Entity (including its Parent Entity) is a publicly traded corporation whose Common Stock is quoted on or listed for trading on a Trading Market.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the Purchase Agreement and the Registration Rights Agreement with the same effect as if such Successor Entity had been named as the Company herein and therein. Upon consummation of such Fundamental Transaction (the date of such consummation, the “</w:t>
      </w:r>
      <w:r>
        <w:rPr>
          <w:rFonts w:ascii="Arial" w:cs="Arial" w:eastAsia="Arial" w:hAnsi="Arial"/>
          <w:sz w:val="14"/>
          <w:szCs w:val="14"/>
          <w:u w:val="single" w:color="auto"/>
          <w:color w:val="auto"/>
        </w:rPr>
        <w:t>Fundamental Transaction Closing Date</w:t>
      </w:r>
      <w:r>
        <w:rPr>
          <w:rFonts w:ascii="Arial" w:cs="Arial" w:eastAsia="Arial" w:hAnsi="Arial"/>
          <w:sz w:val="14"/>
          <w:szCs w:val="14"/>
          <w:color w:val="auto"/>
        </w:rPr>
        <w:t>”), the Successor Entity shall deliver to the Holder confirmation that there shall be issued upon exercise of this Warrant at any time after the consummation of the Fundamental Transaction, in lieu of the shares of the Common Stock (or other securities, cash, assets or other property) issuable upon the exercise of the Warrant prior to such Fundamental Transaction, such shares of publicly traded Common Stock (or their equivalent) of the Successor Entity, as adjusted in accordance with the provisions of this Warrant.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“Corporate Event”), the Company shall make appropriate provision to insure that the Holder will thereafter have the right to receive upon an exercise of this Warrant at any time after the consummation of such Fundamental Transaction but prior to the Termination Date, in lieu of (A) the shares of the Common Stock (or other securities, cash, assets or other property) purchasable upon the exercise of the Warrant prior to such Fundamental Transaction and (B) the Common Stock of the Successor Entity, such shares of stock, securities, cash, assets or any other property whatsoever (including warrants or other purchase or subscription rights) which the Holder would have been entitled to receive upon the happening of such Fundamental Transaction had the Warrant been exercised immediately prior to such Fundamental Transaction. Provision made pursuant to the preceding sentence shall be in a form and substance reasonably satisfactory to the Holder. The provisions of this Section shall apply similarly and equally to each such successive Fundamental Transactions and Corporate Events and shall be applied without regard to any limitations on the exercise of this Warrant.</w:t>
      </w:r>
    </w:p>
    <w:p>
      <w:pPr>
        <w:spacing w:after="0" w:line="16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267575"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1425"/>
          </w:cols>
          <w:pgMar w:left="235" w:top="132" w:right="239" w:bottom="1440" w:gutter="0" w:footer="0" w:header="0"/>
        </w:sectPr>
      </w:pPr>
    </w:p>
    <w:bookmarkStart w:id="89" w:name="page90"/>
    <w:bookmarkEnd w:id="89"/>
    <w:p>
      <w:pPr>
        <w:ind w:left="5" w:right="40" w:hanging="5"/>
        <w:spacing w:after="0" w:line="291" w:lineRule="auto"/>
        <w:tabs>
          <w:tab w:leader="none" w:pos="379" w:val="left"/>
        </w:tabs>
        <w:numPr>
          <w:ilvl w:val="0"/>
          <w:numId w:val="95"/>
        </w:numPr>
        <w:rPr>
          <w:rFonts w:ascii="Arial" w:cs="Arial" w:eastAsia="Arial" w:hAnsi="Arial"/>
          <w:sz w:val="14"/>
          <w:szCs w:val="14"/>
          <w:color w:val="auto"/>
        </w:rPr>
      </w:pPr>
      <w:r>
        <w:rPr>
          <w:rFonts w:ascii="Arial" w:cs="Arial" w:eastAsia="Arial" w:hAnsi="Arial"/>
          <w:sz w:val="14"/>
          <w:szCs w:val="14"/>
          <w:color w:val="auto"/>
        </w:rPr>
        <w:t>Notwithstanding the provisions of Section 5(b)(1), the Company shall have the right to require that Holder waive the requirements of Section 5(b)(1) (the “Waiver”) in exchange for a payment of cash in an amount equal to the Fundamental Transaction Black-Scholes Value of the remaining unexercised portion of this Warrant as of the Fundamental Transaction Closing Date, with the Waiver becoming effective, and this Warrant cancelled, concurrently with such payment of such cash amount (the “</w:t>
      </w:r>
      <w:r>
        <w:rPr>
          <w:rFonts w:ascii="Arial" w:cs="Arial" w:eastAsia="Arial" w:hAnsi="Arial"/>
          <w:sz w:val="14"/>
          <w:szCs w:val="14"/>
          <w:u w:val="single" w:color="auto"/>
          <w:color w:val="auto"/>
        </w:rPr>
        <w:t>Fundamental Transaction Amount</w:t>
      </w:r>
      <w:r>
        <w:rPr>
          <w:rFonts w:ascii="Arial" w:cs="Arial" w:eastAsia="Arial" w:hAnsi="Arial"/>
          <w:sz w:val="14"/>
          <w:szCs w:val="14"/>
          <w:color w:val="auto"/>
        </w:rPr>
        <w:t>”) to the Holder on the Fundamental Transaction Closing Date. Notwithstanding anything to the contrary in this Section 5(b), but subject to Section 2(c)(ii), until such time that the Holder receives the Fundamental Transaction Amount (at which point this Warrant shall be cancelled), this Warrant may be exercised, in whole or in part, by the Holder (x) prior to the Fundamental Transaction Closing Date, into Common Stock pursuant to Section 2, or (y) upon (which may be expressly conditioned upon the closing of the Fundamental Transaction) or after the Fundamental Transaction Closing Date, into any such shares of stock, securities, cash, assets or any other property whatsoever (including warrants or other purchase or subscription rights, if applicable) which the Holder would have been entitled to receive upon the happening of such Fundamental Transaction had the Warrant been exercised immediately prior to such Fundamental Transaction Closing Date.</w:t>
      </w:r>
    </w:p>
    <w:p>
      <w:pPr>
        <w:spacing w:after="0" w:line="151" w:lineRule="exact"/>
        <w:rPr>
          <w:rFonts w:ascii="Arial" w:cs="Arial" w:eastAsia="Arial" w:hAnsi="Arial"/>
          <w:sz w:val="14"/>
          <w:szCs w:val="14"/>
          <w:color w:val="auto"/>
        </w:rPr>
      </w:pPr>
    </w:p>
    <w:p>
      <w:pPr>
        <w:ind w:left="1245" w:hanging="478"/>
        <w:spacing w:after="0"/>
        <w:tabs>
          <w:tab w:leader="none" w:pos="1245" w:val="left"/>
        </w:tabs>
        <w:numPr>
          <w:ilvl w:val="1"/>
          <w:numId w:val="95"/>
        </w:numPr>
        <w:rPr>
          <w:rFonts w:ascii="Arial" w:cs="Arial" w:eastAsia="Arial" w:hAnsi="Arial"/>
          <w:sz w:val="16"/>
          <w:szCs w:val="16"/>
          <w:color w:val="auto"/>
        </w:rPr>
      </w:pPr>
      <w:r>
        <w:rPr>
          <w:rFonts w:ascii="Arial" w:cs="Arial" w:eastAsia="Arial" w:hAnsi="Arial"/>
          <w:sz w:val="16"/>
          <w:szCs w:val="16"/>
          <w:color w:val="auto"/>
        </w:rPr>
        <w:t>As used herein:</w:t>
      </w:r>
    </w:p>
    <w:p>
      <w:pPr>
        <w:spacing w:after="0" w:line="222" w:lineRule="exact"/>
        <w:rPr>
          <w:sz w:val="20"/>
          <w:szCs w:val="20"/>
          <w:color w:val="auto"/>
        </w:rPr>
      </w:pPr>
    </w:p>
    <w:p>
      <w:pPr>
        <w:ind w:left="565" w:firstLine="310"/>
        <w:spacing w:after="0" w:line="290" w:lineRule="auto"/>
        <w:rPr>
          <w:sz w:val="20"/>
          <w:szCs w:val="20"/>
          <w:color w:val="auto"/>
        </w:rPr>
      </w:pPr>
      <w:r>
        <w:rPr>
          <w:rFonts w:ascii="Arial" w:cs="Arial" w:eastAsia="Arial" w:hAnsi="Arial"/>
          <w:sz w:val="14"/>
          <w:szCs w:val="14"/>
          <w:color w:val="auto"/>
        </w:rPr>
        <w:t>“Fundamental Transaction” means that the Company shall, directly or indirectly, in one or more related transactions, (i) consolidate or merge with or into (whether or not the Company is the surviving corporation) another Person,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Common Stock (not including any shares of Common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Common Stock (not including any shares of Common Stock held by the other Person or other Persons making or party to, or associated or affiliated with the other Persons making or party to, such stock purchase agreement or other business combination), or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178" w:lineRule="exact"/>
        <w:rPr>
          <w:sz w:val="20"/>
          <w:szCs w:val="20"/>
          <w:color w:val="auto"/>
        </w:rPr>
      </w:pPr>
    </w:p>
    <w:p>
      <w:pPr>
        <w:ind w:left="565" w:right="180" w:firstLine="310"/>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Fundamental Transaction Black-Scholes Value,</w:t>
      </w:r>
      <w:r>
        <w:rPr>
          <w:rFonts w:ascii="Arial" w:cs="Arial" w:eastAsia="Arial" w:hAnsi="Arial"/>
          <w:sz w:val="14"/>
          <w:szCs w:val="14"/>
          <w:color w:val="auto"/>
        </w:rPr>
        <w:t>” as used in Section 5(b)(2) above, means the value of this Warrant obtained from the “OV” function on Bloomberg using (i) a price per share of Common Stock equal to the greater of (A) the arithmetic average of the VWAP of the Common Stock for the five Trading Days immediately preceding the Fundamental Transaction Closing Date and (B) the VWAP of the Common Stock for the Trading Day immediately preceding the Fundamental Transaction Closing Date, (ii) a risk-free interest rate corresponding to the U.S. Treasury rate for a period equal to the remaining term of this Warrant as of the Fundamental Transaction Closing Date and (iii) an expected volatility equal to the greater of 45% and the 100 day volatility obtained from the HVT function on Bloomberg determined as of the Trading Day immediately following the public announcement of the applicable Fundamental Transaction.</w:t>
      </w:r>
    </w:p>
    <w:p>
      <w:pPr>
        <w:spacing w:after="0" w:line="367" w:lineRule="exact"/>
        <w:rPr>
          <w:sz w:val="20"/>
          <w:szCs w:val="20"/>
          <w:color w:val="auto"/>
        </w:rPr>
      </w:pPr>
    </w:p>
    <w:p>
      <w:pPr>
        <w:jc w:val="center"/>
        <w:ind w:right="-44"/>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7267575"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1405"/>
          </w:cols>
          <w:pgMar w:left="235" w:top="323" w:right="259" w:bottom="1440" w:gutter="0" w:footer="0" w:header="0"/>
        </w:sectPr>
      </w:pPr>
    </w:p>
    <w:bookmarkStart w:id="90" w:name="page91"/>
    <w:bookmarkEnd w:id="90"/>
    <w:p>
      <w:pPr>
        <w:jc w:val="both"/>
        <w:ind w:left="380" w:right="60" w:firstLine="310"/>
        <w:spacing w:after="0" w:line="256" w:lineRule="auto"/>
        <w:rPr>
          <w:sz w:val="20"/>
          <w:szCs w:val="20"/>
          <w:color w:val="auto"/>
        </w:rPr>
      </w:pPr>
      <w:r>
        <w:rPr>
          <w:rFonts w:ascii="Arial" w:cs="Arial" w:eastAsia="Arial" w:hAnsi="Arial"/>
          <w:sz w:val="16"/>
          <w:szCs w:val="16"/>
          <w:color w:val="auto"/>
        </w:rPr>
        <w:t>“Parent Entity” of a Person means an entity that, directly or indirectly, controls the applicable Person and whose common stock or equivalent equity security is quoted or listed on a Trading Market, or, if there is more than one such Person or Parent Entity, the Person or Parent Entity with the largest public market capitalization as of the date of consummation of the Fundamental Transaction.</w:t>
      </w:r>
    </w:p>
    <w:p>
      <w:pPr>
        <w:spacing w:after="0" w:line="198" w:lineRule="exact"/>
        <w:rPr>
          <w:sz w:val="20"/>
          <w:szCs w:val="20"/>
          <w:color w:val="auto"/>
        </w:rPr>
      </w:pPr>
    </w:p>
    <w:p>
      <w:pPr>
        <w:ind w:left="380" w:firstLine="310"/>
        <w:spacing w:after="0" w:line="264" w:lineRule="auto"/>
        <w:rPr>
          <w:sz w:val="20"/>
          <w:szCs w:val="20"/>
          <w:color w:val="auto"/>
        </w:rPr>
      </w:pPr>
      <w:r>
        <w:rPr>
          <w:rFonts w:ascii="Arial" w:cs="Arial" w:eastAsia="Arial" w:hAnsi="Arial"/>
          <w:sz w:val="16"/>
          <w:szCs w:val="16"/>
          <w:color w:val="auto"/>
        </w:rPr>
        <w:t>“Successor Entity”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w:t>
      </w:r>
      <w:r>
        <w:rPr>
          <w:sz w:val="20"/>
          <w:szCs w:val="20"/>
          <w:color w:val="auto"/>
        </w:rPr>
        <w:tab/>
      </w: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98" w:lineRule="exact"/>
        <w:rPr>
          <w:sz w:val="20"/>
          <w:szCs w:val="20"/>
          <w:color w:val="auto"/>
        </w:rPr>
      </w:pPr>
    </w:p>
    <w:p>
      <w:pPr>
        <w:ind w:left="380" w:right="240" w:firstLine="163"/>
        <w:spacing w:after="0" w:line="264" w:lineRule="auto"/>
        <w:tabs>
          <w:tab w:leader="none" w:pos="92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No Rights as Shareholder Until Exercise</w:t>
      </w:r>
      <w:r>
        <w:rPr>
          <w:rFonts w:ascii="Arial" w:cs="Arial" w:eastAsia="Arial" w:hAnsi="Arial"/>
          <w:sz w:val="16"/>
          <w:szCs w:val="16"/>
          <w:color w:val="auto"/>
        </w:rPr>
        <w:t>. This Warrant does not entitle the Holder to any voting rights or other rights as a shareholder of the Company prior to the exercise hereof as set forth in Section 2(d)(ii).</w:t>
      </w:r>
    </w:p>
    <w:p>
      <w:pPr>
        <w:spacing w:after="0" w:line="191" w:lineRule="exact"/>
        <w:rPr>
          <w:rFonts w:ascii="Arial" w:cs="Arial" w:eastAsia="Arial" w:hAnsi="Arial"/>
          <w:sz w:val="16"/>
          <w:szCs w:val="16"/>
          <w:color w:val="auto"/>
        </w:rPr>
      </w:pPr>
    </w:p>
    <w:p>
      <w:pPr>
        <w:ind w:left="380" w:right="20" w:firstLine="163"/>
        <w:spacing w:after="0" w:line="294" w:lineRule="auto"/>
        <w:tabs>
          <w:tab w:leader="none" w:pos="936"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Loss, Theft, Destruction or Mutilation of Warrant</w:t>
      </w:r>
      <w:r>
        <w:rPr>
          <w:rFonts w:ascii="Arial" w:cs="Arial" w:eastAsia="Arial" w:hAnsi="Arial"/>
          <w:sz w:val="14"/>
          <w:szCs w:val="14"/>
          <w:color w:val="auto"/>
        </w:rPr>
        <w:t>. If this Warrant or any certificate or any stock certificate relating to the Warrant Shares is mutilated, lost, stolen or destroyed, the Company shall issue or cause to be issued in exchange and substitution for and upon cancellation thereof (in the case of mutilation), or in lieu of and substitution therefor, a new certificate or stock certificate, but only upon receipt of evidence reasonably satisfactory to the Company of such loss, theft or destruction or upon surrender and cancellation of such Warrant or stock certificate, if mutilated. The applicant for a new certificate or stock certificate under such circumstances shall also pay any reasonable third-party administrative costs (including customary indemnity) associated with the issuance of such replacement certificate or stock certificate, provided that the posting of any bond or other security shall not be required.</w:t>
      </w:r>
    </w:p>
    <w:p>
      <w:pPr>
        <w:spacing w:after="0" w:line="176" w:lineRule="exact"/>
        <w:rPr>
          <w:rFonts w:ascii="Arial" w:cs="Arial" w:eastAsia="Arial" w:hAnsi="Arial"/>
          <w:sz w:val="14"/>
          <w:szCs w:val="14"/>
          <w:color w:val="auto"/>
        </w:rPr>
      </w:pPr>
    </w:p>
    <w:p>
      <w:pPr>
        <w:ind w:left="380" w:right="140" w:firstLine="163"/>
        <w:spacing w:after="0" w:line="256" w:lineRule="auto"/>
        <w:tabs>
          <w:tab w:leader="none" w:pos="92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 A Business Day shall mean any day that is a business day in both the State of Israel and the State of New York.</w:t>
      </w:r>
    </w:p>
    <w:p>
      <w:pPr>
        <w:spacing w:after="0" w:line="198" w:lineRule="exact"/>
        <w:rPr>
          <w:rFonts w:ascii="Arial" w:cs="Arial" w:eastAsia="Arial" w:hAnsi="Arial"/>
          <w:sz w:val="16"/>
          <w:szCs w:val="16"/>
          <w:color w:val="auto"/>
        </w:rPr>
      </w:pPr>
    </w:p>
    <w:p>
      <w:pPr>
        <w:ind w:left="940" w:hanging="397"/>
        <w:spacing w:after="0"/>
        <w:tabs>
          <w:tab w:leader="none" w:pos="94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w:t>
      </w:r>
    </w:p>
    <w:p>
      <w:pPr>
        <w:spacing w:after="0" w:line="222" w:lineRule="exact"/>
        <w:rPr>
          <w:sz w:val="20"/>
          <w:szCs w:val="20"/>
          <w:color w:val="auto"/>
        </w:rPr>
      </w:pPr>
    </w:p>
    <w:p>
      <w:pPr>
        <w:ind w:left="960" w:firstLine="307"/>
        <w:spacing w:after="0" w:line="294" w:lineRule="auto"/>
        <w:rPr>
          <w:sz w:val="20"/>
          <w:szCs w:val="20"/>
          <w:color w:val="auto"/>
        </w:rPr>
      </w:pPr>
      <w:r>
        <w:rPr>
          <w:rFonts w:ascii="Arial" w:cs="Arial" w:eastAsia="Arial" w:hAnsi="Arial"/>
          <w:sz w:val="14"/>
          <w:szCs w:val="14"/>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w:t>
      </w:r>
    </w:p>
    <w:p>
      <w:pPr>
        <w:spacing w:after="0" w:line="36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104775</wp:posOffset>
            </wp:positionV>
            <wp:extent cx="7267575"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1240"/>
          </w:cols>
          <w:pgMar w:left="420" w:top="133" w:right="239" w:bottom="1440" w:gutter="0" w:footer="0" w:header="0"/>
        </w:sectPr>
      </w:pPr>
    </w:p>
    <w:bookmarkStart w:id="91" w:name="page92"/>
    <w:bookmarkEnd w:id="91"/>
    <w:p>
      <w:pPr>
        <w:ind w:left="580" w:firstLine="310"/>
        <w:spacing w:after="0" w:line="291" w:lineRule="auto"/>
        <w:rPr>
          <w:sz w:val="20"/>
          <w:szCs w:val="20"/>
          <w:color w:val="auto"/>
        </w:rPr>
      </w:pPr>
      <w:r>
        <w:rPr>
          <w:rFonts w:ascii="Arial" w:cs="Arial" w:eastAsia="Arial" w:hAnsi="Arial"/>
          <w:sz w:val="14"/>
          <w:szCs w:val="14"/>
          <w:color w:val="auto"/>
        </w:rPr>
        <w:t>Except and to the extent as waived or consented to by the Holder, the Company shall not by any action, including, without limitation, amending its articles of association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the general meeting of the Shareholders of the Company and any public regulatory body having jurisdiction thereof as may be necessary to enable the Company to perform its obligations under this Warrant.</w:t>
      </w:r>
    </w:p>
    <w:p>
      <w:pPr>
        <w:spacing w:after="0" w:line="175" w:lineRule="exact"/>
        <w:rPr>
          <w:sz w:val="20"/>
          <w:szCs w:val="20"/>
          <w:color w:val="auto"/>
        </w:rPr>
      </w:pPr>
    </w:p>
    <w:p>
      <w:pPr>
        <w:ind w:left="580" w:firstLine="310"/>
        <w:spacing w:after="0" w:line="256" w:lineRule="auto"/>
        <w:rPr>
          <w:sz w:val="20"/>
          <w:szCs w:val="20"/>
          <w:color w:val="auto"/>
        </w:rPr>
      </w:pPr>
      <w:r>
        <w:rPr>
          <w:rFonts w:ascii="Arial" w:cs="Arial" w:eastAsia="Arial" w:hAnsi="Arial"/>
          <w:sz w:val="16"/>
          <w:szCs w:val="16"/>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98" w:lineRule="exact"/>
        <w:rPr>
          <w:sz w:val="20"/>
          <w:szCs w:val="20"/>
          <w:color w:val="auto"/>
        </w:rPr>
      </w:pPr>
    </w:p>
    <w:p>
      <w:pPr>
        <w:ind w:right="20" w:firstLine="163"/>
        <w:spacing w:after="0" w:line="264" w:lineRule="auto"/>
        <w:tabs>
          <w:tab w:leader="none" w:pos="54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Jurisdiction</w:t>
      </w:r>
      <w:r>
        <w:rPr>
          <w:rFonts w:ascii="Arial" w:cs="Arial" w:eastAsia="Arial" w:hAnsi="Arial"/>
          <w:sz w:val="16"/>
          <w:szCs w:val="16"/>
          <w:color w:val="auto"/>
        </w:rPr>
        <w:t>. All questions concerning the construction, validity, enforcement and interpretation of this Warrant shall be determined in accordance with the provisions of the Purchase Agreement.</w:t>
      </w:r>
    </w:p>
    <w:p>
      <w:pPr>
        <w:spacing w:after="0" w:line="191" w:lineRule="exact"/>
        <w:rPr>
          <w:rFonts w:ascii="Arial" w:cs="Arial" w:eastAsia="Arial" w:hAnsi="Arial"/>
          <w:sz w:val="16"/>
          <w:szCs w:val="16"/>
          <w:color w:val="auto"/>
        </w:rPr>
      </w:pPr>
    </w:p>
    <w:p>
      <w:pPr>
        <w:ind w:right="500" w:firstLine="163"/>
        <w:spacing w:after="0" w:line="264" w:lineRule="auto"/>
        <w:tabs>
          <w:tab w:leader="none" w:pos="530"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Holder acknowledges that the Warrant Shares acquired upon the exercise of this Warrant, if not registered, will have restrictions upon resale imposed by state and U.S. federal and Israeli securities laws.</w:t>
      </w:r>
    </w:p>
    <w:p>
      <w:pPr>
        <w:spacing w:after="0" w:line="191" w:lineRule="exact"/>
        <w:rPr>
          <w:rFonts w:ascii="Arial" w:cs="Arial" w:eastAsia="Arial" w:hAnsi="Arial"/>
          <w:sz w:val="16"/>
          <w:szCs w:val="16"/>
          <w:color w:val="auto"/>
        </w:rPr>
      </w:pPr>
    </w:p>
    <w:p>
      <w:pPr>
        <w:ind w:right="40" w:firstLine="163"/>
        <w:spacing w:after="0" w:line="252" w:lineRule="auto"/>
        <w:tabs>
          <w:tab w:leader="none" w:pos="556"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Nonwaiver and Expenses</w:t>
      </w:r>
      <w:r>
        <w:rPr>
          <w:rFonts w:ascii="Arial" w:cs="Arial" w:eastAsia="Arial" w:hAnsi="Arial"/>
          <w:sz w:val="16"/>
          <w:szCs w:val="16"/>
          <w:color w:val="auto"/>
        </w:rPr>
        <w:t>. No course of dealing or any delay or failure to exercise any right hereunder on the part of Holder shall operate as a waiver of such right or otherwise prejudice the Company’s or the Holder’s rights, powers or remedies, notwithstanding the fact that all rights hereunder terminate on the Termination Date. If the Company or a Holder willfully and knowingly fails to comply with any provision of this Warrant, which results in any material damages to the Holder or Company (as the case may be), the breaching party shall pay to the other party such amounts as shall be sufficient to cover any costs and expenses including, but not limited to, reasonable attorneys’ fees, including those of appellate proceedings, incurred by the non-breaching party in collecting any amounts due pursuant hereto or in otherwise enforcing any of its rights, powers or remedies hereunder.</w:t>
      </w:r>
    </w:p>
    <w:p>
      <w:pPr>
        <w:spacing w:after="0" w:line="391"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104775</wp:posOffset>
            </wp:positionV>
            <wp:extent cx="7267575" cy="35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0820"/>
          </w:cols>
          <w:pgMar w:left="800" w:top="133" w:right="279" w:bottom="1440" w:gutter="0" w:footer="0" w:header="0"/>
        </w:sectPr>
      </w:pPr>
    </w:p>
    <w:bookmarkStart w:id="92" w:name="page93"/>
    <w:bookmarkEnd w:id="92"/>
    <w:p>
      <w:pPr>
        <w:ind w:left="-163" w:right="40" w:firstLine="163"/>
        <w:spacing w:after="0" w:line="264" w:lineRule="auto"/>
        <w:tabs>
          <w:tab w:leader="none" w:pos="39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or other document required or permitted to be given or delivered to the Holder by the Company shall be delivered in accordance with the notice provisions of the Purchase Agreement.</w:t>
      </w:r>
    </w:p>
    <w:p>
      <w:pPr>
        <w:spacing w:after="0" w:line="191" w:lineRule="exact"/>
        <w:rPr>
          <w:rFonts w:ascii="Arial" w:cs="Arial" w:eastAsia="Arial" w:hAnsi="Arial"/>
          <w:sz w:val="16"/>
          <w:szCs w:val="16"/>
          <w:color w:val="auto"/>
        </w:rPr>
      </w:pPr>
    </w:p>
    <w:p>
      <w:pPr>
        <w:ind w:left="-163" w:right="480" w:firstLine="163"/>
        <w:spacing w:after="0" w:line="256" w:lineRule="auto"/>
        <w:tabs>
          <w:tab w:leader="none" w:pos="358"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Holder to exercise this Warrant to purchase Warrant Shares, and no enumeration herein of the rights or privileges of Holder, shall give rise to any liability of Holder for the purchase price of any Common Stock or as a stockholder of the Company, whether such liability is asserted by the Company or by creditors of the Company.</w:t>
      </w:r>
    </w:p>
    <w:p>
      <w:pPr>
        <w:spacing w:after="0" w:line="198" w:lineRule="exact"/>
        <w:rPr>
          <w:rFonts w:ascii="Arial" w:cs="Arial" w:eastAsia="Arial" w:hAnsi="Arial"/>
          <w:sz w:val="16"/>
          <w:szCs w:val="16"/>
          <w:color w:val="auto"/>
        </w:rPr>
      </w:pPr>
    </w:p>
    <w:p>
      <w:pPr>
        <w:jc w:val="both"/>
        <w:ind w:left="-163" w:right="40" w:firstLine="163"/>
        <w:spacing w:after="0" w:line="310" w:lineRule="auto"/>
        <w:tabs>
          <w:tab w:leader="none" w:pos="358"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Remedies</w:t>
      </w:r>
      <w:r>
        <w:rPr>
          <w:rFonts w:ascii="Arial" w:cs="Arial" w:eastAsia="Arial" w:hAnsi="Arial"/>
          <w:sz w:val="14"/>
          <w:szCs w:val="14"/>
          <w:color w:val="auto"/>
        </w:rPr>
        <w:t>. Holder, in addition to being entitled to exercise all rights granted by law, including recovery of damages, will be entitled to seek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63" w:lineRule="exact"/>
        <w:rPr>
          <w:rFonts w:ascii="Arial" w:cs="Arial" w:eastAsia="Arial" w:hAnsi="Arial"/>
          <w:sz w:val="14"/>
          <w:szCs w:val="14"/>
          <w:color w:val="auto"/>
        </w:rPr>
      </w:pPr>
    </w:p>
    <w:p>
      <w:pPr>
        <w:jc w:val="both"/>
        <w:ind w:left="-163" w:firstLine="163"/>
        <w:spacing w:after="0" w:line="310" w:lineRule="auto"/>
        <w:tabs>
          <w:tab w:leader="none" w:pos="393"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Subject to applicable securities laws, this Warrant and the rights and obligations evidenced hereby shall inure to the benefit of and be binding upon the successors of the Company and the successors and permitted assigns of Holder as set forth in the Purchase Agreement. The provisions of this Warrant are intended to be for the benefit of all Holders from time to time of this Warrant and shall be enforceable by any such Holder or holder of Warrant Shares.</w:t>
      </w:r>
    </w:p>
    <w:p>
      <w:pPr>
        <w:spacing w:after="0" w:line="163" w:lineRule="exact"/>
        <w:rPr>
          <w:rFonts w:ascii="Arial" w:cs="Arial" w:eastAsia="Arial" w:hAnsi="Arial"/>
          <w:sz w:val="14"/>
          <w:szCs w:val="14"/>
          <w:color w:val="auto"/>
        </w:rPr>
      </w:pPr>
    </w:p>
    <w:p>
      <w:pPr>
        <w:ind w:left="357" w:hanging="357"/>
        <w:spacing w:after="0"/>
        <w:tabs>
          <w:tab w:leader="none" w:pos="35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 Holder.</w:t>
      </w:r>
    </w:p>
    <w:p>
      <w:pPr>
        <w:spacing w:after="0" w:line="221" w:lineRule="exact"/>
        <w:rPr>
          <w:rFonts w:ascii="Arial" w:cs="Arial" w:eastAsia="Arial" w:hAnsi="Arial"/>
          <w:sz w:val="16"/>
          <w:szCs w:val="16"/>
          <w:color w:val="auto"/>
        </w:rPr>
      </w:pPr>
    </w:p>
    <w:p>
      <w:pPr>
        <w:jc w:val="both"/>
        <w:ind w:left="-163" w:right="420" w:firstLine="163"/>
        <w:spacing w:after="0" w:line="256" w:lineRule="auto"/>
        <w:tabs>
          <w:tab w:leader="none" w:pos="43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98" w:lineRule="exact"/>
        <w:rPr>
          <w:rFonts w:ascii="Arial" w:cs="Arial" w:eastAsia="Arial" w:hAnsi="Arial"/>
          <w:sz w:val="16"/>
          <w:szCs w:val="16"/>
          <w:color w:val="auto"/>
        </w:rPr>
      </w:pPr>
    </w:p>
    <w:p>
      <w:pPr>
        <w:ind w:left="397" w:hanging="397"/>
        <w:spacing w:after="0"/>
        <w:tabs>
          <w:tab w:leader="none" w:pos="397"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used in this Warrant are for the convenience of reference only and shall not, for any purpose, be deemed a part of this Warrant.</w:t>
      </w:r>
    </w:p>
    <w:p>
      <w:pPr>
        <w:spacing w:after="0" w:line="200" w:lineRule="exact"/>
        <w:rPr>
          <w:sz w:val="20"/>
          <w:szCs w:val="20"/>
          <w:color w:val="auto"/>
        </w:rPr>
      </w:pPr>
    </w:p>
    <w:p>
      <w:pPr>
        <w:spacing w:after="0" w:line="235" w:lineRule="exact"/>
        <w:rPr>
          <w:sz w:val="20"/>
          <w:szCs w:val="20"/>
          <w:color w:val="auto"/>
        </w:rPr>
      </w:pPr>
    </w:p>
    <w:p>
      <w:pPr>
        <w:ind w:left="4917"/>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104775</wp:posOffset>
            </wp:positionV>
            <wp:extent cx="7267575"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0717"/>
          </w:cols>
          <w:pgMar w:left="963" w:top="132" w:right="219" w:bottom="1440" w:gutter="0" w:footer="0" w:header="0"/>
        </w:sectPr>
      </w:pPr>
    </w:p>
    <w:bookmarkStart w:id="93" w:name="page94"/>
    <w:bookmarkEnd w:id="93"/>
    <w:p>
      <w:pPr>
        <w:ind w:left="300"/>
        <w:spacing w:after="0"/>
        <w:rPr>
          <w:sz w:val="20"/>
          <w:szCs w:val="20"/>
          <w:color w:val="auto"/>
        </w:rPr>
      </w:pPr>
      <w:r>
        <w:rPr>
          <w:rFonts w:ascii="Arial" w:cs="Arial" w:eastAsia="Arial" w:hAnsi="Arial"/>
          <w:sz w:val="14"/>
          <w:szCs w:val="14"/>
          <w:color w:val="auto"/>
        </w:rPr>
        <w:t>IN WITNESS WHEREOF, the Company has caused this Warrant to be executed by its officer thereunto duly authorized.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Dated: March 15, 2007</w:t>
      </w:r>
    </w:p>
    <w:p>
      <w:pPr>
        <w:spacing w:after="0" w:line="198" w:lineRule="exact"/>
        <w:rPr>
          <w:sz w:val="20"/>
          <w:szCs w:val="20"/>
          <w:color w:val="auto"/>
        </w:rPr>
      </w:pPr>
    </w:p>
    <w:p>
      <w:pPr>
        <w:jc w:val="right"/>
        <w:ind w:right="2219"/>
        <w:spacing w:after="0"/>
        <w:rPr>
          <w:sz w:val="20"/>
          <w:szCs w:val="20"/>
          <w:color w:val="auto"/>
        </w:rPr>
      </w:pPr>
      <w:r>
        <w:rPr>
          <w:rFonts w:ascii="Arial" w:cs="Arial" w:eastAsia="Arial" w:hAnsi="Arial"/>
          <w:sz w:val="16"/>
          <w:szCs w:val="16"/>
          <w:color w:val="auto"/>
        </w:rPr>
        <w:t>TOWER SEMICONDUCTOR LTD.</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3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INVESTOR</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w:t>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7575"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p>
      <w:pPr>
        <w:sectPr>
          <w:pgSz w:w="11900" w:h="16838" w:orient="portrait"/>
          <w:cols w:equalWidth="0" w:num="1">
            <w:col w:w="10219"/>
          </w:cols>
          <w:pgMar w:left="240" w:top="323" w:right="1440" w:bottom="1440" w:gutter="0" w:footer="0" w:header="0"/>
        </w:sectPr>
      </w:pPr>
    </w:p>
    <w:bookmarkStart w:id="94" w:name="page95"/>
    <w:bookmarkEnd w:id="94"/>
    <w:p>
      <w:pPr>
        <w:jc w:val="center"/>
        <w:ind w:right="-99"/>
        <w:spacing w:after="0"/>
        <w:rPr>
          <w:sz w:val="20"/>
          <w:szCs w:val="20"/>
          <w:color w:val="auto"/>
        </w:rPr>
      </w:pPr>
      <w:r>
        <w:rPr>
          <w:rFonts w:ascii="Arial" w:cs="Arial" w:eastAsia="Arial" w:hAnsi="Arial"/>
          <w:sz w:val="16"/>
          <w:szCs w:val="16"/>
          <w:b w:val="1"/>
          <w:bCs w:val="1"/>
          <w:color w:val="auto"/>
        </w:rPr>
        <w:t>NOTICE OF EXERCISE</w:t>
      </w:r>
    </w:p>
    <w:p>
      <w:pPr>
        <w:spacing w:after="0" w:line="275" w:lineRule="exact"/>
        <w:rPr>
          <w:sz w:val="20"/>
          <w:szCs w:val="20"/>
          <w:color w:val="auto"/>
        </w:rPr>
      </w:pPr>
    </w:p>
    <w:p>
      <w:pPr>
        <w:spacing w:after="0"/>
        <w:tabs>
          <w:tab w:leader="none" w:pos="38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3"/>
          <w:szCs w:val="13"/>
          <w:color w:val="auto"/>
        </w:rPr>
        <w:t>_______________________</w:t>
      </w:r>
    </w:p>
    <w:p>
      <w:pPr>
        <w:spacing w:after="0" w:line="198" w:lineRule="exact"/>
        <w:rPr>
          <w:sz w:val="20"/>
          <w:szCs w:val="20"/>
          <w:color w:val="auto"/>
        </w:rPr>
      </w:pPr>
    </w:p>
    <w:p>
      <w:pPr>
        <w:ind w:right="300" w:firstLine="305"/>
        <w:spacing w:after="0" w:line="336" w:lineRule="auto"/>
        <w:tabs>
          <w:tab w:leader="none" w:pos="527"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undersigned hereby elects to purchase ________ Warrant Shares of the Company pursuant to the terms of the attached Warrant, and tenders herewith payment of the exercise price in full, together with all applicable transfer taxes, if any. Payment shall take the form of lawful money of the United States.</w:t>
      </w:r>
    </w:p>
    <w:p>
      <w:pPr>
        <w:spacing w:after="0" w:line="121" w:lineRule="exact"/>
        <w:rPr>
          <w:rFonts w:ascii="Arial" w:cs="Arial" w:eastAsia="Arial" w:hAnsi="Arial"/>
          <w:sz w:val="14"/>
          <w:szCs w:val="14"/>
          <w:color w:val="auto"/>
        </w:rPr>
      </w:pPr>
    </w:p>
    <w:p>
      <w:pPr>
        <w:ind w:left="520" w:hanging="215"/>
        <w:spacing w:after="0"/>
        <w:tabs>
          <w:tab w:leader="none" w:pos="5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Please issue a certificate or certificates representing said Warrant Shares in the name of the undersigned or in such other name as is specified below:</w:t>
      </w:r>
    </w:p>
    <w:p>
      <w:pPr>
        <w:spacing w:after="0" w:line="197"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6"/>
          <w:szCs w:val="16"/>
          <w:color w:val="auto"/>
        </w:rPr>
        <w:t>________________________________________</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Warrant Shares shall be delivered to the following DWAC Account Number or by physical delivery of a certificate to:</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________________________________________</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________________________________________</w:t>
      </w:r>
    </w:p>
    <w:p>
      <w:pPr>
        <w:spacing w:after="0" w:line="22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________________________________________</w:t>
      </w:r>
    </w:p>
    <w:p>
      <w:pPr>
        <w:spacing w:after="0" w:line="200" w:lineRule="exact"/>
        <w:rPr>
          <w:sz w:val="20"/>
          <w:szCs w:val="20"/>
          <w:color w:val="auto"/>
        </w:rPr>
      </w:pPr>
    </w:p>
    <w:p>
      <w:pPr>
        <w:spacing w:after="0" w:line="212" w:lineRule="exact"/>
        <w:rPr>
          <w:sz w:val="20"/>
          <w:szCs w:val="20"/>
          <w:color w:val="auto"/>
        </w:rPr>
      </w:pPr>
    </w:p>
    <w:p>
      <w:pPr>
        <w:ind w:left="520" w:hanging="215"/>
        <w:spacing w:after="0"/>
        <w:tabs>
          <w:tab w:leader="none" w:pos="52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 1933, as amended.</w:t>
      </w:r>
    </w:p>
    <w:p>
      <w:pPr>
        <w:spacing w:after="0" w:line="197" w:lineRule="exact"/>
        <w:rPr>
          <w:rFonts w:ascii="Arial" w:cs="Arial" w:eastAsia="Arial" w:hAnsi="Arial"/>
          <w:sz w:val="16"/>
          <w:szCs w:val="16"/>
          <w:color w:val="auto"/>
        </w:rPr>
      </w:pPr>
    </w:p>
    <w:p>
      <w:pPr>
        <w:jc w:val="both"/>
        <w:ind w:firstLine="305"/>
        <w:spacing w:after="0" w:line="256" w:lineRule="auto"/>
        <w:tabs>
          <w:tab w:leader="none" w:pos="53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exercising this Warrant, the undersigned hereby confirms and acknowledges that the Warrant Shares are being acquired solely for the account of the undersigned and not as a nominee for any other party, or for investment, and that the undersigned will not offer, sell or otherwise dispose of any such Warrant Shares except under circumstances that will not result in a violation of the Securities Act of 1933, as amended, or any state securities laws.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[SIGNATURE OF HOLDER]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Investing Entity: ________________________________________________________________________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Signature of Authorized Signatory of Investing Entity: </w:t>
      </w:r>
      <w:r>
        <w:rPr>
          <w:rFonts w:ascii="Arial" w:cs="Arial" w:eastAsia="Arial" w:hAnsi="Arial"/>
          <w:sz w:val="16"/>
          <w:szCs w:val="16"/>
          <w:color w:val="auto"/>
        </w:rPr>
        <w:t>_________________________________________________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Authorized Signatory: 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Title of Authorized Signatory: ____________________________________________________________________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67575"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35560"/>
                    </a:xfrm>
                    <a:prstGeom prst="rect">
                      <a:avLst/>
                    </a:prstGeom>
                    <a:noFill/>
                  </pic:spPr>
                </pic:pic>
              </a:graphicData>
            </a:graphic>
          </wp:anchor>
        </w:drawing>
      </w:r>
    </w:p>
    <w:sectPr>
      <w:pgSz w:w="11900" w:h="16838" w:orient="portrait"/>
      <w:cols w:equalWidth="0" w:num="1">
        <w:col w:w="11320"/>
      </w:cols>
      <w:pgMar w:left="240" w:top="3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lowerLetter"/>
      <w:start w:val="1"/>
    </w:lvl>
    <w:lvl w:ilvl="1">
      <w:lvlJc w:val="left"/>
      <w:lvlText w:val="(%2)"/>
      <w:numFmt w:val="lowerRoman"/>
      <w:start w:val="1"/>
    </w:lvl>
  </w:abstractNum>
  <w:abstractNum w:abstractNumId="1">
    <w:nsid w:val="1BA026FA"/>
    <w:multiLevelType w:val="hybridMultilevel"/>
    <w:lvl w:ilvl="0">
      <w:lvlJc w:val="left"/>
      <w:lvlText w:val="%1"/>
      <w:numFmt w:val="lowerLetter"/>
      <w:start w:val="1"/>
    </w:lvl>
    <w:lvl w:ilvl="1">
      <w:lvlJc w:val="left"/>
      <w:lvlText w:val="(%2)"/>
      <w:numFmt w:val="lowerRoman"/>
      <w:start w:val="8"/>
    </w:lvl>
  </w:abstractNum>
  <w:abstractNum w:abstractNumId="2">
    <w:nsid w:val="79A1DEAA"/>
    <w:multiLevelType w:val="hybridMultilevel"/>
    <w:lvl w:ilvl="0">
      <w:lvlJc w:val="left"/>
      <w:lvlText w:val="(%1)"/>
      <w:numFmt w:val="lowerLetter"/>
      <w:start w:val="2"/>
    </w:lvl>
    <w:lvl w:ilvl="1">
      <w:lvlJc w:val="left"/>
      <w:lvlText w:val="(%2)"/>
      <w:numFmt w:val="lowerRoman"/>
      <w:start w:val="1"/>
    </w:lvl>
  </w:abstractNum>
  <w:abstractNum w:abstractNumId="3">
    <w:nsid w:val="75C6C33A"/>
    <w:multiLevelType w:val="hybridMultilevel"/>
    <w:lvl w:ilvl="0">
      <w:lvlJc w:val="left"/>
      <w:lvlText w:val="(%1)"/>
      <w:numFmt w:val="lowerLetter"/>
      <w:start w:val="1"/>
    </w:lvl>
    <w:lvl w:ilvl="1">
      <w:lvlJc w:val="left"/>
      <w:lvlText w:val="(%2)"/>
      <w:numFmt w:val="lowerRoman"/>
      <w:start w:val="1"/>
    </w:lvl>
  </w:abstractNum>
  <w:abstractNum w:abstractNumId="4">
    <w:nsid w:val="12E685FB"/>
    <w:multiLevelType w:val="hybridMultilevel"/>
    <w:lvl w:ilvl="0">
      <w:lvlJc w:val="left"/>
      <w:lvlText w:val="(%1)"/>
      <w:numFmt w:val="lowerLetter"/>
      <w:start w:val="2"/>
    </w:lvl>
    <w:lvl w:ilvl="1">
      <w:lvlJc w:val="left"/>
      <w:lvlText w:val="(%2)"/>
      <w:numFmt w:val="lowerRoman"/>
      <w:start w:val="1"/>
    </w:lvl>
  </w:abstractNum>
  <w:abstractNum w:abstractNumId="5">
    <w:nsid w:val="70C6A529"/>
    <w:multiLevelType w:val="hybridMultilevel"/>
    <w:lvl w:ilvl="0">
      <w:lvlJc w:val="left"/>
      <w:lvlText w:val="(%1)"/>
      <w:numFmt w:val="lowerLetter"/>
      <w:start w:val="1"/>
    </w:lvl>
  </w:abstractNum>
  <w:abstractNum w:abstractNumId="6">
    <w:nsid w:val="520EEDD1"/>
    <w:multiLevelType w:val="hybridMultilevel"/>
    <w:lvl w:ilvl="0">
      <w:lvlJc w:val="left"/>
      <w:lvlText w:val="(%1)"/>
      <w:numFmt w:val="lowerLetter"/>
      <w:start w:val="2"/>
    </w:lvl>
  </w:abstractNum>
  <w:abstractNum w:abstractNumId="7">
    <w:nsid w:val="374A3FE6"/>
    <w:multiLevelType w:val="hybridMultilevel"/>
    <w:lvl w:ilvl="0">
      <w:lvlJc w:val="left"/>
      <w:lvlText w:val="(%1)"/>
      <w:numFmt w:val="lowerLetter"/>
      <w:start w:val="4"/>
    </w:lvl>
  </w:abstractNum>
  <w:abstractNum w:abstractNumId="8">
    <w:nsid w:val="4F4EF005"/>
    <w:multiLevelType w:val="hybridMultilevel"/>
    <w:lvl w:ilvl="0">
      <w:lvlJc w:val="left"/>
      <w:lvlText w:val="(%1)"/>
      <w:numFmt w:val="lowerLetter"/>
      <w:start w:val="7"/>
    </w:lvl>
  </w:abstractNum>
  <w:abstractNum w:abstractNumId="9">
    <w:nsid w:val="23F9C13C"/>
    <w:multiLevelType w:val="hybridMultilevel"/>
    <w:lvl w:ilvl="0">
      <w:lvlJc w:val="left"/>
      <w:lvlText w:val="(%1)"/>
      <w:numFmt w:val="lowerLetter"/>
      <w:start w:val="9"/>
    </w:lvl>
  </w:abstractNum>
  <w:abstractNum w:abstractNumId="10">
    <w:nsid w:val="649BB77C"/>
    <w:multiLevelType w:val="hybridMultilevel"/>
    <w:lvl w:ilvl="0">
      <w:lvlJc w:val="left"/>
      <w:lvlText w:val="(%1)"/>
      <w:numFmt w:val="lowerLetter"/>
      <w:start w:val="11"/>
    </w:lvl>
  </w:abstractNum>
  <w:abstractNum w:abstractNumId="11">
    <w:nsid w:val="275AC794"/>
    <w:multiLevelType w:val="hybridMultilevel"/>
    <w:lvl w:ilvl="0">
      <w:lvlJc w:val="left"/>
      <w:lvlText w:val="(%1)"/>
      <w:numFmt w:val="lowerLetter"/>
      <w:start w:val="13"/>
    </w:lvl>
  </w:abstractNum>
  <w:abstractNum w:abstractNumId="12">
    <w:nsid w:val="39386575"/>
    <w:multiLevelType w:val="hybridMultilevel"/>
    <w:lvl w:ilvl="0">
      <w:lvlJc w:val="left"/>
      <w:lvlText w:val="(%1)"/>
      <w:numFmt w:val="lowerLetter"/>
      <w:start w:val="15"/>
    </w:lvl>
  </w:abstractNum>
  <w:abstractNum w:abstractNumId="13">
    <w:nsid w:val="1CF10FD8"/>
    <w:multiLevelType w:val="hybridMultilevel"/>
    <w:lvl w:ilvl="0">
      <w:lvlJc w:val="left"/>
      <w:lvlText w:val="(%1)"/>
      <w:numFmt w:val="lowerLetter"/>
      <w:start w:val="18"/>
    </w:lvl>
  </w:abstractNum>
  <w:abstractNum w:abstractNumId="14">
    <w:nsid w:val="180115BE"/>
    <w:multiLevelType w:val="hybridMultilevel"/>
    <w:lvl w:ilvl="0">
      <w:lvlJc w:val="left"/>
      <w:lvlText w:val="(%1)"/>
      <w:numFmt w:val="lowerLetter"/>
      <w:start w:val="21"/>
    </w:lvl>
  </w:abstractNum>
  <w:abstractNum w:abstractNumId="15">
    <w:nsid w:val="235BA861"/>
    <w:multiLevelType w:val="hybridMultilevel"/>
    <w:lvl w:ilvl="0">
      <w:lvlJc w:val="left"/>
      <w:lvlText w:val="(%1)"/>
      <w:numFmt w:val="lowerLetter"/>
      <w:start w:val="26"/>
    </w:lvl>
  </w:abstractNum>
  <w:abstractNum w:abstractNumId="16">
    <w:nsid w:val="47398C89"/>
    <w:multiLevelType w:val="hybridMultilevel"/>
    <w:lvl w:ilvl="0">
      <w:lvlJc w:val="left"/>
      <w:lvlText w:val="(%1)"/>
      <w:numFmt w:val="lowerLetter"/>
      <w:start w:val="27"/>
    </w:lvl>
  </w:abstractNum>
  <w:abstractNum w:abstractNumId="17">
    <w:nsid w:val="354FE9F9"/>
    <w:multiLevelType w:val="hybridMultilevel"/>
    <w:lvl w:ilvl="0">
      <w:lvlJc w:val="left"/>
      <w:lvlText w:val="(%1)"/>
      <w:numFmt w:val="lowerLetter"/>
      <w:start w:val="31"/>
    </w:lvl>
  </w:abstractNum>
  <w:abstractNum w:abstractNumId="18">
    <w:nsid w:val="15B5AF5C"/>
    <w:multiLevelType w:val="hybridMultilevel"/>
    <w:lvl w:ilvl="0">
      <w:lvlJc w:val="left"/>
      <w:lvlText w:val="(%1)"/>
      <w:numFmt w:val="lowerLetter"/>
      <w:start w:val="35"/>
    </w:lvl>
  </w:abstractNum>
  <w:abstractNum w:abstractNumId="19">
    <w:nsid w:val="741226BB"/>
    <w:multiLevelType w:val="hybridMultilevel"/>
    <w:lvl w:ilvl="0">
      <w:lvlJc w:val="left"/>
      <w:lvlText w:val="(%1)"/>
      <w:numFmt w:val="lowerLetter"/>
      <w:start w:val="1"/>
    </w:lvl>
  </w:abstractNum>
  <w:abstractNum w:abstractNumId="20">
    <w:nsid w:val="D34B6A8"/>
    <w:multiLevelType w:val="hybridMultilevel"/>
    <w:lvl w:ilvl="0">
      <w:lvlJc w:val="left"/>
      <w:lvlText w:val="(%1)"/>
      <w:numFmt w:val="lowerLetter"/>
      <w:start w:val="4"/>
    </w:lvl>
  </w:abstractNum>
  <w:abstractNum w:abstractNumId="21">
    <w:nsid w:val="10233C99"/>
    <w:multiLevelType w:val="hybridMultilevel"/>
    <w:lvl w:ilvl="0">
      <w:lvlJc w:val="left"/>
      <w:lvlText w:val="(%1)"/>
      <w:numFmt w:val="lowerLetter"/>
      <w:start w:val="8"/>
    </w:lvl>
  </w:abstractNum>
  <w:abstractNum w:abstractNumId="22">
    <w:nsid w:val="3F6AB60F"/>
    <w:multiLevelType w:val="hybridMultilevel"/>
    <w:lvl w:ilvl="0">
      <w:lvlJc w:val="left"/>
      <w:lvlText w:val="(%1)"/>
      <w:numFmt w:val="lowerLetter"/>
      <w:start w:val="2"/>
    </w:lvl>
  </w:abstractNum>
  <w:abstractNum w:abstractNumId="23">
    <w:nsid w:val="61574095"/>
    <w:multiLevelType w:val="hybridMultilevel"/>
    <w:lvl w:ilvl="0">
      <w:lvlJc w:val="left"/>
      <w:lvlText w:val="(%1)"/>
      <w:numFmt w:val="lowerLetter"/>
      <w:start w:val="3"/>
    </w:lvl>
  </w:abstractNum>
  <w:abstractNum w:abstractNumId="24">
    <w:nsid w:val="7E0C57B1"/>
    <w:multiLevelType w:val="hybridMultilevel"/>
    <w:lvl w:ilvl="0">
      <w:lvlJc w:val="left"/>
      <w:lvlText w:val="(%1)"/>
      <w:numFmt w:val="lowerLetter"/>
      <w:start w:val="1"/>
    </w:lvl>
  </w:abstractNum>
  <w:abstractNum w:abstractNumId="25">
    <w:nsid w:val="77AE35EB"/>
    <w:multiLevelType w:val="hybridMultilevel"/>
    <w:lvl w:ilvl="0">
      <w:lvlJc w:val="left"/>
      <w:lvlText w:val="(%1)"/>
      <w:numFmt w:val="lowerLetter"/>
      <w:start w:val="4"/>
    </w:lvl>
  </w:abstractNum>
  <w:abstractNum w:abstractNumId="26">
    <w:nsid w:val="579BE4F1"/>
    <w:multiLevelType w:val="hybridMultilevel"/>
    <w:lvl w:ilvl="0">
      <w:lvlJc w:val="left"/>
      <w:lvlText w:val="(%1)"/>
      <w:numFmt w:val="lowerLetter"/>
      <w:start w:val="1"/>
    </w:lvl>
  </w:abstractNum>
  <w:abstractNum w:abstractNumId="27">
    <w:nsid w:val="310C50B3"/>
    <w:multiLevelType w:val="hybridMultilevel"/>
    <w:lvl w:ilvl="0">
      <w:lvlJc w:val="left"/>
      <w:lvlText w:val="(%1)"/>
      <w:numFmt w:val="lowerLetter"/>
      <w:start w:val="2"/>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2"/>
    </w:lvl>
    <w:lvl w:ilvl="1">
      <w:lvlJc w:val="left"/>
      <w:lvlText w:val="(%2)"/>
      <w:numFmt w:val="lowerLetter"/>
      <w:start w:val="1"/>
    </w:lvl>
  </w:abstractNum>
  <w:abstractNum w:abstractNumId="31">
    <w:nsid w:val="1DBABF00"/>
    <w:multiLevelType w:val="hybridMultilevel"/>
    <w:lvl w:ilvl="0">
      <w:lvlJc w:val="left"/>
      <w:lvlText w:val="%1"/>
      <w:numFmt w:val="decimal"/>
      <w:start w:val="1"/>
    </w:lvl>
    <w:lvl w:ilvl="1">
      <w:lvlJc w:val="left"/>
      <w:lvlText w:val="(%2)"/>
      <w:numFmt w:val="lowerLetter"/>
      <w:start w:val="2"/>
    </w:lvl>
  </w:abstractNum>
  <w:abstractNum w:abstractNumId="32">
    <w:nsid w:val="4AD084E9"/>
    <w:multiLevelType w:val="hybridMultilevel"/>
    <w:lvl w:ilvl="0">
      <w:lvlJc w:val="left"/>
      <w:lvlText w:val="%1."/>
      <w:numFmt w:val="decimal"/>
      <w:start w:val="3"/>
    </w:lvl>
    <w:lvl w:ilvl="1">
      <w:lvlJc w:val="left"/>
      <w:lvlText w:val="%2"/>
      <w:numFmt w:val="lowerLetter"/>
      <w:start w:val="1"/>
    </w:lvl>
  </w:abstractNum>
  <w:abstractNum w:abstractNumId="33">
    <w:nsid w:val="1F48EAA1"/>
    <w:multiLevelType w:val="hybridMultilevel"/>
    <w:lvl w:ilvl="0">
      <w:lvlJc w:val="left"/>
      <w:lvlText w:val="%1"/>
      <w:numFmt w:val="lowerLetter"/>
      <w:start w:val="1"/>
    </w:lvl>
    <w:lvl w:ilvl="1">
      <w:lvlJc w:val="left"/>
      <w:lvlText w:val="(%2)"/>
      <w:numFmt w:val="lowerLetter"/>
      <w:start w:val="1"/>
    </w:lvl>
  </w:abstractNum>
  <w:abstractNum w:abstractNumId="34">
    <w:nsid w:val="1381823A"/>
    <w:multiLevelType w:val="hybridMultilevel"/>
    <w:lvl w:ilvl="0">
      <w:lvlJc w:val="left"/>
      <w:lvlText w:val="(%1)"/>
      <w:numFmt w:val="lowerLetter"/>
      <w:start w:val="2"/>
    </w:lvl>
    <w:lvl w:ilvl="1">
      <w:lvlJc w:val="left"/>
      <w:lvlText w:val="%2"/>
      <w:numFmt w:val="lowerLetter"/>
      <w:start w:val="1"/>
    </w:lvl>
  </w:abstractNum>
  <w:abstractNum w:abstractNumId="35">
    <w:nsid w:val="5DB70AE5"/>
    <w:multiLevelType w:val="hybridMultilevel"/>
    <w:lvl w:ilvl="0">
      <w:lvlJc w:val="left"/>
      <w:lvlText w:val="%1"/>
      <w:numFmt w:val="lowerLetter"/>
      <w:start w:val="1"/>
    </w:lvl>
    <w:lvl w:ilvl="1">
      <w:lvlJc w:val="left"/>
      <w:lvlText w:val="(%2)"/>
      <w:numFmt w:val="lowerLetter"/>
      <w:start w:val="3"/>
    </w:lvl>
  </w:abstractNum>
  <w:abstractNum w:abstractNumId="36">
    <w:nsid w:val="100F8FCA"/>
    <w:multiLevelType w:val="hybridMultilevel"/>
    <w:lvl w:ilvl="0">
      <w:lvlJc w:val="left"/>
      <w:lvlText w:val="(%1)"/>
      <w:numFmt w:val="lowerLetter"/>
      <w:start w:val="25"/>
    </w:lvl>
    <w:lvl w:ilvl="1">
      <w:lvlJc w:val="left"/>
      <w:lvlText w:val="%2"/>
      <w:numFmt w:val="lowerLetter"/>
      <w:start w:val="1"/>
    </w:lvl>
  </w:abstractNum>
  <w:abstractNum w:abstractNumId="37">
    <w:nsid w:val="6590700B"/>
    <w:multiLevelType w:val="hybridMultilevel"/>
    <w:lvl w:ilvl="0">
      <w:lvlJc w:val="left"/>
      <w:lvlText w:val="(%1)"/>
      <w:numFmt w:val="lowerLetter"/>
      <w:start w:val="5"/>
    </w:lvl>
  </w:abstractNum>
  <w:abstractNum w:abstractNumId="38">
    <w:nsid w:val="15014ACB"/>
    <w:multiLevelType w:val="hybridMultilevel"/>
    <w:lvl w:ilvl="0">
      <w:lvlJc w:val="left"/>
      <w:lvlText w:val="(%1)"/>
      <w:numFmt w:val="lowerLetter"/>
      <w:start w:val="9"/>
    </w:lvl>
  </w:abstractNum>
  <w:abstractNum w:abstractNumId="39">
    <w:nsid w:val="5F5E7FD0"/>
    <w:multiLevelType w:val="hybridMultilevel"/>
    <w:lvl w:ilvl="0">
      <w:lvlJc w:val="left"/>
      <w:lvlText w:val="%1"/>
      <w:numFmt w:val="lowerLetter"/>
      <w:start w:val="1"/>
    </w:lvl>
    <w:lvl w:ilvl="1">
      <w:lvlJc w:val="left"/>
      <w:lvlText w:val="(%2)"/>
      <w:numFmt w:val="lowerLetter"/>
      <w:start w:val="15"/>
    </w:lvl>
  </w:abstractNum>
  <w:abstractNum w:abstractNumId="40">
    <w:nsid w:val="98A3148"/>
    <w:multiLevelType w:val="hybridMultilevel"/>
    <w:lvl w:ilvl="0">
      <w:lvlJc w:val="left"/>
      <w:lvlText w:val="(%1)"/>
      <w:numFmt w:val="lowerLetter"/>
      <w:start w:val="3"/>
    </w:lvl>
    <w:lvl w:ilvl="1">
      <w:lvlJc w:val="left"/>
      <w:lvlText w:val="(%2)"/>
      <w:numFmt w:val="lowerLetter"/>
      <w:start w:val="16"/>
    </w:lvl>
  </w:abstractNum>
  <w:abstractNum w:abstractNumId="41">
    <w:nsid w:val="799D0247"/>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42">
    <w:nsid w:val="6B94764"/>
    <w:multiLevelType w:val="hybridMultilevel"/>
    <w:lvl w:ilvl="0">
      <w:lvlJc w:val="left"/>
      <w:lvlText w:val="(%1)"/>
      <w:numFmt w:val="lowerLetter"/>
      <w:start w:val="2"/>
    </w:lvl>
  </w:abstractNum>
  <w:abstractNum w:abstractNumId="43">
    <w:nsid w:val="42C296BD"/>
    <w:multiLevelType w:val="hybridMultilevel"/>
    <w:lvl w:ilvl="0">
      <w:lvlJc w:val="left"/>
      <w:lvlText w:val="(%1)"/>
      <w:numFmt w:val="lowerLetter"/>
      <w:start w:val="4"/>
    </w:lvl>
  </w:abstractNum>
  <w:abstractNum w:abstractNumId="44">
    <w:nsid w:val="168E121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45">
    <w:nsid w:val="1EBA5D2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46">
    <w:nsid w:val="661E3F1E"/>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47">
    <w:nsid w:val="5DC79EA8"/>
    <w:multiLevelType w:val="hybridMultilevel"/>
    <w:lvl w:ilvl="0">
      <w:lvlJc w:val="left"/>
      <w:lvlText w:val="(%1)"/>
      <w:numFmt w:val="lowerLetter"/>
      <w:start w:val="7"/>
    </w:lvl>
  </w:abstractNum>
  <w:abstractNum w:abstractNumId="48">
    <w:nsid w:val="540A471C"/>
    <w:multiLevelType w:val="hybridMultilevel"/>
    <w:lvl w:ilvl="0">
      <w:lvlJc w:val="left"/>
      <w:lvlText w:val="(%1)"/>
      <w:numFmt w:val="lowerLetter"/>
      <w:start w:val="10"/>
    </w:lvl>
  </w:abstractNum>
  <w:abstractNum w:abstractNumId="49">
    <w:nsid w:val="7BD3EE7B"/>
    <w:multiLevelType w:val="hybridMultilevel"/>
    <w:lvl w:ilvl="0">
      <w:lvlJc w:val="left"/>
      <w:lvlText w:val="(%1)"/>
      <w:numFmt w:val="lowerLetter"/>
      <w:start w:val="13"/>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1."/>
      <w:numFmt w:val="lowerLetter"/>
      <w:start w:val="2"/>
    </w:lvl>
  </w:abstractNum>
  <w:abstractNum w:abstractNumId="52">
    <w:nsid w:val="BF72B14"/>
    <w:multiLevelType w:val="hybridMultilevel"/>
    <w:lvl w:ilvl="0">
      <w:lvlJc w:val="left"/>
      <w:lvlText w:val="%1."/>
      <w:numFmt w:val="lowerLetter"/>
      <w:start w:val="3"/>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1)"/>
      <w:numFmt w:val="lowerLetter"/>
      <w:start w:val="1"/>
    </w:lvl>
  </w:abstractNum>
  <w:abstractNum w:abstractNumId="55">
    <w:nsid w:val="A0382C5"/>
    <w:multiLevelType w:val="hybridMultilevel"/>
    <w:lvl w:ilvl="0">
      <w:lvlJc w:val="left"/>
      <w:lvlText w:val="%1)"/>
      <w:numFmt w:val="lowerLetter"/>
      <w:start w:val="2"/>
    </w:lvl>
    <w:lvl w:ilvl="1">
      <w:lvlJc w:val="left"/>
      <w:lvlText w:val="(%2)"/>
      <w:numFmt w:val="upperLetter"/>
      <w:start w:val="1"/>
    </w:lvl>
  </w:abstractNum>
  <w:abstractNum w:abstractNumId="56">
    <w:nsid w:val="8F2B15E"/>
    <w:multiLevelType w:val="hybridMultilevel"/>
    <w:lvl w:ilvl="0">
      <w:lvlJc w:val="left"/>
      <w:lvlText w:val="(%1)"/>
      <w:numFmt w:val="upperLetter"/>
      <w:start w:val="24"/>
    </w:lvl>
  </w:abstractNum>
  <w:abstractNum w:abstractNumId="57">
    <w:nsid w:val="1A32234B"/>
    <w:multiLevelType w:val="hybridMultilevel"/>
    <w:lvl w:ilvl="0">
      <w:lvlJc w:val="left"/>
      <w:lvlText w:val="%1)"/>
      <w:numFmt w:val="lowerLetter"/>
      <w:start w:val="4"/>
    </w:lvl>
    <w:lvl w:ilvl="1">
      <w:lvlJc w:val="left"/>
      <w:lvlText w:val="%2."/>
      <w:numFmt w:val="lowerRoman"/>
      <w:start w:val="1"/>
    </w:lvl>
  </w:abstractNum>
  <w:abstractNum w:abstractNumId="58">
    <w:nsid w:val="3B0FD379"/>
    <w:multiLevelType w:val="hybridMultilevel"/>
    <w:lvl w:ilvl="0">
      <w:lvlJc w:val="left"/>
      <w:lvlText w:val="%1."/>
      <w:numFmt w:val="lowerRoman"/>
      <w:start w:val="2"/>
    </w:lvl>
  </w:abstractNum>
  <w:abstractNum w:abstractNumId="59">
    <w:nsid w:val="68EB2F6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60">
    <w:nsid w:val="4962813B"/>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abstractNum>
  <w:abstractNum w:abstractNumId="61">
    <w:nsid w:val="60B6DF70"/>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abstractNum>
  <w:abstractNum w:abstractNumId="62">
    <w:nsid w:val="6A5EE64"/>
    <w:multiLevelType w:val="hybridMultilevel"/>
    <w:lvl w:ilvl="0">
      <w:lvlJc w:val="left"/>
      <w:lvlText w:val="%1."/>
      <w:numFmt w:val="lowerRoman"/>
      <w:start w:val="2"/>
    </w:lvl>
  </w:abstractNum>
  <w:abstractNum w:abstractNumId="63">
    <w:nsid w:val="14330624"/>
    <w:multiLevelType w:val="hybridMultilevel"/>
    <w:lvl w:ilvl="0">
      <w:lvlJc w:val="left"/>
      <w:lvlText w:val="%1."/>
      <w:numFmt w:val="lowerRoman"/>
      <w:start w:val="3"/>
    </w:lvl>
  </w:abstractNum>
  <w:abstractNum w:abstractNumId="64">
    <w:nsid w:val="7FFFCA11"/>
    <w:multiLevelType w:val="hybridMultilevel"/>
    <w:lvl w:ilvl="0">
      <w:lvlJc w:val="left"/>
      <w:lvlText w:val="%1."/>
      <w:numFmt w:val="lowerRoman"/>
      <w:start w:val="4"/>
    </w:lvl>
  </w:abstractNum>
  <w:abstractNum w:abstractNumId="65">
    <w:nsid w:val="1A27709E"/>
    <w:multiLevelType w:val="hybridMultilevel"/>
    <w:lvl w:ilvl="0">
      <w:lvlJc w:val="left"/>
      <w:lvlText w:val="%1."/>
      <w:numFmt w:val="lowerRoman"/>
      <w:start w:val="8"/>
    </w:lvl>
  </w:abstractNum>
  <w:abstractNum w:abstractNumId="66">
    <w:nsid w:val="71EA1109"/>
    <w:multiLevelType w:val="hybridMultilevel"/>
    <w:lvl w:ilvl="0">
      <w:lvlJc w:val="left"/>
      <w:lvlText w:val="%1)"/>
      <w:numFmt w:val="lowerLetter"/>
      <w:start w:val="1"/>
    </w:lvl>
  </w:abstractNum>
  <w:abstractNum w:abstractNumId="67">
    <w:nsid w:val="100F59DC"/>
    <w:multiLevelType w:val="hybridMultilevel"/>
    <w:lvl w:ilvl="0">
      <w:lvlJc w:val="left"/>
      <w:lvlText w:val="%1)"/>
      <w:numFmt w:val="lowerLetter"/>
      <w:start w:val="3"/>
    </w:lvl>
    <w:lvl w:ilvl="1">
      <w:lvlJc w:val="left"/>
      <w:lvlText w:val="%2."/>
      <w:numFmt w:val="lowerRoman"/>
      <w:start w:val="1"/>
    </w:lvl>
  </w:abstractNum>
  <w:abstractNum w:abstractNumId="68">
    <w:nsid w:val="7FB7E0AA"/>
    <w:multiLevelType w:val="hybridMultilevel"/>
    <w:lvl w:ilvl="0">
      <w:lvlJc w:val="left"/>
      <w:lvlText w:val="%1."/>
      <w:numFmt w:val="lowerRoman"/>
      <w:start w:val="2"/>
    </w:lvl>
  </w:abstractNum>
  <w:abstractNum w:abstractNumId="69">
    <w:nsid w:val="6EB5BD4"/>
    <w:multiLevelType w:val="hybridMultilevel"/>
    <w:lvl w:ilvl="0">
      <w:lvlJc w:val="left"/>
      <w:lvlText w:val="%1)"/>
      <w:numFmt w:val="lowerLetter"/>
      <w:start w:val="1"/>
    </w:lvl>
  </w:abstractNum>
  <w:abstractNum w:abstractNumId="70">
    <w:nsid w:val="6F6DD9AC"/>
    <w:multiLevelType w:val="hybridMultilevel"/>
    <w:lvl w:ilvl="0">
      <w:lvlJc w:val="left"/>
      <w:lvlText w:val="%1)"/>
      <w:numFmt w:val="lowerLetter"/>
      <w:start w:val="3"/>
    </w:lvl>
  </w:abstractNum>
  <w:abstractNum w:abstractNumId="71">
    <w:nsid w:val="94211F2"/>
    <w:multiLevelType w:val="hybridMultilevel"/>
    <w:lvl w:ilvl="0">
      <w:lvlJc w:val="left"/>
      <w:lvlText w:val="(%1)"/>
      <w:numFmt w:val="lowerLetter"/>
      <w:start w:val="1"/>
    </w:lvl>
  </w:abstractNum>
  <w:abstractNum w:abstractNumId="72">
    <w:nsid w:val="885E1B"/>
    <w:multiLevelType w:val="hybridMultilevel"/>
    <w:lvl w:ilvl="0">
      <w:lvlJc w:val="left"/>
      <w:lvlText w:val="(%1)"/>
      <w:numFmt w:val="decimal"/>
      <w:start w:val="1"/>
    </w:lvl>
  </w:abstractNum>
  <w:abstractNum w:abstractNumId="73">
    <w:nsid w:val="76272110"/>
    <w:multiLevelType w:val="hybridMultilevel"/>
    <w:lvl w:ilvl="0">
      <w:lvlJc w:val="left"/>
      <w:lvlText w:val="(%1)"/>
      <w:numFmt w:val="decimal"/>
      <w:start w:val="2"/>
    </w:lvl>
    <w:lvl w:ilvl="1">
      <w:lvlJc w:val="left"/>
      <w:lvlText w:val="(%2)"/>
      <w:numFmt w:val="lowerLetter"/>
      <w:start w:val="3"/>
    </w:lvl>
  </w:abstractNum>
  <w:abstractNum w:abstractNumId="74">
    <w:nsid w:val="4C04A8AF"/>
    <w:multiLevelType w:val="hybridMultilevel"/>
    <w:lvl w:ilvl="0">
      <w:lvlJc w:val="left"/>
      <w:lvlText w:val="%1)"/>
      <w:numFmt w:val="lowerLetter"/>
      <w:start w:val="1"/>
    </w:lvl>
  </w:abstractNum>
  <w:abstractNum w:abstractNumId="75">
    <w:nsid w:val="1716703B"/>
    <w:multiLevelType w:val="hybridMultilevel"/>
    <w:lvl w:ilvl="0">
      <w:lvlJc w:val="left"/>
      <w:lvlText w:val="%1)"/>
      <w:numFmt w:val="lowerLetter"/>
      <w:start w:val="5"/>
    </w:lvl>
  </w:abstractNum>
  <w:abstractNum w:abstractNumId="76">
    <w:nsid w:val="14E17E33"/>
    <w:multiLevelType w:val="hybridMultilevel"/>
    <w:lvl w:ilvl="0">
      <w:lvlJc w:val="left"/>
      <w:lvlText w:val="%1)"/>
      <w:numFmt w:val="lowerLetter"/>
      <w:start w:val="8"/>
    </w:lvl>
  </w:abstractNum>
  <w:abstractNum w:abstractNumId="77">
    <w:nsid w:val="3222E7CD"/>
    <w:multiLevelType w:val="hybridMultilevel"/>
    <w:lvl w:ilvl="0">
      <w:lvlJc w:val="left"/>
      <w:lvlText w:val="(%1)"/>
      <w:numFmt w:val="decimal"/>
      <w:start w:val="1"/>
    </w:lvl>
  </w:abstractNum>
  <w:abstractNum w:abstractNumId="78">
    <w:nsid w:val="74DE0EE3"/>
    <w:multiLevelType w:val="hybridMultilevel"/>
    <w:lvl w:ilvl="0">
      <w:lvlJc w:val="left"/>
      <w:lvlText w:val="(%1)"/>
      <w:numFmt w:val="decimal"/>
      <w:start w:val="3"/>
    </w:lvl>
  </w:abstractNum>
  <w:abstractNum w:abstractNumId="79">
    <w:nsid w:val="68EBC550"/>
    <w:multiLevelType w:val="hybridMultilevel"/>
    <w:lvl w:ilvl="0">
      <w:lvlJc w:val="left"/>
      <w:lvlText w:val="(%1)"/>
      <w:numFmt w:val="decimal"/>
      <w:start w:val="4"/>
    </w:lvl>
  </w:abstractNum>
  <w:abstractNum w:abstractNumId="80">
    <w:nsid w:val="2DF6D648"/>
    <w:multiLevelType w:val="hybridMultilevel"/>
    <w:lvl w:ilvl="0">
      <w:lvlJc w:val="left"/>
      <w:lvlText w:val="%1"/>
      <w:numFmt w:val="lowerLetter"/>
      <w:start w:val="1"/>
    </w:lvl>
    <w:lvl w:ilvl="1">
      <w:lvlJc w:val="left"/>
      <w:lvlText w:val="%2)"/>
      <w:numFmt w:val="lowerLetter"/>
      <w:start w:val="1"/>
    </w:lvl>
  </w:abstractNum>
  <w:abstractNum w:abstractNumId="81">
    <w:nsid w:val="46B7D447"/>
    <w:multiLevelType w:val="hybridMultilevel"/>
    <w:lvl w:ilvl="0">
      <w:lvlJc w:val="left"/>
      <w:lvlText w:val="(%1)"/>
      <w:numFmt w:val="lowerLetter"/>
      <w:start w:val="1"/>
    </w:lvl>
    <w:lvl w:ilvl="1">
      <w:lvlJc w:val="left"/>
      <w:lvlText w:val="%2"/>
      <w:numFmt w:val="lowerLetter"/>
      <w:start w:val="1"/>
    </w:lvl>
  </w:abstractNum>
  <w:abstractNum w:abstractNumId="82">
    <w:nsid w:val="4A2AC315"/>
    <w:multiLevelType w:val="hybridMultilevel"/>
    <w:lvl w:ilvl="0">
      <w:lvlJc w:val="left"/>
      <w:lvlText w:val="%1)"/>
      <w:numFmt w:val="lowerLetter"/>
      <w:start w:val="2"/>
    </w:lvl>
    <w:lvl w:ilvl="1">
      <w:lvlJc w:val="left"/>
      <w:lvlText w:val="%2."/>
      <w:numFmt w:val="lowerRoman"/>
      <w:start w:val="1"/>
    </w:lvl>
  </w:abstractNum>
  <w:abstractNum w:abstractNumId="83">
    <w:nsid w:val="39EE015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84">
    <w:nsid w:val="57FC4FBB"/>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85">
    <w:nsid w:val="CC1016F"/>
    <w:multiLevelType w:val="hybridMultilevel"/>
    <w:lvl w:ilvl="0">
      <w:lvlJc w:val="left"/>
      <w:lvlText w:val="%1."/>
      <w:numFmt w:val="lowerRoman"/>
      <w:start w:val="2"/>
    </w:lvl>
  </w:abstractNum>
  <w:abstractNum w:abstractNumId="86">
    <w:nsid w:val="43F18422"/>
    <w:multiLevelType w:val="hybridMultilevel"/>
    <w:lvl w:ilvl="0">
      <w:lvlJc w:val="left"/>
      <w:lvlText w:val="%1."/>
      <w:numFmt w:val="lowerRoman"/>
      <w:start w:val="4"/>
    </w:lvl>
  </w:abstractNum>
  <w:abstractNum w:abstractNumId="87">
    <w:nsid w:val="60EF0119"/>
    <w:multiLevelType w:val="hybridMultilevel"/>
    <w:lvl w:ilvl="0">
      <w:lvlJc w:val="left"/>
      <w:lvlText w:val="%1."/>
      <w:numFmt w:val="lowerRoman"/>
      <w:start w:val="8"/>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1)"/>
      <w:numFmt w:val="lowerLetter"/>
      <w:start w:val="3"/>
    </w:lvl>
    <w:lvl w:ilvl="1">
      <w:lvlJc w:val="left"/>
      <w:lvlText w:val="%2."/>
      <w:numFmt w:val="lowerRoman"/>
      <w:start w:val="1"/>
    </w:lvl>
  </w:abstractNum>
  <w:abstractNum w:abstractNumId="90">
    <w:nsid w:val="49DA307D"/>
    <w:multiLevelType w:val="hybridMultilevel"/>
    <w:lvl w:ilvl="0">
      <w:lvlJc w:val="left"/>
      <w:lvlText w:val="%1)"/>
      <w:numFmt w:val="lowerLetter"/>
      <w:start w:val="1"/>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decimal"/>
      <w:start w:val="1"/>
    </w:lvl>
    <w:lvl w:ilvl="1">
      <w:lvlJc w:val="left"/>
      <w:lvlText w:val="(%2)"/>
      <w:numFmt w:val="lowerLetter"/>
      <w:start w:val="2"/>
    </w:lvl>
  </w:abstractNum>
  <w:abstractNum w:abstractNumId="93">
    <w:nsid w:val="50801EE1"/>
    <w:multiLevelType w:val="hybridMultilevel"/>
    <w:lvl w:ilvl="0">
      <w:lvlJc w:val="left"/>
      <w:lvlText w:val="(%1)"/>
      <w:numFmt w:val="decimal"/>
      <w:start w:val="1"/>
    </w:lvl>
    <w:lvl w:ilvl="1">
      <w:lvlJc w:val="left"/>
      <w:lvlText w:val="%2"/>
      <w:numFmt w:val="lowerLetter"/>
      <w:start w:val="1"/>
    </w:lvl>
  </w:abstractNum>
  <w:abstractNum w:abstractNumId="94">
    <w:nsid w:val="488AC1A"/>
    <w:multiLevelType w:val="hybridMultilevel"/>
    <w:lvl w:ilvl="0">
      <w:lvlJc w:val="left"/>
      <w:lvlText w:val="(%1)"/>
      <w:numFmt w:val="decimal"/>
      <w:start w:val="2"/>
    </w:lvl>
    <w:lvl w:ilvl="1">
      <w:lvlJc w:val="left"/>
      <w:lvlText w:val="(%2)"/>
      <w:numFmt w:val="lowerLetter"/>
      <w:start w:val="3"/>
    </w:lvl>
  </w:abstractNum>
  <w:abstractNum w:abstractNumId="95">
    <w:nsid w:val="5FB8011C"/>
    <w:multiLevelType w:val="hybridMultilevel"/>
    <w:lvl w:ilvl="0">
      <w:lvlJc w:val="left"/>
      <w:lvlText w:val="%1)"/>
      <w:numFmt w:val="lowerLetter"/>
      <w:start w:val="1"/>
    </w:lvl>
  </w:abstractNum>
  <w:abstractNum w:abstractNumId="96">
    <w:nsid w:val="6AA78F7F"/>
    <w:multiLevelType w:val="hybridMultilevel"/>
    <w:lvl w:ilvl="0">
      <w:lvlJc w:val="left"/>
      <w:lvlText w:val="%1)"/>
      <w:numFmt w:val="lowerLetter"/>
      <w:start w:val="5"/>
    </w:lvl>
  </w:abstractNum>
  <w:abstractNum w:abstractNumId="97">
    <w:nsid w:val="7672BD23"/>
    <w:multiLevelType w:val="hybridMultilevel"/>
    <w:lvl w:ilvl="0">
      <w:lvlJc w:val="left"/>
      <w:lvlText w:val="%1)"/>
      <w:numFmt w:val="lowerLetter"/>
      <w:start w:val="8"/>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2019-12-12T11:28:23Z</dcterms:created>
  <dcterms:modified xsi:type="dcterms:W3CDTF">2019-12-12T11:28:23Z</dcterms:modified>
</cp:coreProperties>
</file>