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For the month of January 2006 No. 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4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On January 15, 2006, the Registrant announced successful raising of approximately $48 million through sales of convertible debentures.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January 15,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jc w:val="center"/>
        <w:ind w:left="340" w:right="1480"/>
        <w:spacing w:after="0" w:line="236" w:lineRule="auto"/>
        <w:rPr>
          <w:sz w:val="20"/>
          <w:szCs w:val="20"/>
          <w:color w:val="auto"/>
        </w:rPr>
      </w:pPr>
      <w:r>
        <w:rPr>
          <w:rFonts w:ascii="Courier New" w:cs="Courier New" w:eastAsia="Courier New" w:hAnsi="Courier New"/>
          <w:sz w:val="18"/>
          <w:szCs w:val="18"/>
          <w:color w:val="auto"/>
        </w:rPr>
        <w:t>TOWER SEMICONDUCTOR ANNOUNCES SUCCESSFUL RAISING OF APPROXIMATELY $48 MILLION THROUGH SALES OF CONVERTIBLE DEBENTURES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 January 15, 2006 -- Tower Semiconductor Ltd. (NASDAQ: TSEM; TASE: TSEM), a pure-play independent specialty foundry, today announced that it has successfully completed its previously announced offering of rights, resulting in gross proceeds of approximately $48 million.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very pleased with the success of this offering and especially with the strong vote of confidence given to Tower by our shareholders and the financial community, as demonstrated by the exercise of approximately 96% of the total rights," said Russell Ellwanger, Tower's CEO. "We achieved substantial fourth quarter over third quarter revenue growth of 50%. This fundraising will allow us to continue to meet our customers' needs and help enable their success, as we drive the company towards further growth".</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debentures will be listed for trade on the Nasdaq Capital Market under the symbol TSEMG and the Tel Aviv Stock Exchange under the symbol TSEM.C2. In light of U.S. settlement procedures and January 16, 2006 being a U.S. holiday, the debentures are expected to be listed for trade on these exchanges on or about Wednesday January 18, 2006, subject to the procedures of both exchanges. As stated in the prospectus, the debentures will be convertible commencing the day after the debentures are listed for trading on the Tel Aviv Stock Exchange through December 27, 2011. Debentures may only be converted in integral multiples of $1.00 amounts.</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terms of the rights distribution and the convertible debentures are described in the prospectus included in the registration statement. Copies of the prospectus can also be obtained from the U.S. Securities and Exchange Commission's EDGAR website at www.sec.gov, from the Israel Securities Authority's Magna website at www.magna.isa.gov.il or from Tower's website at www.towersemi.com. Copies of the prospectus for the rights distribution may be also be obtained from Tower Semiconductor at PO Box 619, Migdal Haemek, Israel 23105, Attention: Corporate Secretary, telephone: +972 4 650 6109, or e-mail: investors_news@towersemi.com.</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Ilanit Vudinsky, +972 4 650 6434</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ilanitvu@towersemi.com</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Pacifico Inc.</w:t>
      </w:r>
    </w:p>
    <w:p>
      <w:pPr>
        <w:ind w:left="540"/>
        <w:spacing w:after="0" w:line="238" w:lineRule="auto"/>
        <w:rPr>
          <w:sz w:val="20"/>
          <w:szCs w:val="20"/>
          <w:color w:val="auto"/>
        </w:rPr>
      </w:pPr>
      <w:r>
        <w:rPr>
          <w:rFonts w:ascii="Courier New" w:cs="Courier New" w:eastAsia="Courier New" w:hAnsi="Courier New"/>
          <w:sz w:val="18"/>
          <w:szCs w:val="18"/>
          <w:color w:val="auto"/>
        </w:rPr>
        <w:t>PR Agency Contact</w:t>
      </w:r>
    </w:p>
    <w:p>
      <w:pPr>
        <w:ind w:left="540"/>
        <w:spacing w:after="0"/>
        <w:rPr>
          <w:sz w:val="20"/>
          <w:szCs w:val="20"/>
          <w:color w:val="auto"/>
        </w:rPr>
      </w:pPr>
      <w:r>
        <w:rPr>
          <w:rFonts w:ascii="Courier New" w:cs="Courier New" w:eastAsia="Courier New" w:hAnsi="Courier New"/>
          <w:sz w:val="18"/>
          <w:szCs w:val="18"/>
          <w:color w:val="auto"/>
        </w:rPr>
        <w:t>Mary Curtis, +1 408 293 8600</w:t>
      </w:r>
    </w:p>
    <w:p>
      <w:pPr>
        <w:ind w:left="540"/>
        <w:spacing w:after="0" w:line="237" w:lineRule="auto"/>
        <w:rPr>
          <w:sz w:val="20"/>
          <w:szCs w:val="20"/>
          <w:color w:val="auto"/>
        </w:rPr>
      </w:pPr>
      <w:r>
        <w:rPr>
          <w:rFonts w:ascii="Courier New" w:cs="Courier New" w:eastAsia="Courier New" w:hAnsi="Courier New"/>
          <w:sz w:val="18"/>
          <w:szCs w:val="18"/>
          <w:color w:val="auto"/>
        </w:rPr>
        <w:t>mcurtis@pacifico.com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2019-12-14T04:17:05Z</dcterms:created>
  <dcterms:modified xsi:type="dcterms:W3CDTF">2019-12-14T04:17:05Z</dcterms:modified>
</cp:coreProperties>
</file>