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Mail Stop 6010</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December 13, 2005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Tower Semiconductor USA</w:t>
      </w:r>
    </w:p>
    <w:p>
      <w:pPr>
        <w:spacing w:after="0" w:line="238" w:lineRule="auto"/>
        <w:rPr>
          <w:sz w:val="20"/>
          <w:szCs w:val="20"/>
          <w:color w:val="auto"/>
        </w:rPr>
      </w:pPr>
      <w:r>
        <w:rPr>
          <w:rFonts w:ascii="Courier New" w:cs="Courier New" w:eastAsia="Courier New" w:hAnsi="Courier New"/>
          <w:sz w:val="18"/>
          <w:szCs w:val="18"/>
          <w:color w:val="auto"/>
        </w:rPr>
        <w:t>4300 Stevens Creek Blvd., Suite 175</w:t>
      </w:r>
    </w:p>
    <w:p>
      <w:pPr>
        <w:spacing w:after="0"/>
        <w:rPr>
          <w:sz w:val="20"/>
          <w:szCs w:val="20"/>
          <w:color w:val="auto"/>
        </w:rPr>
      </w:pPr>
      <w:r>
        <w:rPr>
          <w:rFonts w:ascii="Courier New" w:cs="Courier New" w:eastAsia="Courier New" w:hAnsi="Courier New"/>
          <w:sz w:val="18"/>
          <w:szCs w:val="18"/>
          <w:color w:val="auto"/>
        </w:rPr>
        <w:t>San Jose, CA 95129</w:t>
      </w:r>
    </w:p>
    <w:p>
      <w:pPr>
        <w:spacing w:after="0" w:line="237" w:lineRule="auto"/>
        <w:rPr>
          <w:sz w:val="20"/>
          <w:szCs w:val="20"/>
          <w:color w:val="auto"/>
        </w:rPr>
      </w:pPr>
      <w:r>
        <w:rPr>
          <w:rFonts w:ascii="Courier New" w:cs="Courier New" w:eastAsia="Courier New" w:hAnsi="Courier New"/>
          <w:sz w:val="18"/>
          <w:szCs w:val="18"/>
          <w:color w:val="auto"/>
        </w:rPr>
        <w:t>As Agent for Service of Tower Semiconductor Ltd.</w:t>
      </w:r>
    </w:p>
    <w:p>
      <w:pPr>
        <w:spacing w:after="0" w:line="202" w:lineRule="exact"/>
        <w:rPr>
          <w:sz w:val="24"/>
          <w:szCs w:val="24"/>
          <w:color w:val="auto"/>
        </w:rPr>
      </w:pPr>
    </w:p>
    <w:p>
      <w:pPr>
        <w:ind w:left="640"/>
        <w:spacing w:after="0"/>
        <w:tabs>
          <w:tab w:leader="none" w:pos="168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Tower Semiconductor Ltd.</w:t>
      </w:r>
    </w:p>
    <w:p>
      <w:pPr>
        <w:spacing w:after="0" w:line="4"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Amendment No. 5 on Form F-1 to Registration Statement on Form</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w:t>
      </w:r>
    </w:p>
    <w:p>
      <w:pPr>
        <w:spacing w:after="0" w:line="238" w:lineRule="auto"/>
        <w:rPr>
          <w:sz w:val="20"/>
          <w:szCs w:val="20"/>
          <w:color w:val="auto"/>
        </w:rPr>
      </w:pPr>
      <w:r>
        <w:rPr>
          <w:rFonts w:ascii="Courier New" w:cs="Courier New" w:eastAsia="Courier New" w:hAnsi="Courier New"/>
          <w:sz w:val="18"/>
          <w:szCs w:val="18"/>
          <w:color w:val="auto"/>
        </w:rPr>
        <w:t>2</w:t>
      </w:r>
    </w:p>
    <w:p>
      <w:pPr>
        <w:ind w:left="640"/>
        <w:spacing w:after="0"/>
        <w:rPr>
          <w:sz w:val="20"/>
          <w:szCs w:val="20"/>
          <w:color w:val="auto"/>
        </w:rPr>
      </w:pPr>
      <w:r>
        <w:rPr>
          <w:rFonts w:ascii="Courier New" w:cs="Courier New" w:eastAsia="Courier New" w:hAnsi="Courier New"/>
          <w:sz w:val="18"/>
          <w:szCs w:val="18"/>
          <w:color w:val="auto"/>
        </w:rPr>
        <w:t>Filed December 8, 2005</w:t>
      </w:r>
    </w:p>
    <w:p>
      <w:pPr>
        <w:ind w:left="860"/>
        <w:spacing w:after="0" w:line="237" w:lineRule="auto"/>
        <w:rPr>
          <w:sz w:val="20"/>
          <w:szCs w:val="20"/>
          <w:color w:val="auto"/>
        </w:rPr>
      </w:pPr>
      <w:r>
        <w:rPr>
          <w:rFonts w:ascii="Courier New" w:cs="Courier New" w:eastAsia="Courier New" w:hAnsi="Courier New"/>
          <w:sz w:val="18"/>
          <w:szCs w:val="18"/>
          <w:color w:val="auto"/>
        </w:rPr>
        <w:t>File No. 333-126909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Sir/Madam:</w:t>
      </w:r>
    </w:p>
    <w:p>
      <w:pPr>
        <w:spacing w:after="0" w:line="207" w:lineRule="exact"/>
        <w:rPr>
          <w:sz w:val="24"/>
          <w:szCs w:val="24"/>
          <w:color w:val="auto"/>
        </w:rPr>
      </w:pPr>
    </w:p>
    <w:p>
      <w:pPr>
        <w:ind w:right="3259" w:firstLine="632"/>
        <w:spacing w:after="0" w:line="236" w:lineRule="auto"/>
        <w:rPr>
          <w:sz w:val="20"/>
          <w:szCs w:val="20"/>
          <w:color w:val="auto"/>
        </w:rPr>
      </w:pPr>
      <w:r>
        <w:rPr>
          <w:rFonts w:ascii="Courier New" w:cs="Courier New" w:eastAsia="Courier New" w:hAnsi="Courier New"/>
          <w:sz w:val="18"/>
          <w:szCs w:val="18"/>
          <w:color w:val="auto"/>
        </w:rPr>
        <w:t>We have limited our review of your filing to those issues we have addressed in our comments. Where indicated, we think you should</w:t>
      </w:r>
    </w:p>
    <w:p>
      <w:pPr>
        <w:spacing w:after="0" w:line="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revise your document in response to these comments. If you disagree,</w:t>
      </w:r>
    </w:p>
    <w:p>
      <w:pPr>
        <w:spacing w:after="0" w:line="6" w:lineRule="exact"/>
        <w:rPr>
          <w:sz w:val="24"/>
          <w:szCs w:val="24"/>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we will consider your explanation as to why our comment is inapplicable or a revision is unnecessary. Please be as detailed as</w:t>
      </w:r>
    </w:p>
    <w:p>
      <w:pPr>
        <w:spacing w:after="0" w:line="6" w:lineRule="exact"/>
        <w:rPr>
          <w:sz w:val="24"/>
          <w:szCs w:val="24"/>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necessary in your explanation. In some of our comments, we may ask</w:t>
      </w:r>
    </w:p>
    <w:p>
      <w:pPr>
        <w:spacing w:after="0" w:line="6" w:lineRule="exact"/>
        <w:rPr>
          <w:sz w:val="24"/>
          <w:szCs w:val="24"/>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you to provide us with information so we may better understand your</w:t>
      </w:r>
    </w:p>
    <w:p>
      <w:pPr>
        <w:spacing w:after="0" w:line="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disclosure. After reviewing this information, we may raise additional comments.</w:t>
      </w:r>
    </w:p>
    <w:p>
      <w:pPr>
        <w:spacing w:after="0" w:line="203"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Please understand that the purpose of our review process is</w:t>
      </w:r>
    </w:p>
    <w:p>
      <w:pPr>
        <w:spacing w:after="0" w:line="238" w:lineRule="auto"/>
        <w:rPr>
          <w:sz w:val="20"/>
          <w:szCs w:val="20"/>
          <w:color w:val="auto"/>
        </w:rPr>
      </w:pPr>
      <w:r>
        <w:rPr>
          <w:rFonts w:ascii="Courier New" w:cs="Courier New" w:eastAsia="Courier New" w:hAnsi="Courier New"/>
          <w:sz w:val="18"/>
          <w:szCs w:val="18"/>
          <w:color w:val="auto"/>
        </w:rPr>
        <w:t>to</w:t>
      </w:r>
    </w:p>
    <w:p>
      <w:pPr>
        <w:spacing w:after="0" w:line="5"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assist you in your compliance with the applicable disclosure requirements and to enhance the overall disclosure in your filing. We look forward to working with you in these respects. We welcome any questions you may have about our comments or any other aspect of</w:t>
      </w:r>
    </w:p>
    <w:p>
      <w:pPr>
        <w:spacing w:after="0" w:line="6"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our review. Feel free to call us at the telephone numbers listed at</w:t>
      </w:r>
    </w:p>
    <w:p>
      <w:pPr>
        <w:spacing w:after="0"/>
        <w:rPr>
          <w:sz w:val="20"/>
          <w:szCs w:val="20"/>
          <w:color w:val="auto"/>
        </w:rPr>
      </w:pPr>
      <w:r>
        <w:rPr>
          <w:rFonts w:ascii="Courier New" w:cs="Courier New" w:eastAsia="Courier New" w:hAnsi="Courier New"/>
          <w:sz w:val="18"/>
          <w:szCs w:val="18"/>
          <w:color w:val="auto"/>
        </w:rPr>
        <w:t>the end of this letter.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Form F-2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Part II.</w:t>
      </w:r>
    </w:p>
    <w:p>
      <w:pPr>
        <w:spacing w:after="0" w:line="4" w:lineRule="exact"/>
        <w:rPr>
          <w:sz w:val="24"/>
          <w:szCs w:val="24"/>
          <w:color w:val="auto"/>
        </w:rPr>
      </w:pPr>
    </w:p>
    <w:p>
      <w:pPr>
        <w:ind w:right="4199" w:firstLine="8"/>
        <w:spacing w:after="0" w:line="235"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provide the information required by Item 701 of Regulation</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S-K.</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Exhibit 5.3</w:t>
      </w:r>
    </w:p>
    <w:p>
      <w:pPr>
        <w:spacing w:after="0" w:line="4" w:lineRule="exact"/>
        <w:rPr>
          <w:sz w:val="24"/>
          <w:szCs w:val="24"/>
          <w:color w:val="auto"/>
        </w:rPr>
      </w:pPr>
    </w:p>
    <w:p>
      <w:pPr>
        <w:jc w:val="both"/>
        <w:ind w:right="3479" w:firstLine="8"/>
        <w:spacing w:after="0" w:line="237"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reissue the comment. If you retain the language that the opinion is limited to the Federal income tax laws of the United States "as of the date hereof," either refile the opinion on the date</w:t>
      </w:r>
    </w:p>
    <w:p>
      <w:pPr>
        <w:spacing w:after="0" w:line="4" w:lineRule="exact"/>
        <w:rPr>
          <w:rFonts w:ascii="Courier New" w:cs="Courier New" w:eastAsia="Courier New" w:hAnsi="Courier New"/>
          <w:sz w:val="18"/>
          <w:szCs w:val="18"/>
          <w:color w:val="auto"/>
        </w:rPr>
      </w:pPr>
    </w:p>
    <w:p>
      <w:pPr>
        <w:ind w:right="36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you intend to go effective, dated as of the effective date, or revise</w:t>
      </w:r>
    </w:p>
    <w:p>
      <w:pPr>
        <w:spacing w:after="0" w:line="5"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opinion to state explicitly that counsel has an obligation to update the opinion prior to the effective date of the Registration Statement and will do so upon the occurrence of the events stated in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fourth paragraph.</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Closing Comments</w:t>
      </w:r>
    </w:p>
    <w:p>
      <w:pPr>
        <w:spacing w:after="0" w:line="207" w:lineRule="exact"/>
        <w:rPr>
          <w:sz w:val="24"/>
          <w:szCs w:val="24"/>
          <w:color w:val="auto"/>
        </w:rPr>
      </w:pPr>
    </w:p>
    <w:p>
      <w:pPr>
        <w:ind w:right="3359" w:firstLine="632"/>
        <w:spacing w:after="0" w:line="236" w:lineRule="auto"/>
        <w:rPr>
          <w:sz w:val="20"/>
          <w:szCs w:val="20"/>
          <w:color w:val="auto"/>
        </w:rPr>
      </w:pPr>
      <w:r>
        <w:rPr>
          <w:rFonts w:ascii="Courier New" w:cs="Courier New" w:eastAsia="Courier New" w:hAnsi="Courier New"/>
          <w:sz w:val="18"/>
          <w:szCs w:val="18"/>
          <w:color w:val="auto"/>
        </w:rPr>
        <w:t>As appropriate, please amend your registration statement in response to these comments. You may wish to provide us with marked</w:t>
      </w:r>
    </w:p>
    <w:p>
      <w:pPr>
        <w:spacing w:after="0" w:line="6" w:lineRule="exact"/>
        <w:rPr>
          <w:sz w:val="24"/>
          <w:szCs w:val="24"/>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copies of the amendment to expedite our review. Please furnish a cover letter with your amendment that keys your responses to our comments and provides any requested information. Detailed cover letters greatly facilitate our review. Please understand that we may</w:t>
      </w:r>
    </w:p>
    <w:p>
      <w:pPr>
        <w:spacing w:after="0" w:line="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have additional comments after reviewing your amendment and responses</w:t>
      </w:r>
    </w:p>
    <w:p>
      <w:pPr>
        <w:spacing w:after="0"/>
        <w:rPr>
          <w:sz w:val="20"/>
          <w:szCs w:val="20"/>
          <w:color w:val="auto"/>
        </w:rPr>
      </w:pPr>
      <w:r>
        <w:rPr>
          <w:rFonts w:ascii="Courier New" w:cs="Courier New" w:eastAsia="Courier New" w:hAnsi="Courier New"/>
          <w:sz w:val="18"/>
          <w:szCs w:val="18"/>
          <w:color w:val="auto"/>
        </w:rPr>
        <w:t>to our comments.</w:t>
      </w:r>
    </w:p>
    <w:p>
      <w:pPr>
        <w:sectPr>
          <w:pgSz w:w="11900" w:h="16838" w:orient="portrait"/>
          <w:cols w:equalWidth="0" w:num="1">
            <w:col w:w="10219"/>
          </w:cols>
          <w:pgMar w:left="240" w:top="852" w:right="1440" w:bottom="0" w:gutter="0" w:footer="0" w:header="0"/>
        </w:sectPr>
      </w:pPr>
    </w:p>
    <w:bookmarkStart w:id="1" w:name="page2"/>
    <w:bookmarkEnd w:id="1"/>
    <w:p>
      <w:pPr>
        <w:ind w:left="640"/>
        <w:spacing w:after="0"/>
        <w:rPr>
          <w:sz w:val="20"/>
          <w:szCs w:val="20"/>
          <w:color w:val="auto"/>
        </w:rPr>
      </w:pPr>
      <w:r>
        <w:rPr>
          <w:rFonts w:ascii="Courier New" w:cs="Courier New" w:eastAsia="Courier New" w:hAnsi="Courier New"/>
          <w:sz w:val="18"/>
          <w:szCs w:val="18"/>
          <w:color w:val="auto"/>
        </w:rPr>
        <w:t>You may contact Thomas Dyer at (202) 551-3641 or Kaitlin</w:t>
      </w:r>
    </w:p>
    <w:p>
      <w:pPr>
        <w:spacing w:after="0" w:line="238" w:lineRule="auto"/>
        <w:rPr>
          <w:sz w:val="20"/>
          <w:szCs w:val="20"/>
          <w:color w:val="auto"/>
        </w:rPr>
      </w:pPr>
      <w:r>
        <w:rPr>
          <w:rFonts w:ascii="Courier New" w:cs="Courier New" w:eastAsia="Courier New" w:hAnsi="Courier New"/>
          <w:sz w:val="18"/>
          <w:szCs w:val="18"/>
          <w:color w:val="auto"/>
        </w:rPr>
        <w:t>Tillan</w:t>
      </w:r>
    </w:p>
    <w:p>
      <w:pPr>
        <w:spacing w:after="0" w:line="5"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8"/>
          <w:szCs w:val="18"/>
          <w:color w:val="auto"/>
        </w:rPr>
        <w:t>at (202) 551-3604 if you have questions regarding comments on the financial statements and related matters. Please contact Adelaja Heyliger at (202) 551-3636 or me at (202) 551-3800 with any other questions.</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760"/>
        <w:spacing w:after="0"/>
        <w:rPr>
          <w:sz w:val="20"/>
          <w:szCs w:val="20"/>
          <w:color w:val="auto"/>
        </w:rPr>
      </w:pPr>
      <w:r>
        <w:rPr>
          <w:rFonts w:ascii="Courier New" w:cs="Courier New" w:eastAsia="Courier New" w:hAnsi="Courier New"/>
          <w:sz w:val="18"/>
          <w:szCs w:val="18"/>
          <w:color w:val="auto"/>
        </w:rPr>
        <w:t>Peggy A. Fisher</w:t>
      </w:r>
    </w:p>
    <w:p>
      <w:pPr>
        <w:spacing w:after="0" w:line="4" w:lineRule="exact"/>
        <w:rPr>
          <w:sz w:val="20"/>
          <w:szCs w:val="20"/>
          <w:color w:val="auto"/>
        </w:rPr>
      </w:pPr>
    </w:p>
    <w:p>
      <w:pPr>
        <w:ind w:left="6760"/>
        <w:spacing w:after="0"/>
        <w:rPr>
          <w:sz w:val="20"/>
          <w:szCs w:val="20"/>
          <w:color w:val="auto"/>
        </w:rPr>
      </w:pPr>
      <w:r>
        <w:rPr>
          <w:rFonts w:ascii="Courier New" w:cs="Courier New" w:eastAsia="Courier New" w:hAnsi="Courier New"/>
          <w:sz w:val="16"/>
          <w:szCs w:val="16"/>
          <w:color w:val="auto"/>
        </w:rPr>
        <w:t>Assistant Director</w:t>
      </w:r>
    </w:p>
    <w:p>
      <w:pPr>
        <w:spacing w:after="0" w:line="224" w:lineRule="exact"/>
        <w:rPr>
          <w:sz w:val="20"/>
          <w:szCs w:val="20"/>
          <w:color w:val="auto"/>
        </w:rPr>
      </w:pPr>
    </w:p>
    <w:p>
      <w:pPr>
        <w:ind w:left="860" w:right="6419" w:hanging="852"/>
        <w:spacing w:after="0" w:line="236" w:lineRule="auto"/>
        <w:tabs>
          <w:tab w:leader="none" w:pos="33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(via fax): Sheldon Krause, Esq. Eilenberg &amp; Krause LLP 212.986.2399</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Tower Semiconductor USA</w:t>
      </w:r>
    </w:p>
    <w:p>
      <w:pPr>
        <w:spacing w:after="0" w:line="238" w:lineRule="auto"/>
        <w:rPr>
          <w:sz w:val="20"/>
          <w:szCs w:val="20"/>
          <w:color w:val="auto"/>
        </w:rPr>
      </w:pPr>
      <w:r>
        <w:rPr>
          <w:rFonts w:ascii="Courier New" w:cs="Courier New" w:eastAsia="Courier New" w:hAnsi="Courier New"/>
          <w:sz w:val="18"/>
          <w:szCs w:val="18"/>
          <w:color w:val="auto"/>
        </w:rPr>
        <w:t>As Agent for Service of Tower Semiconductor Ltd.</w:t>
      </w:r>
    </w:p>
    <w:p>
      <w:pPr>
        <w:spacing w:after="0"/>
        <w:rPr>
          <w:sz w:val="20"/>
          <w:szCs w:val="20"/>
          <w:color w:val="auto"/>
        </w:rPr>
      </w:pPr>
      <w:r>
        <w:rPr>
          <w:rFonts w:ascii="Courier New" w:cs="Courier New" w:eastAsia="Courier New" w:hAnsi="Courier New"/>
          <w:sz w:val="18"/>
          <w:szCs w:val="18"/>
          <w:color w:val="auto"/>
        </w:rPr>
        <w:t>December 13, 2005</w:t>
      </w:r>
    </w:p>
    <w:p>
      <w:pPr>
        <w:spacing w:after="0" w:line="237" w:lineRule="auto"/>
        <w:rPr>
          <w:sz w:val="20"/>
          <w:szCs w:val="20"/>
          <w:color w:val="auto"/>
        </w:rPr>
      </w:pPr>
      <w:r>
        <w:rPr>
          <w:rFonts w:ascii="Courier New" w:cs="Courier New" w:eastAsia="Courier New" w:hAnsi="Courier New"/>
          <w:sz w:val="18"/>
          <w:szCs w:val="18"/>
          <w:color w:val="auto"/>
        </w:rPr>
        <w:t>Page 1</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2019-12-14T03:39:42Z</dcterms:created>
  <dcterms:modified xsi:type="dcterms:W3CDTF">2019-12-14T03:39:42Z</dcterms:modified>
</cp:coreProperties>
</file>