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August 2008 (No. 7)</w:t>
      </w:r>
    </w:p>
    <w:p>
      <w:pPr>
        <w:spacing w:after="0" w:line="19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2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Form 40-F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40" w:firstLine="351"/>
        <w:spacing w:after="0" w:line="339" w:lineRule="auto"/>
        <w:rPr>
          <w:sz w:val="20"/>
          <w:szCs w:val="20"/>
          <w:color w:val="auto"/>
        </w:rPr>
      </w:pPr>
      <w:r>
        <w:rPr>
          <w:rFonts w:ascii="Times New Roman" w:cs="Times New Roman" w:eastAsia="Times New Roman" w:hAnsi="Times New Roman"/>
          <w:sz w:val="16"/>
          <w:szCs w:val="16"/>
          <w:color w:val="auto"/>
        </w:rPr>
        <w:t>On August 20, 2008, the Registrant announced its financial results for the six and three months ended June 30, 2008 and on August 21, 2008 issued unaudited condensed interim consolidated financial statements as of June 30, 2008and for the six months then ended. Attached hereto are the following exhibits:</w:t>
      </w:r>
    </w:p>
    <w:p>
      <w:pPr>
        <w:sectPr>
          <w:pgSz w:w="11900" w:h="16838" w:orient="portrait"/>
          <w:cols w:equalWidth="0" w:num="1">
            <w:col w:w="11420"/>
          </w:cols>
          <w:pgMar w:left="240" w:top="472" w:right="239" w:bottom="1440" w:gutter="0" w:footer="0" w:header="0"/>
        </w:sectPr>
      </w:pPr>
    </w:p>
    <w:p>
      <w:pPr>
        <w:spacing w:after="0" w:line="12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Exhibit 99.1</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Registrant's unaudited condensed interim consolidated financial statements as of June 30, 2008 and for the six months then ended.</w:t>
      </w:r>
    </w:p>
    <w:p>
      <w:pPr>
        <w:spacing w:after="0" w:line="174" w:lineRule="exact"/>
        <w:rPr>
          <w:sz w:val="24"/>
          <w:szCs w:val="24"/>
          <w:color w:val="auto"/>
        </w:rPr>
      </w:pPr>
    </w:p>
    <w:p>
      <w:pPr>
        <w:sectPr>
          <w:pgSz w:w="11900" w:h="16838" w:orient="portrait"/>
          <w:cols w:equalWidth="0" w:num="2">
            <w:col w:w="1580" w:space="720"/>
            <w:col w:w="9120"/>
          </w:cols>
          <w:pgMar w:left="240" w:top="472"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6"/>
          <w:szCs w:val="16"/>
          <w:color w:val="auto"/>
        </w:rPr>
        <w:t>Exhibit 99.2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p>
      <w:pPr>
        <w:spacing w:after="0" w:line="200" w:lineRule="exact"/>
        <w:rPr>
          <w:sz w:val="24"/>
          <w:szCs w:val="24"/>
          <w:color w:val="auto"/>
        </w:rPr>
      </w:pPr>
    </w:p>
    <w:p>
      <w:pPr>
        <w:sectPr>
          <w:pgSz w:w="11900" w:h="16838" w:orient="portrait"/>
          <w:cols w:equalWidth="0" w:num="2">
            <w:col w:w="1580" w:space="720"/>
            <w:col w:w="9120"/>
          </w:cols>
          <w:pgMar w:left="240" w:top="472" w:right="239" w:bottom="1440" w:gutter="0" w:footer="0" w:header="0"/>
          <w:type w:val="continuous"/>
        </w:sectPr>
      </w:pPr>
    </w:p>
    <w:p>
      <w:pPr>
        <w:spacing w:after="0" w:line="291" w:lineRule="exact"/>
        <w:rPr>
          <w:sz w:val="24"/>
          <w:szCs w:val="24"/>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This Form 6-K, including all exhibits hereto, is hereby incorporated by reference into all effective registration statements filed by us under the Securities Act of 1933, including the Registration Statement on Form F-4 (File No. 333-151919).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63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21, 2008</w:t>
            </w:r>
          </w:p>
        </w:tc>
        <w:tc>
          <w:tcPr>
            <w:tcW w:w="7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 /s/ Nati Somekh Gilboa</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Nati Somekh Gilboa</w:t>
            </w:r>
          </w:p>
        </w:tc>
      </w:tr>
      <w:tr>
        <w:trPr>
          <w:trHeight w:val="228"/>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417"/>
        </w:trPr>
        <w:tc>
          <w:tcPr>
            <w:tcW w:w="36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61"/>
        </w:trPr>
        <w:tc>
          <w:tcPr>
            <w:tcW w:w="3660" w:type="dxa"/>
            <w:vAlign w:val="bottom"/>
            <w:shd w:val="clear" w:color="auto" w:fill="808080"/>
          </w:tcPr>
          <w:p>
            <w:pPr>
              <w:spacing w:after="0"/>
              <w:rPr>
                <w:sz w:val="5"/>
                <w:szCs w:val="5"/>
                <w:color w:val="auto"/>
              </w:rPr>
            </w:pPr>
          </w:p>
        </w:tc>
        <w:tc>
          <w:tcPr>
            <w:tcW w:w="77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2688590</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ind w:left="10520"/>
        <w:spacing w:after="0"/>
        <w:rPr>
          <w:sz w:val="20"/>
          <w:szCs w:val="20"/>
          <w:color w:val="auto"/>
        </w:rPr>
      </w:pPr>
      <w:r>
        <w:rPr>
          <w:rFonts w:ascii="Times New Roman" w:cs="Times New Roman" w:eastAsia="Times New Roman" w:hAnsi="Times New Roman"/>
          <w:sz w:val="16"/>
          <w:szCs w:val="16"/>
          <w:b w:val="1"/>
          <w:bCs w:val="1"/>
          <w:u w:val="single" w:color="auto"/>
          <w:color w:val="auto"/>
        </w:rPr>
        <w:t>Exhibit 99.1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TOWER SEMICONDUCTOR LTD. AND SUBSIDIARY</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UNAUDITED CONDENSED INTERIM</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CONSOLIDATED FINANCIAL STATEMENTS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AS OF JUNE 30, 2008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TOWER SEMICONDUCTOR LTD. AND SUBSIDIARY</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INDEX TO UNAUDITED CONDENSED INTERIM</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CONSOLIDATED FINANCIAL STATEMENTS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AS OF JUNE 30, 2008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8480" w:type="dxa"/>
            <w:vAlign w:val="bottom"/>
            <w:gridSpan w:val="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BALANCE SHEETS</w:t>
              </w:r>
            </w:hyperlink>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left="23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STATEMENTS OF OPERATIONS</w:t>
              </w:r>
            </w:hyperlink>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left="234"/>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STATEMENTS OF CASH FLOWS</w:t>
              </w:r>
            </w:hyperlink>
          </w:p>
        </w:tc>
        <w:tc>
          <w:tcPr>
            <w:tcW w:w="59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left="234"/>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80" w:type="dxa"/>
            <w:vAlign w:val="bottom"/>
            <w:gridSpan w:val="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FINANCIAL STATEMENTS</w:t>
              </w:r>
            </w:hyperlink>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left="234"/>
              <w:spacing w:after="0"/>
              <w:rPr>
                <w:sz w:val="20"/>
                <w:szCs w:val="20"/>
                <w:color w:val="auto"/>
              </w:rPr>
            </w:pPr>
            <w:r>
              <w:rPr>
                <w:rFonts w:ascii="Times New Roman" w:cs="Times New Roman" w:eastAsia="Times New Roman" w:hAnsi="Times New Roman"/>
                <w:sz w:val="18"/>
                <w:szCs w:val="18"/>
                <w:color w:val="auto"/>
                <w:w w:val="99"/>
              </w:rPr>
              <w:t>4 - 10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TOWER SEMICONDUCTOR LTD. AND SUBSIDIARY</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S S E T 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19,833</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32,154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27,806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6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96,996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123,647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510,640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502,287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OTHER ASSETS , NET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665,005</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52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Current maturities of convertible debentures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9,237</w:t>
            </w:r>
          </w:p>
        </w:tc>
        <w:tc>
          <w:tcPr>
            <w:tcW w:w="200" w:type="dxa"/>
            <w:vAlign w:val="bottom"/>
          </w:tcPr>
          <w:p>
            <w:pPr>
              <w:spacing w:after="0"/>
              <w:rPr>
                <w:sz w:val="18"/>
                <w:szCs w:val="18"/>
                <w:color w:val="auto"/>
              </w:rPr>
            </w:pP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-1708150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-1708150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-1708150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-1270635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-1270635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-1270635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-1270635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4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90,453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76,936</w:t>
            </w:r>
          </w:p>
        </w:tc>
        <w:tc>
          <w:tcPr>
            <w:tcW w:w="220" w:type="dxa"/>
            <w:vAlign w:val="bottom"/>
          </w:tcPr>
          <w:p>
            <w:pPr>
              <w:spacing w:after="0"/>
              <w:rPr>
                <w:sz w:val="20"/>
                <w:szCs w:val="20"/>
                <w:color w:val="auto"/>
              </w:rPr>
            </w:pPr>
          </w:p>
        </w:tc>
      </w:tr>
      <w:tr>
        <w:trPr>
          <w:trHeight w:val="218"/>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 FROM BANKS (*)</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386,336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379,314</w:t>
            </w:r>
          </w:p>
        </w:tc>
        <w:tc>
          <w:tcPr>
            <w:tcW w:w="220" w:type="dxa"/>
            <w:vAlign w:val="bottom"/>
            <w:shd w:val="clear" w:color="auto" w:fill="CCEEFF"/>
          </w:tcPr>
          <w:p>
            <w:pPr>
              <w:spacing w:after="0"/>
              <w:rPr>
                <w:sz w:val="18"/>
                <w:szCs w:val="18"/>
                <w:color w:val="auto"/>
              </w:rPr>
            </w:pPr>
          </w:p>
        </w:tc>
      </w:tr>
      <w:tr>
        <w:trPr>
          <w:trHeight w:val="430"/>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DEBENTURES (**)</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120,048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117,460</w:t>
            </w:r>
          </w:p>
        </w:tc>
        <w:tc>
          <w:tcPr>
            <w:tcW w:w="220" w:type="dxa"/>
            <w:vAlign w:val="bottom"/>
          </w:tcPr>
          <w:p>
            <w:pPr>
              <w:spacing w:after="0"/>
              <w:rPr>
                <w:sz w:val="24"/>
                <w:szCs w:val="24"/>
                <w:color w:val="auto"/>
              </w:rPr>
            </w:pPr>
          </w:p>
        </w:tc>
      </w:tr>
      <w:tr>
        <w:trPr>
          <w:trHeight w:val="218"/>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27,983</w:t>
            </w:r>
          </w:p>
        </w:tc>
        <w:tc>
          <w:tcPr>
            <w:tcW w:w="220" w:type="dxa"/>
            <w:vAlign w:val="bottom"/>
            <w:shd w:val="clear" w:color="auto" w:fill="CCEEFF"/>
          </w:tcPr>
          <w:p>
            <w:pPr>
              <w:spacing w:after="0"/>
              <w:rPr>
                <w:sz w:val="18"/>
                <w:szCs w:val="18"/>
                <w:color w:val="auto"/>
              </w:rPr>
            </w:pPr>
          </w:p>
        </w:tc>
      </w:tr>
      <w:tr>
        <w:trPr>
          <w:trHeight w:val="430"/>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57,648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40,380</w:t>
            </w:r>
          </w:p>
        </w:tc>
        <w:tc>
          <w:tcPr>
            <w:tcW w:w="220" w:type="dxa"/>
            <w:vAlign w:val="bottom"/>
          </w:tcPr>
          <w:p>
            <w:pPr>
              <w:spacing w:after="0"/>
              <w:rPr>
                <w:sz w:val="24"/>
                <w:szCs w:val="24"/>
                <w:color w:val="auto"/>
              </w:rPr>
            </w:pPr>
          </w:p>
        </w:tc>
      </w:tr>
      <w:tr>
        <w:trPr>
          <w:trHeight w:val="110"/>
        </w:trPr>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8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668,845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642,073</w:t>
            </w:r>
          </w:p>
        </w:tc>
        <w:tc>
          <w:tcPr>
            <w:tcW w:w="220" w:type="dxa"/>
            <w:vAlign w:val="bottom"/>
            <w:shd w:val="clear" w:color="auto" w:fill="CCEEFF"/>
          </w:tcPr>
          <w:p>
            <w:pPr>
              <w:spacing w:after="0"/>
              <w:rPr>
                <w:sz w:val="18"/>
                <w:szCs w:val="18"/>
                <w:color w:val="auto"/>
              </w:rPr>
            </w:pPr>
          </w:p>
        </w:tc>
      </w:tr>
      <w:tr>
        <w:trPr>
          <w:trHeight w:val="108"/>
        </w:trPr>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4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(3,840)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44,709</w:t>
            </w:r>
          </w:p>
        </w:tc>
        <w:tc>
          <w:tcPr>
            <w:tcW w:w="220" w:type="dxa"/>
            <w:vAlign w:val="bottom"/>
          </w:tcPr>
          <w:p>
            <w:pPr>
              <w:spacing w:after="0"/>
              <w:rPr>
                <w:sz w:val="24"/>
                <w:szCs w:val="24"/>
                <w:color w:val="auto"/>
              </w:rPr>
            </w:pPr>
          </w:p>
        </w:tc>
      </w:tr>
      <w:tr>
        <w:trPr>
          <w:trHeight w:val="134"/>
        </w:trPr>
        <w:tc>
          <w:tcPr>
            <w:tcW w:w="846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8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8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665,005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686,782</w:t>
            </w:r>
          </w:p>
        </w:tc>
        <w:tc>
          <w:tcPr>
            <w:tcW w:w="220" w:type="dxa"/>
            <w:vAlign w:val="bottom"/>
            <w:shd w:val="clear" w:color="auto" w:fill="CCEEFF"/>
          </w:tcPr>
          <w:p>
            <w:pPr>
              <w:spacing w:after="0"/>
              <w:rPr>
                <w:sz w:val="18"/>
                <w:szCs w:val="18"/>
                <w:color w:val="auto"/>
              </w:rPr>
            </w:pPr>
          </w:p>
        </w:tc>
      </w:tr>
      <w:tr>
        <w:trPr>
          <w:trHeight w:val="132"/>
        </w:trPr>
        <w:tc>
          <w:tcPr>
            <w:tcW w:w="846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-466725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-466725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40" w:hanging="432"/>
        <w:spacing w:after="0"/>
        <w:tabs>
          <w:tab w:leader="none" w:pos="4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which $356,336 and $365,563 at fair value as of June 30, 2008 and December 31, 2007, respectively</w:t>
      </w:r>
    </w:p>
    <w:p>
      <w:pPr>
        <w:spacing w:after="0" w:line="225" w:lineRule="exact"/>
        <w:rPr>
          <w:sz w:val="20"/>
          <w:szCs w:val="20"/>
          <w:color w:val="auto"/>
        </w:rPr>
      </w:pPr>
    </w:p>
    <w:p>
      <w:pPr>
        <w:ind w:right="3540" w:firstLine="8"/>
        <w:spacing w:after="0" w:line="588" w:lineRule="auto"/>
        <w:tabs>
          <w:tab w:leader="none" w:pos="51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which $27,398 and $28,484 at fair value as of June 30, 2008 and December 31, 2007, respectively See notes to consolidated financial statements.</w:t>
      </w:r>
    </w:p>
    <w:p>
      <w:pPr>
        <w:ind w:left="5680" w:hanging="112"/>
        <w:spacing w:after="0"/>
        <w:tabs>
          <w:tab w:leader="none" w:pos="5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Six months ended</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4"/>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4"/>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139,307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71,052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(23,628)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(14,350)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(44,775)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(52,957)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(23,383)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(25,356)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EXPENSE, NET</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(15,611)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(21,414)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(8,704)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8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(60,915)</w:t>
            </w: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(74,298)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(31,295)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(34,056)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BASIC LOSS PER ORDINARY SHARE</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(0.49)</w:t>
            </w:r>
          </w:p>
        </w:tc>
        <w:tc>
          <w:tcPr>
            <w:tcW w:w="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(0.65)</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(0.25)</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 outstanding - in thousands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124,777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113,584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-2722245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-2722245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-2722245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-2722245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-2722245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-2722245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-2722245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-2722245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-1315720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-1315720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-1315720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-1315720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-1315720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-1315720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-1315720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-603885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-603885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-603885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-603885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-603885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-603885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-603885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0"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60325</wp:posOffset>
            </wp:positionV>
            <wp:extent cx="15608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(60,915)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(74,298)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Adjustments to reconcile loss for the period</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Effect of indexation, translation and fair value measurement on debt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Decrease (increase) in trade accounts receivable</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(13,978)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Decrease in other receivables and other current assets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(12,482)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Increase (decrease) in trade accounts payable</w:t>
            </w: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Decrease in other current liabilities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(5,143)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Increase in other long-term liabilities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Decrease in customers' advances, net</w:t>
            </w: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8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w:t>
            </w:r>
          </w:p>
        </w:tc>
        <w:tc>
          <w:tcPr>
            <w:tcW w:w="3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(56,704)</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(49,788)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grants received</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Proceeds related to sale and disposal of property and equipment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other assets and intangible assets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Decrease in short-term interest-bearing deposits</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(57,250)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(47,943)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Proceeds from issuance of debentures and warrants, net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Proceeds from long-term loans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Proceeds from issuance of ordinary shares and warrants, net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Repayment of debenture</w:t>
            </w: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(8,179)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Proceeds from exercise of share options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25,261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(24,703)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(18,987)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19,833</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940" w:type="dxa"/>
            <w:vAlign w:val="bottom"/>
            <w:gridSpan w:val="2"/>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22,339</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Conversion of long-term customers' advances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-1938020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-1938020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-1938020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-1938020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-943610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-943610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-943610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-943610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-231775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-231775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-231775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-231775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2" w:right="239" w:bottom="0" w:gutter="0" w:footer="0" w:header="0"/>
        </w:sectPr>
      </w:pPr>
    </w:p>
    <w:bookmarkStart w:id="4" w:name="page5"/>
    <w:bookmarkEnd w:id="4"/>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 share capital</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8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Conversion of Convertible debentures to share capital</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Cumulative effect of the Facility Agreement to retained earnings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894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8"/>
                <w:szCs w:val="18"/>
                <w:b w:val="1"/>
                <w:bCs w:val="1"/>
                <w:color w:val="auto"/>
              </w:rPr>
              <w:t>Reclassification of previously bifurcated conversion option</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 shareholders' equity</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28,377</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8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during the period for interest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12,416</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during the period for income taxes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9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-2078990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-2078990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-2078990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-2078990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-1778635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-1778635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-1778635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-1778635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-1478280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-1478280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-1478280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-1478280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-1041400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-1041400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-1041400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-329565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FINANCIAL STATEMENTS AS OF JUNE 30, 2008</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p>
      <w:pPr>
        <w:spacing w:after="0" w:line="211"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52" w:lineRule="exact"/>
        <w:rPr>
          <w:sz w:val="20"/>
          <w:szCs w:val="20"/>
          <w:color w:val="auto"/>
        </w:rPr>
      </w:pPr>
    </w:p>
    <w:p>
      <w:pPr>
        <w:ind w:left="1160" w:hanging="571"/>
        <w:spacing w:after="0"/>
        <w:tabs>
          <w:tab w:leader="none" w:pos="11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Presentation</w:t>
      </w:r>
    </w:p>
    <w:p>
      <w:pPr>
        <w:spacing w:after="0" w:line="254" w:lineRule="exact"/>
        <w:rPr>
          <w:rFonts w:ascii="Times New Roman" w:cs="Times New Roman" w:eastAsia="Times New Roman" w:hAnsi="Times New Roman"/>
          <w:sz w:val="18"/>
          <w:szCs w:val="18"/>
          <w:b w:val="1"/>
          <w:bCs w:val="1"/>
          <w:color w:val="auto"/>
        </w:rPr>
      </w:pPr>
    </w:p>
    <w:p>
      <w:pPr>
        <w:ind w:left="1720" w:right="60" w:hanging="564"/>
        <w:spacing w:after="0" w:line="255" w:lineRule="auto"/>
        <w:tabs>
          <w:tab w:leader="none" w:pos="172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interim consolidated financial statements as of June 30, 2008 and for the six months then ended (“interim financial statements”) of Tower Semiconductor Ltd. and subsidiary (“the Company”) should be read in conjunction with the audited consolidated financial statements of the Company as of December 31, 2007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220" w:lineRule="exact"/>
        <w:rPr>
          <w:rFonts w:ascii="Times New Roman" w:cs="Times New Roman" w:eastAsia="Times New Roman" w:hAnsi="Times New Roman"/>
          <w:sz w:val="18"/>
          <w:szCs w:val="18"/>
          <w:b w:val="1"/>
          <w:bCs w:val="1"/>
          <w:color w:val="auto"/>
        </w:rPr>
      </w:pPr>
    </w:p>
    <w:p>
      <w:pPr>
        <w:jc w:val="both"/>
        <w:ind w:left="1720" w:right="80" w:hanging="564"/>
        <w:spacing w:after="0" w:line="262" w:lineRule="auto"/>
        <w:tabs>
          <w:tab w:leader="none" w:pos="172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interim financial statements are presented in accordance with U.S. generally accepted accounting principles (“US GAAP”). Prior to the fourth quarter of 2007, the Company prepared its financial statements in accordance with generally accepted accounting principles in Israel (“IL GAAP”) and provided reconciliation to US GAAP in the notes to the financial statements.</w:t>
      </w:r>
    </w:p>
    <w:p>
      <w:pPr>
        <w:spacing w:after="0" w:line="211" w:lineRule="exact"/>
        <w:rPr>
          <w:rFonts w:ascii="Times New Roman" w:cs="Times New Roman" w:eastAsia="Times New Roman" w:hAnsi="Times New Roman"/>
          <w:sz w:val="18"/>
          <w:szCs w:val="18"/>
          <w:b w:val="1"/>
          <w:bCs w:val="1"/>
          <w:color w:val="auto"/>
        </w:rPr>
      </w:pPr>
    </w:p>
    <w:p>
      <w:pPr>
        <w:ind w:left="1720" w:hanging="564"/>
        <w:spacing w:after="0"/>
        <w:tabs>
          <w:tab w:leader="none" w:pos="172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254" w:lineRule="exact"/>
        <w:rPr>
          <w:rFonts w:ascii="Times New Roman" w:cs="Times New Roman" w:eastAsia="Times New Roman" w:hAnsi="Times New Roman"/>
          <w:sz w:val="18"/>
          <w:szCs w:val="18"/>
          <w:b w:val="1"/>
          <w:bCs w:val="1"/>
          <w:color w:val="auto"/>
        </w:rPr>
      </w:pPr>
    </w:p>
    <w:p>
      <w:pPr>
        <w:ind w:left="1720" w:right="120"/>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In March 2008, the Financial Accounting Standards Board (the “FASB”) issued Statement of Financial Accounting Standards No. 161, Disclosures about Derivative Instruments and Hedging Activities (“SFAS 161”). SFAS 161 changes the disclosure requirements for derivative instruments and hedging activities. The Company will be required to provide enhanced disclosures about (a) how and why derivative instruments are used; (b) how derivative instruments and related hedged items are accounted for under Statement of Financial Accounting Standards No. 133, Accounting for Derivative Instruments and Certain Hedging Activities (“SFAS 133”), and its related interpretations; and (c) how derivative instruments and related hedged items affect the Company’s financial position, financial performance, and cash flows. This statement is effective for financial statements issued for fiscal years and interim periods beginning after November 15, 2008. The Company is currently evaluating the additional disclosure requirements of SFAS 161.</w:t>
      </w:r>
    </w:p>
    <w:p>
      <w:pPr>
        <w:spacing w:after="0" w:line="193" w:lineRule="exact"/>
        <w:rPr>
          <w:rFonts w:ascii="Times New Roman" w:cs="Times New Roman" w:eastAsia="Times New Roman" w:hAnsi="Times New Roman"/>
          <w:sz w:val="18"/>
          <w:szCs w:val="18"/>
          <w:b w:val="1"/>
          <w:bCs w:val="1"/>
          <w:color w:val="auto"/>
        </w:rPr>
      </w:pPr>
    </w:p>
    <w:p>
      <w:pPr>
        <w:ind w:left="1720" w:hanging="564"/>
        <w:spacing w:after="0"/>
        <w:tabs>
          <w:tab w:leader="none" w:pos="172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amounts in prior years’ financial statements have been reclassified in order to conform to 2008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FINANCIAL STATEMENTS AS OF JUNE 30, 2008</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p>
      <w:pPr>
        <w:spacing w:after="0" w:line="211"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and Operations of New Fabrication Facility (“Fab 2”)</w:t>
      </w:r>
    </w:p>
    <w:p>
      <w:pPr>
        <w:spacing w:after="0" w:line="254" w:lineRule="exact"/>
        <w:rPr>
          <w:rFonts w:ascii="Times New Roman" w:cs="Times New Roman" w:eastAsia="Times New Roman" w:hAnsi="Times New Roman"/>
          <w:sz w:val="18"/>
          <w:szCs w:val="18"/>
          <w:b w:val="1"/>
          <w:bCs w:val="1"/>
          <w:color w:val="auto"/>
        </w:rPr>
      </w:pPr>
    </w:p>
    <w:p>
      <w:pPr>
        <w:ind w:left="11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 200-millimeter wafers. In connection with the establishment, equipping and financing of Fab 2, the Company has entered into several related agreements and other arrangements and has completed several public and private financing transactions. For additional information, see Notes 9B, 13A, 14C and 14F-M to the 2007 audited consolidated financial statements.</w:t>
      </w:r>
    </w:p>
    <w:p>
      <w:pPr>
        <w:sectPr>
          <w:pgSz w:w="11900" w:h="16880" w:orient="portrait"/>
          <w:cols w:equalWidth="0" w:num="1">
            <w:col w:w="11420"/>
          </w:cols>
          <w:pgMar w:left="240" w:top="123" w:right="239" w:bottom="0" w:gutter="0" w:footer="0" w:header="0"/>
        </w:sectPr>
      </w:pPr>
    </w:p>
    <w:bookmarkStart w:id="5" w:name="page6"/>
    <w:bookmarkEnd w:id="5"/>
    <w:p>
      <w:pPr>
        <w:jc w:val="both"/>
        <w:ind w:left="1160" w:right="60"/>
        <w:spacing w:after="0" w:line="262" w:lineRule="auto"/>
        <w:rPr>
          <w:sz w:val="20"/>
          <w:szCs w:val="20"/>
          <w:color w:val="auto"/>
        </w:rPr>
      </w:pPr>
      <w:r>
        <w:rPr>
          <w:rFonts w:ascii="Times New Roman" w:cs="Times New Roman" w:eastAsia="Times New Roman" w:hAnsi="Times New Roman"/>
          <w:sz w:val="18"/>
          <w:szCs w:val="18"/>
          <w:color w:val="auto"/>
        </w:rPr>
        <w:t>The Fab 2 project is a complex undertaking, which entails substantial risks and uncertainties. For further details concerning the Fab 2 project and related agreements, some of which were amended several times, see Notes 9B and 13A to the 2007 audited consolidated financial statements and Note 4E below.</w:t>
      </w:r>
    </w:p>
    <w:p>
      <w:pPr>
        <w:spacing w:after="0" w:line="211" w:lineRule="exact"/>
        <w:rPr>
          <w:sz w:val="20"/>
          <w:szCs w:val="20"/>
          <w:color w:val="auto"/>
        </w:rPr>
      </w:pPr>
    </w:p>
    <w:p>
      <w:pPr>
        <w:ind w:left="1160" w:hanging="571"/>
        <w:spacing w:after="0"/>
        <w:tabs>
          <w:tab w:leader="none" w:pos="11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of the Company’s Ongoing Operations</w:t>
      </w:r>
    </w:p>
    <w:p>
      <w:pPr>
        <w:spacing w:after="0" w:line="254" w:lineRule="exact"/>
        <w:rPr>
          <w:rFonts w:ascii="Times New Roman" w:cs="Times New Roman" w:eastAsia="Times New Roman" w:hAnsi="Times New Roman"/>
          <w:sz w:val="18"/>
          <w:szCs w:val="18"/>
          <w:b w:val="1"/>
          <w:bCs w:val="1"/>
          <w:color w:val="auto"/>
        </w:rPr>
      </w:pPr>
    </w:p>
    <w:p>
      <w:pPr>
        <w:ind w:left="11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recent years, the Company has experienced significant recurring losses, recurring negative cash flows from operating activities and an increasing accumulated deficit. The Company is working in various ways to mitigate its financial difficulties. Since the second half of 2005, the Company has increased its customer base, mainly in Fab 2, modified its organizational structure to better address its customers and its market positioning, increased its sales, recorded eleven consecutive quarters of positive EBITDA commencing the fourth quarter of 2005 and seven consecutive quarters of positive cash flow from operations commencing the fourth quarter of 2006, reduced its losses, increased its capacity level and utilization rates, raised funds and restructured its bank debt. See also Notes 9B, 13A(4), 14C and 14 I-M to the 2007 audited consolidated financial statements.</w:t>
      </w:r>
    </w:p>
    <w:p>
      <w:pPr>
        <w:spacing w:after="0" w:line="222" w:lineRule="exact"/>
        <w:rPr>
          <w:rFonts w:ascii="Times New Roman" w:cs="Times New Roman" w:eastAsia="Times New Roman" w:hAnsi="Times New Roman"/>
          <w:sz w:val="18"/>
          <w:szCs w:val="18"/>
          <w:b w:val="1"/>
          <w:bCs w:val="1"/>
          <w:color w:val="auto"/>
        </w:rPr>
      </w:pPr>
    </w:p>
    <w:p>
      <w:pPr>
        <w:ind w:left="1160" w:right="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2008, the Company entered into a definitive agreement with Jazz Technologies™, Inc, pursuant to which the Company is to acquire Jazz Technologies™, Inc, in a stock-for-stock transaction. See also Note 4C below.</w:t>
      </w:r>
    </w:p>
    <w:p>
      <w:pPr>
        <w:spacing w:after="0" w:line="200" w:lineRule="exact"/>
        <w:rPr>
          <w:rFonts w:ascii="Times New Roman" w:cs="Times New Roman" w:eastAsia="Times New Roman" w:hAnsi="Times New Roman"/>
          <w:sz w:val="18"/>
          <w:szCs w:val="18"/>
          <w:b w:val="1"/>
          <w:bCs w:val="1"/>
          <w:color w:val="auto"/>
        </w:rPr>
      </w:pPr>
    </w:p>
    <w:p>
      <w:pPr>
        <w:ind w:left="1160" w:right="580"/>
        <w:spacing w:after="0" w:line="33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On August 2008, the Company entered into a Memorandum of Understanding (“MOU”) with its lender Banks and The Israel Corporation (“TIC”) for the restructuring of the Company’s debt and TIC’s planned investments in the Company. See also Note 4E below.</w:t>
      </w:r>
    </w:p>
    <w:p>
      <w:pPr>
        <w:spacing w:after="0" w:line="155" w:lineRule="exact"/>
        <w:rPr>
          <w:rFonts w:ascii="Times New Roman" w:cs="Times New Roman" w:eastAsia="Times New Roman" w:hAnsi="Times New Roman"/>
          <w:sz w:val="18"/>
          <w:szCs w:val="18"/>
          <w:b w:val="1"/>
          <w:bCs w:val="1"/>
          <w:color w:val="auto"/>
        </w:rPr>
      </w:pPr>
    </w:p>
    <w:p>
      <w:pPr>
        <w:ind w:left="1160" w:right="3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continues to examine alternatives for funding sources in order to fund its Fab 2 ramp-up plan and the costs associated with the acquisition and integration of Jazz Technologies™, Inc.</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INTERIM CONSOLIDATED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STATEMENTS AS OF JUNE 30, 2008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3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INVENTORIES</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4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8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95"/>
        </w:trPr>
        <w:tc>
          <w:tcPr>
            <w:tcW w:w="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40" w:type="dxa"/>
            <w:vAlign w:val="bottom"/>
            <w:shd w:val="clear" w:color="auto" w:fill="CCEEFF"/>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Raw materials</w:t>
            </w:r>
          </w:p>
        </w:tc>
        <w:tc>
          <w:tcPr>
            <w:tcW w:w="5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Work in process</w:t>
            </w:r>
          </w:p>
        </w:tc>
        <w:tc>
          <w:tcPr>
            <w:tcW w:w="5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Finished goods</w:t>
            </w:r>
          </w:p>
        </w:tc>
        <w:tc>
          <w:tcPr>
            <w:tcW w:w="5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37,432</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1160"/>
        <w:spacing w:after="0" w:line="275" w:lineRule="auto"/>
        <w:rPr>
          <w:sz w:val="20"/>
          <w:szCs w:val="20"/>
          <w:color w:val="auto"/>
        </w:rPr>
      </w:pPr>
      <w:r>
        <w:rPr>
          <w:rFonts w:ascii="Times New Roman" w:cs="Times New Roman" w:eastAsia="Times New Roman" w:hAnsi="Times New Roman"/>
          <w:sz w:val="18"/>
          <w:szCs w:val="18"/>
          <w:color w:val="auto"/>
        </w:rPr>
        <w:t>Work in process and finished goods inventories are presented net of aggregate write downs to net realizable value of $9,353 and $6,497 as of June 30, 2008 and December 31, 2007, respectively.</w:t>
      </w:r>
    </w:p>
    <w:p>
      <w:pPr>
        <w:spacing w:after="0" w:line="199"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54" w:lineRule="exact"/>
        <w:rPr>
          <w:sz w:val="20"/>
          <w:szCs w:val="20"/>
          <w:color w:val="auto"/>
        </w:rPr>
      </w:pPr>
    </w:p>
    <w:p>
      <w:pPr>
        <w:ind w:left="580" w:right="140"/>
        <w:spacing w:after="0" w:line="301" w:lineRule="auto"/>
        <w:rPr>
          <w:sz w:val="20"/>
          <w:szCs w:val="20"/>
          <w:color w:val="auto"/>
        </w:rPr>
      </w:pPr>
      <w:r>
        <w:rPr>
          <w:rFonts w:ascii="Times New Roman" w:cs="Times New Roman" w:eastAsia="Times New Roman" w:hAnsi="Times New Roman"/>
          <w:sz w:val="16"/>
          <w:szCs w:val="16"/>
          <w:color w:val="auto"/>
        </w:rPr>
        <w:t>The Company decided to early adopt the provisions of SFAS No. 157 effective January 1, 2007, concurrent with the adoption of FASB 159 “The Fair Value Option for Financial Assets and Financial Liabilities” (SFAS No. 159). In February 2008, the FASB issued FASB Staff Position 157-2 (“FSP 157-2”), which delayed the implementation of SFAS 157 until January 1, 2009 for nonfinancial assets and liabilities that are not required to be measured at fair value on a recurring basis. We early adopted FASB No. 157 as of January 1, 2007 and as such would not be affected by the issuance of this FSP.</w:t>
      </w:r>
    </w:p>
    <w:p>
      <w:pPr>
        <w:spacing w:after="0" w:line="184" w:lineRule="exact"/>
        <w:rPr>
          <w:sz w:val="20"/>
          <w:szCs w:val="20"/>
          <w:color w:val="auto"/>
        </w:rPr>
      </w:pPr>
    </w:p>
    <w:p>
      <w:pPr>
        <w:ind w:left="580" w:right="80"/>
        <w:spacing w:after="0" w:line="258" w:lineRule="auto"/>
        <w:rPr>
          <w:sz w:val="20"/>
          <w:szCs w:val="20"/>
          <w:color w:val="auto"/>
        </w:rPr>
      </w:pPr>
      <w:r>
        <w:rPr>
          <w:rFonts w:ascii="Times New Roman" w:cs="Times New Roman" w:eastAsia="Times New Roman" w:hAnsi="Times New Roman"/>
          <w:sz w:val="18"/>
          <w:szCs w:val="18"/>
          <w:color w:val="auto"/>
        </w:rPr>
        <w:t>The income approach was applied using a present value technique. For Loans – the cash flows used in that technique reflect the income stream expected to be used to satisfy the obligation over its economic life. For Embedded Derivatives – the Company utilized the Black Scholes Merton formula. For Over the Counter derivatives – the Company used the market approach using quotation from dealer markets. For convertible debentures series E – the market approach was applied using quoted prices for the same debentures.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FINANCIAL STATEMENTS AS OF JUNE 30, 2008</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p>
      <w:pPr>
        <w:spacing w:after="0" w:line="211"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FAIR VALUE MEASUREMENTS (cont.)</w:t>
      </w:r>
    </w:p>
    <w:p>
      <w:pPr>
        <w:sectPr>
          <w:pgSz w:w="11900" w:h="16838" w:orient="portrait"/>
          <w:cols w:equalWidth="0" w:num="1">
            <w:col w:w="11420"/>
          </w:cols>
          <w:pgMar w:left="240" w:top="368" w:right="239" w:bottom="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8"/>
          <w:szCs w:val="18"/>
          <w:color w:val="auto"/>
        </w:rPr>
        <w:t>Recurring Fair Value Measurements Using: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Quoted prices in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active market for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identical liability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Unobservable</w:t>
            </w:r>
          </w:p>
        </w:tc>
      </w:tr>
      <w:tr>
        <w:trPr>
          <w:trHeight w:val="178"/>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2008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Inputs (Level 3)</w:t>
            </w:r>
          </w:p>
        </w:tc>
      </w:tr>
      <w:tr>
        <w:trPr>
          <w:trHeight w:val="95"/>
        </w:trPr>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4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Quoted securities - convertible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debentures series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6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380,816</w:t>
            </w:r>
          </w:p>
        </w:tc>
        <w:tc>
          <w:tcPr>
            <w:tcW w:w="22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20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6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Liabilities measured on a Recurring Basis Using Significant Unobservable Inputs (Level 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Long-term debt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Derivatives</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of January 1, 2008- at fair value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unrealized gains recognized in earnings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of previously bifurcated conversion option to</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 of June 30, 2008 - at fair value</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356,336</w:t>
            </w:r>
          </w:p>
        </w:tc>
        <w:tc>
          <w:tcPr>
            <w:tcW w:w="2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gains recognized in earnings from liabilities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held at period end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6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Recurring Fair Value Measurements Using:</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360" w:type="dxa"/>
            <w:vAlign w:val="bottom"/>
          </w:tcPr>
          <w:p>
            <w:pPr>
              <w:spacing w:after="0"/>
              <w:rPr>
                <w:sz w:val="24"/>
                <w:szCs w:val="24"/>
                <w:color w:val="auto"/>
              </w:rPr>
            </w:pPr>
          </w:p>
        </w:tc>
        <w:tc>
          <w:tcPr>
            <w:tcW w:w="6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Quoted prices in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active market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identical liability</w:t>
            </w:r>
          </w:p>
        </w:tc>
        <w:tc>
          <w:tcPr>
            <w:tcW w:w="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Inputs (Level 3)</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Trading securities - convertible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debentures series 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28,484</w:t>
            </w:r>
          </w:p>
        </w:tc>
        <w:tc>
          <w:tcPr>
            <w:tcW w:w="2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401,065</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-2679065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-2679065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-2679065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-2679065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-2104390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-2104390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-2104390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-2104390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FINANCIAL STATEMENTS AS OF JUNE 30, 2008</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p>
      <w:pPr>
        <w:spacing w:after="0" w:line="211"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FAIR VALUE MEASUREMENTS (cont.)</w:t>
      </w: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Liabilities measured on a Recurring Basis Using Significant Unobservable Inputs (Level 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Long-term debt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Derivatives</w:t>
            </w:r>
          </w:p>
        </w:tc>
      </w:tr>
      <w:tr>
        <w:trPr>
          <w:trHeight w:val="95"/>
        </w:trPr>
        <w:tc>
          <w:tcPr>
            <w:tcW w:w="89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9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As of January 1, 2007-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8"/>
        </w:trPr>
        <w:tc>
          <w:tcPr>
            <w:tcW w:w="8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Total unrealized gains recognized in earnings</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(4,200)</w:t>
            </w:r>
          </w:p>
        </w:tc>
        <w:tc>
          <w:tcPr>
            <w:tcW w:w="20" w:type="dxa"/>
            <w:vAlign w:val="bottom"/>
          </w:tcPr>
          <w:p>
            <w:pPr>
              <w:spacing w:after="0"/>
              <w:rPr>
                <w:sz w:val="19"/>
                <w:szCs w:val="19"/>
                <w:color w:val="auto"/>
              </w:rPr>
            </w:pPr>
          </w:p>
        </w:tc>
      </w:tr>
      <w:tr>
        <w:trPr>
          <w:trHeight w:val="96"/>
        </w:trPr>
        <w:tc>
          <w:tcPr>
            <w:tcW w:w="89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40" w:type="dxa"/>
            <w:vAlign w:val="bottom"/>
          </w:tcPr>
          <w:p>
            <w:pPr>
              <w:spacing w:after="0"/>
              <w:rPr>
                <w:sz w:val="8"/>
                <w:szCs w:val="8"/>
                <w:color w:val="auto"/>
              </w:rPr>
            </w:pPr>
          </w:p>
        </w:tc>
        <w:tc>
          <w:tcPr>
            <w:tcW w:w="8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9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As of December 31, 2007 -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94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35"/>
        </w:trPr>
        <w:tc>
          <w:tcPr>
            <w:tcW w:w="8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Unrealized gain recognized in earnings from liabilities held at period end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(4,200)</w:t>
            </w:r>
          </w:p>
        </w:tc>
        <w:tc>
          <w:tcPr>
            <w:tcW w:w="20" w:type="dxa"/>
            <w:vAlign w:val="bottom"/>
          </w:tcPr>
          <w:p>
            <w:pPr>
              <w:spacing w:after="0"/>
              <w:rPr>
                <w:sz w:val="24"/>
                <w:szCs w:val="24"/>
                <w:color w:val="auto"/>
              </w:rPr>
            </w:pPr>
          </w:p>
        </w:tc>
      </w:tr>
      <w:tr>
        <w:trPr>
          <w:trHeight w:val="134"/>
        </w:trPr>
        <w:tc>
          <w:tcPr>
            <w:tcW w:w="84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6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RECENT DEVELOPMENTS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-823595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-823595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-823595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-823595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-386080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-386080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-386080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-386080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left="1160" w:hanging="571"/>
        <w:spacing w:after="0"/>
        <w:tabs>
          <w:tab w:leader="none" w:pos="11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w:t>
      </w:r>
    </w:p>
    <w:p>
      <w:pPr>
        <w:sectPr>
          <w:pgSz w:w="11900" w:h="16838" w:orient="portrait"/>
          <w:cols w:equalWidth="0" w:num="1">
            <w:col w:w="11420"/>
          </w:cols>
          <w:pgMar w:left="240" w:top="125" w:right="239" w:bottom="0" w:gutter="0" w:footer="0" w:header="0"/>
        </w:sectPr>
      </w:pPr>
    </w:p>
    <w:bookmarkStart w:id="7" w:name="page8"/>
    <w:bookmarkEnd w:id="7"/>
    <w:p>
      <w:pPr>
        <w:ind w:left="1160" w:right="60"/>
        <w:spacing w:after="0" w:line="258" w:lineRule="auto"/>
        <w:rPr>
          <w:sz w:val="20"/>
          <w:szCs w:val="20"/>
          <w:color w:val="auto"/>
        </w:rPr>
      </w:pPr>
      <w:r>
        <w:rPr>
          <w:rFonts w:ascii="Times New Roman" w:cs="Times New Roman" w:eastAsia="Times New Roman" w:hAnsi="Times New Roman"/>
          <w:sz w:val="18"/>
          <w:szCs w:val="18"/>
          <w:color w:val="auto"/>
        </w:rPr>
        <w:t>In January 2008, the Company filed a shelf registration statement on Form F-3 with the U.S. Securities and Exchange Commission, registering the possible offer and sale from time to time of up to $40,000 of securities which the Company may elect to so offer and sell during the three years following the effective date of the registration statement. The registration form was declared effective in February 2008. The Company has made no decisions as to when, if at all, it will actually raise funds under this registration statement.</w:t>
      </w:r>
    </w:p>
    <w:p>
      <w:pPr>
        <w:spacing w:after="0" w:line="215" w:lineRule="exact"/>
        <w:rPr>
          <w:sz w:val="20"/>
          <w:szCs w:val="20"/>
          <w:color w:val="auto"/>
        </w:rPr>
      </w:pPr>
    </w:p>
    <w:p>
      <w:pPr>
        <w:ind w:left="1160" w:hanging="571"/>
        <w:spacing w:after="0"/>
        <w:tabs>
          <w:tab w:leader="none" w:pos="11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Agreement Amendment</w:t>
      </w:r>
    </w:p>
    <w:p>
      <w:pPr>
        <w:spacing w:after="0" w:line="254" w:lineRule="exact"/>
        <w:rPr>
          <w:rFonts w:ascii="Times New Roman" w:cs="Times New Roman" w:eastAsia="Times New Roman" w:hAnsi="Times New Roman"/>
          <w:sz w:val="18"/>
          <w:szCs w:val="18"/>
          <w:b w:val="1"/>
          <w:bCs w:val="1"/>
          <w:color w:val="auto"/>
        </w:rPr>
      </w:pPr>
    </w:p>
    <w:p>
      <w:pPr>
        <w:ind w:left="116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2004, the Company and Siliconix incorporated (“Siliconix”), a subsidiary of Vishay Intertechnology Inc., entered into a definitive long-term foundry agreement for semiconductor manufacturing in the Company’s Fab 1. During the first quarter of 2008, the parties amended the agreement to revise the terms of the purchase of trench wafers products as well as transfer additional product platforms to Tower for manufacturing new products to Siliconix in Fab 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FINANCIAL STATEMENTS AS OF JUNE 30, 2008</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p>
      <w:pPr>
        <w:spacing w:after="0" w:line="211"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JAZZ Technologies</w:t>
      </w:r>
    </w:p>
    <w:p>
      <w:pPr>
        <w:spacing w:after="0" w:line="254" w:lineRule="exact"/>
        <w:rPr>
          <w:rFonts w:ascii="Times New Roman" w:cs="Times New Roman" w:eastAsia="Times New Roman" w:hAnsi="Times New Roman"/>
          <w:sz w:val="18"/>
          <w:szCs w:val="18"/>
          <w:b w:val="1"/>
          <w:bCs w:val="1"/>
          <w:color w:val="auto"/>
        </w:rPr>
      </w:pPr>
    </w:p>
    <w:p>
      <w:pPr>
        <w:ind w:left="11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2008, the Company entered into a definitive agreement (the “Agreement”) with Jazz Technologies™, Inc (AMEX: JAZ), the parent company of its wholly-owned subsidiary, Jazz Semiconductor, a leading independent wafer foundry focused on Analog-Intensive Mixed –Signal (AIMS) process technologies based in NewPort Beach, California (“Jazz”), pursuant to which the Company is to acquire Jazz in a stock-for-stock transaction.</w:t>
      </w:r>
    </w:p>
    <w:p>
      <w:pPr>
        <w:spacing w:after="0" w:line="217" w:lineRule="exact"/>
        <w:rPr>
          <w:rFonts w:ascii="Times New Roman" w:cs="Times New Roman" w:eastAsia="Times New Roman" w:hAnsi="Times New Roman"/>
          <w:sz w:val="18"/>
          <w:szCs w:val="18"/>
          <w:b w:val="1"/>
          <w:bCs w:val="1"/>
          <w:color w:val="auto"/>
        </w:rPr>
      </w:pPr>
    </w:p>
    <w:p>
      <w:pPr>
        <w:ind w:left="11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provides that, upon the terms and subject to the conditions set in the Agreement, Jazz will merge with a wholly-owned subsidiary of the Company (formed for that purpose), with Jazz as the surviving corporation (the “Acquisition”). The Agreement has been approved by the boards of directors of both the Company and Jazz and is subject to the approval of Jazz’s stockholders and other customary closing conditions and other regulatory approvals. In June 2008, the Company filed a registration statement on Form F-4 with the U.S. Securities and Exchange Commission (“SEC”), which has been declared effective by the SEC in August 2008. Jazz has set September 17, 2008 as the date for the special meeting of its stockholders to vote on, approve and adopt the acquisition.</w:t>
      </w:r>
    </w:p>
    <w:p>
      <w:pPr>
        <w:spacing w:after="0" w:line="218" w:lineRule="exact"/>
        <w:rPr>
          <w:rFonts w:ascii="Times New Roman" w:cs="Times New Roman" w:eastAsia="Times New Roman" w:hAnsi="Times New Roman"/>
          <w:sz w:val="18"/>
          <w:szCs w:val="18"/>
          <w:b w:val="1"/>
          <w:bCs w:val="1"/>
          <w:color w:val="auto"/>
        </w:rPr>
      </w:pPr>
    </w:p>
    <w:p>
      <w:pPr>
        <w:ind w:left="1160" w:hanging="571"/>
        <w:spacing w:after="0"/>
        <w:tabs>
          <w:tab w:leader="none" w:pos="11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Price Reduction – Convertible Debenture Series C</w:t>
      </w:r>
    </w:p>
    <w:p>
      <w:pPr>
        <w:spacing w:after="0" w:line="254" w:lineRule="exact"/>
        <w:rPr>
          <w:rFonts w:ascii="Times New Roman" w:cs="Times New Roman" w:eastAsia="Times New Roman" w:hAnsi="Times New Roman"/>
          <w:sz w:val="18"/>
          <w:szCs w:val="18"/>
          <w:b w:val="1"/>
          <w:bCs w:val="1"/>
          <w:color w:val="auto"/>
        </w:rPr>
      </w:pPr>
    </w:p>
    <w:p>
      <w:pPr>
        <w:jc w:val="both"/>
        <w:ind w:left="1160" w:right="1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convertible debentures, series C which were issued in June 2006 were convertible into the Company’s Ordinary Shares at a conversion rate of one ordinary share per NIS 8.40 principal amount of convertible debentures. The conversion price was subject to reduction in certain limited circumstances, which resulted in that on July 20, 2008, the conversion price was reduced from NIS 8.40 to NIS 4.31.</w:t>
      </w:r>
    </w:p>
    <w:p>
      <w:pPr>
        <w:spacing w:after="0" w:line="211" w:lineRule="exact"/>
        <w:rPr>
          <w:rFonts w:ascii="Times New Roman" w:cs="Times New Roman" w:eastAsia="Times New Roman" w:hAnsi="Times New Roman"/>
          <w:sz w:val="18"/>
          <w:szCs w:val="18"/>
          <w:b w:val="1"/>
          <w:bCs w:val="1"/>
          <w:color w:val="auto"/>
        </w:rPr>
      </w:pPr>
    </w:p>
    <w:p>
      <w:pPr>
        <w:ind w:left="1160" w:hanging="571"/>
        <w:spacing w:after="0"/>
        <w:tabs>
          <w:tab w:leader="none" w:pos="11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of Understandingwiththe Company’s Lender Banks and with TIC</w:t>
      </w:r>
    </w:p>
    <w:p>
      <w:pPr>
        <w:spacing w:after="0" w:line="254" w:lineRule="exact"/>
        <w:rPr>
          <w:rFonts w:ascii="Times New Roman" w:cs="Times New Roman" w:eastAsia="Times New Roman" w:hAnsi="Times New Roman"/>
          <w:sz w:val="18"/>
          <w:szCs w:val="18"/>
          <w:b w:val="1"/>
          <w:bCs w:val="1"/>
          <w:color w:val="auto"/>
        </w:rPr>
      </w:pPr>
    </w:p>
    <w:p>
      <w:pPr>
        <w:ind w:left="11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2008, the Company signed a Memorandum of Understanding(“MOU”) with its lender Banks and TIC for the restructuring of the Company’s debt. The main terms of the MOU are as follows: (i) $250,000 of the Company’s debt to its Banks and TIC will be converted into equity securities of the Company, exercisable into ordinary shares, on the basis of $1.42 per share, representing two times the average closing price per share on Nasdaq for the ten trading days prior to August 7, 2008, which was the date of the Company’s public announcement regarding its debts restructuring negotiations with the banks and TIC; (ii) TIC will invest $20,000 in the Company in exchange for 28,169,014 equity securities of the Company, exercisable into ordinary shares based on the average closing price per share on Nasdaq for the ten trading days prior to August 7, 2008; (iii) TIC will invest up to an additional $20,000 by the end of 2009, in the event the Company has not raised such amount by the end of 2009 and subject to certain other conditions. In consideration for such investment, TIC will receive an amount of the Company’s equity securities, exercisable into ordinary shares of the Company, based on the lower of: (i) the average closing price per share on Nasdaq for the last ten trading days prior to the date on which the investment is made, and (ii) the average closing price per share used for the $20,000 initial investment mentioned above.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FINANCIAL STATEMENTS AS OF JUNE 30, 2008</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 except share data and per share data)</w:t>
      </w:r>
    </w:p>
    <w:p>
      <w:pPr>
        <w:spacing w:after="0" w:line="211" w:lineRule="exact"/>
        <w:rPr>
          <w:sz w:val="20"/>
          <w:szCs w:val="20"/>
          <w:color w:val="auto"/>
        </w:rPr>
      </w:pPr>
    </w:p>
    <w:p>
      <w:pPr>
        <w:spacing w:after="0"/>
        <w:tabs>
          <w:tab w:leader="none" w:pos="1020" w:val="left"/>
          <w:tab w:leader="none" w:pos="13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of Understanding with the Company’s Lender Banks and with TIC (Cont.)</w:t>
      </w:r>
    </w:p>
    <w:p>
      <w:pPr>
        <w:spacing w:after="0" w:line="254" w:lineRule="exact"/>
        <w:rPr>
          <w:rFonts w:ascii="Times New Roman" w:cs="Times New Roman" w:eastAsia="Times New Roman" w:hAnsi="Times New Roman"/>
          <w:sz w:val="18"/>
          <w:szCs w:val="18"/>
          <w:b w:val="1"/>
          <w:bCs w:val="1"/>
          <w:color w:val="auto"/>
        </w:rPr>
      </w:pPr>
    </w:p>
    <w:p>
      <w:pPr>
        <w:jc w:val="both"/>
        <w:ind w:left="1160" w:right="220"/>
        <w:spacing w:after="0" w:line="31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In addition, the MOU postpones repayment of the remaining principal, defers interest payments, modifies the interest rate and waives financial covenants as follows: (i) the repayment of the remaining principal of the loans is postponed to begin in September 2010; (ii) interest payments originally due September 2008 through June 2009 are postponed and are added to the principal payments, which are scheduled to begin in</w:t>
      </w:r>
    </w:p>
    <w:p>
      <w:pPr>
        <w:sectPr>
          <w:pgSz w:w="11900" w:h="16838" w:orient="portrait"/>
          <w:cols w:equalWidth="0" w:num="1">
            <w:col w:w="11420"/>
          </w:cols>
          <w:pgMar w:left="240" w:top="368" w:right="239" w:bottom="0" w:gutter="0" w:footer="0" w:header="0"/>
        </w:sectPr>
      </w:pPr>
    </w:p>
    <w:bookmarkStart w:id="8" w:name="page9"/>
    <w:bookmarkEnd w:id="8"/>
    <w:p>
      <w:pPr>
        <w:ind w:right="600"/>
        <w:spacing w:after="0" w:line="275" w:lineRule="auto"/>
        <w:rPr>
          <w:sz w:val="20"/>
          <w:szCs w:val="20"/>
          <w:color w:val="auto"/>
        </w:rPr>
      </w:pPr>
      <w:r>
        <w:rPr>
          <w:rFonts w:ascii="Times New Roman" w:cs="Times New Roman" w:eastAsia="Times New Roman" w:hAnsi="Times New Roman"/>
          <w:sz w:val="18"/>
          <w:szCs w:val="18"/>
          <w:color w:val="auto"/>
        </w:rPr>
        <w:t>September 2010; (iii) the interest rate on the remaining loans will be LIBOR plus 2.5% per annum; and (iv) the banks waived in full the Company’s compliance with financial covenants through the end of 2008.</w:t>
      </w:r>
    </w:p>
    <w:p>
      <w:pPr>
        <w:spacing w:after="0" w:line="20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terms of the MOU, excluding the postponed interest payments and the financial covenants’ waiver which are definitive terms, are subject to the closing of definitive amendment to the Facility Agreement with the Banks, other definitive documentation and receipt of certain approvals.</w:t>
      </w:r>
    </w:p>
    <w:p>
      <w:pPr>
        <w:spacing w:after="0" w:line="3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9360535</wp:posOffset>
            </wp:positionV>
            <wp:extent cx="726757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140"/>
          </w:cols>
          <w:pgMar w:left="1400" w:top="125"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9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(1) our unaudited condensed interim consolidated financial statements as of June 30, 2008 and for the six months then ended and related notes included in this report and (2) our audited consolidated financial statements and related notes included in our Annual Report on Form 20-F for the year ended December 31, 2007 and the other information contained in such Annual Report, particularly the information under the caption “Operating and Financial Review and Prospects”. Our financial statements have been prepared in accordance with generally accepted accounting principles in the United States (“US GAAP”).</w:t>
      </w:r>
    </w:p>
    <w:p>
      <w:pPr>
        <w:spacing w:after="0" w:line="19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Prior to the fourth quarter of 2007, the Company prepared its financial statements in accordance with generally accepted accounting principles in Israel (“IL GAAP”) and provided reconciliation to US GAAP in the notes to the financial statements. The Company recast the comparative amounts included in its financial statements and in this report to US GAAP.</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certain statement of operations data as a percentage of total revenues for the periods indicated.</w:t>
      </w:r>
    </w:p>
    <w:p>
      <w:pPr>
        <w:spacing w:after="0" w:line="2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60325</wp:posOffset>
            </wp:positionV>
            <wp:extent cx="13804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0" w:lineRule="exact"/>
        <w:rPr>
          <w:sz w:val="20"/>
          <w:szCs w:val="20"/>
          <w:color w:val="auto"/>
        </w:rPr>
      </w:pPr>
    </w:p>
    <w:tbl>
      <w:tblPr>
        <w:tblLayout w:type="fixed"/>
        <w:tblInd w:w="16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total sales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expense, net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24"/>
                <w:szCs w:val="24"/>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2008 compared to Six Months Ended June 30, 2007</w:t>
      </w:r>
    </w:p>
    <w:p>
      <w:pPr>
        <w:spacing w:after="0" w:line="293"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for the six months ended June 30, 2008 increased by 2.7% to $115.7 million from $112.7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w:t>
      </w:r>
    </w:p>
    <w:p>
      <w:pPr>
        <w:spacing w:after="0" w:line="170"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Cost of Total Sales</w:t>
      </w:r>
      <w:r>
        <w:rPr>
          <w:rFonts w:ascii="Times New Roman" w:cs="Times New Roman" w:eastAsia="Times New Roman" w:hAnsi="Times New Roman"/>
          <w:sz w:val="18"/>
          <w:szCs w:val="18"/>
          <w:color w:val="auto"/>
        </w:rPr>
        <w:t>. Cost of total sales for the six months ended June 30, 2008 amounted to $139.3 million, compared with $142.9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2007. This decrease of 2.5% in cost of sales despite the increase in revenues was mainly attributable to a reduction in depreciation and amortization expenses following the previously announced change in the estimated useful lives of the Company’s machinery and equipment in the second quarter of 2007 (and as a result, the Company’s machinery and equipment are depreciated over estimated useful lives of 7 years rather than 5 years).</w:t>
      </w:r>
    </w:p>
    <w:p>
      <w:pPr>
        <w:spacing w:after="0" w:line="187" w:lineRule="exact"/>
        <w:rPr>
          <w:sz w:val="20"/>
          <w:szCs w:val="20"/>
          <w:color w:val="auto"/>
        </w:rPr>
      </w:pPr>
    </w:p>
    <w:p>
      <w:pPr>
        <w:ind w:right="6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Gross Loss</w:t>
      </w:r>
      <w:r>
        <w:rPr>
          <w:rFonts w:ascii="Times New Roman" w:cs="Times New Roman" w:eastAsia="Times New Roman" w:hAnsi="Times New Roman"/>
          <w:sz w:val="16"/>
          <w:szCs w:val="16"/>
          <w:color w:val="auto"/>
        </w:rPr>
        <w:t>. Gross loss for the six months ended June 30, 2008 was $23.6 million compared to a gross loss of $30.3 million for the six months ended June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 2007. The decrease in gross loss was mainly attributable to the 2.5% decrease in Cost of Total Sales and by the 2.7% increase in revenues as described above.</w:t>
      </w:r>
    </w:p>
    <w:p>
      <w:pPr>
        <w:spacing w:after="0" w:line="124"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for the six months ended June 30, 2008 decreased to $6.2 million from $7.0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2007.</w:t>
      </w:r>
    </w:p>
    <w:p>
      <w:pPr>
        <w:spacing w:after="0" w:line="170" w:lineRule="exact"/>
        <w:rPr>
          <w:sz w:val="20"/>
          <w:szCs w:val="20"/>
          <w:color w:val="auto"/>
        </w:rPr>
      </w:pPr>
    </w:p>
    <w:p>
      <w:pPr>
        <w:ind w:right="4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Marketing, General and Administrative Expenses</w:t>
      </w:r>
      <w:r>
        <w:rPr>
          <w:rFonts w:ascii="Times New Roman" w:cs="Times New Roman" w:eastAsia="Times New Roman" w:hAnsi="Times New Roman"/>
          <w:sz w:val="18"/>
          <w:szCs w:val="18"/>
          <w:color w:val="auto"/>
        </w:rPr>
        <w:t>. Marketing, general and administrative expenses for the six months ended June 30, 2008 decreased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$15.0 million from $15.7 million for the six months ended June 30, 2007.</w:t>
      </w:r>
    </w:p>
    <w:p>
      <w:pPr>
        <w:spacing w:after="0" w:line="170" w:lineRule="exact"/>
        <w:rPr>
          <w:sz w:val="20"/>
          <w:szCs w:val="20"/>
          <w:color w:val="auto"/>
        </w:rPr>
      </w:pPr>
    </w:p>
    <w:p>
      <w:pPr>
        <w:ind w:right="4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Operating Loss</w:t>
      </w:r>
      <w:r>
        <w:rPr>
          <w:rFonts w:ascii="Times New Roman" w:cs="Times New Roman" w:eastAsia="Times New Roman" w:hAnsi="Times New Roman"/>
          <w:sz w:val="18"/>
          <w:szCs w:val="18"/>
          <w:color w:val="auto"/>
        </w:rPr>
        <w:t>. Operating loss for the six months ended June 30, 2008 was $44.8 million, compared to $53.0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The decrease in the operating loss is attributable mainly to the decrease in the gross loss described above.</w:t>
      </w:r>
    </w:p>
    <w:p>
      <w:pPr>
        <w:spacing w:after="0" w:line="170"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Financing Expenses, Net</w:t>
      </w:r>
      <w:r>
        <w:rPr>
          <w:rFonts w:ascii="Times New Roman" w:cs="Times New Roman" w:eastAsia="Times New Roman" w:hAnsi="Times New Roman"/>
          <w:sz w:val="18"/>
          <w:szCs w:val="18"/>
          <w:color w:val="auto"/>
        </w:rPr>
        <w:t>. Financing expenses, net for the six months ended June 30, 2008 were $15.6 million compared to financing expenses, net of $21.4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2007. This decrease is mainly due to measuring at fair value of our loans and convertible debentures derivatives and due to lower interest on our long-term debt following the LIBOR rate decrease. The above was partially offset by the influence of the revaluation of the NIS in relation to the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for the six months ended June 30, 2008 was $0.5 million compared to other income, net of $0.1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2007.</w:t>
      </w:r>
    </w:p>
    <w:p>
      <w:pPr>
        <w:sectPr>
          <w:pgSz w:w="11900" w:h="16838" w:orient="portrait"/>
          <w:cols w:equalWidth="0" w:num="1">
            <w:col w:w="11420"/>
          </w:cols>
          <w:pgMar w:left="240" w:top="123" w:right="239" w:bottom="0" w:gutter="0" w:footer="0" w:header="0"/>
        </w:sectPr>
      </w:pPr>
    </w:p>
    <w:bookmarkStart w:id="10" w:name="page11"/>
    <w:bookmarkEnd w:id="10"/>
    <w:p>
      <w:pPr>
        <w:ind w:right="2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Loss for the six months ended June 30, 2008 was $60.9 million, compared to $74.3 million for the six months ended June 30, 2007. This decrease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decrease of $8 million in the operating loss and to the $6 million decrease in financing expenses, net described above.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 and Currency Fluctuations</w:t>
      </w:r>
    </w:p>
    <w:p>
      <w:pPr>
        <w:spacing w:after="0" w:line="308"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dollar cost of our operations in Israel is influenced by the timing of any change in the rate of inflation in Israel and the extent to which such change is not offset by the change in valuation of the NIS in relation to the dollar. During the six months ended June 30, 2008, the exchange rate of the dollar in relation to the NIS decreased by 12.8% and the Israeli Consumer Price Index (“CPI”) increased by 2.3% (during the six months ended June 30, 2007 there was an increase of 0.6% in the exchange rate of the dollar in relation to the NIS and an increase of 1% in the CPI).</w:t>
      </w:r>
    </w:p>
    <w:p>
      <w:pPr>
        <w:spacing w:after="0" w:line="190"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74"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 The recent devaluation of the US dollar in relation to the NIS mainly increased our dollar expenses related to our NIS denominated debentures and the dollar amount of our NIS denominated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June 30, 2008, we had an aggregate of $19.8 million in cash and cash equivalents. This compares to $44.5 million we had as of December 31, 2007.</w:t>
      </w:r>
    </w:p>
    <w:p>
      <w:pPr>
        <w:spacing w:after="0" w:line="248"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2008, we raised $32 million through long-term loans and 1.4 million from the issuance of convertible debentures and generated a net amount of $7.3 million from our operating activities. These liquidity resources partially financed the capital expenditure investments we made during the six months ended June 30, 2008, which aggregated to an amount of $56.7 million, in connection with the purchase and installation of equipment for the ramp up of Fab 2 and repayment of convertible debentures in the amount of $8.2 million.</w:t>
      </w:r>
    </w:p>
    <w:p>
      <w:pPr>
        <w:spacing w:after="0" w:line="190" w:lineRule="exact"/>
        <w:rPr>
          <w:sz w:val="20"/>
          <w:szCs w:val="20"/>
          <w:color w:val="auto"/>
        </w:rPr>
      </w:pPr>
    </w:p>
    <w:p>
      <w:pPr>
        <w:ind w:right="260" w:firstLine="341"/>
        <w:spacing w:after="0" w:line="262" w:lineRule="auto"/>
        <w:rPr>
          <w:sz w:val="20"/>
          <w:szCs w:val="20"/>
          <w:color w:val="auto"/>
        </w:rPr>
      </w:pPr>
      <w:r>
        <w:rPr>
          <w:rFonts w:ascii="Times New Roman" w:cs="Times New Roman" w:eastAsia="Times New Roman" w:hAnsi="Times New Roman"/>
          <w:sz w:val="18"/>
          <w:szCs w:val="18"/>
          <w:color w:val="auto"/>
        </w:rPr>
        <w:t>As of June 30, 2008, we had long-term loans from banks and from The Israel Corporation (“TIC”) in the amount of $416.3 million (most of which are presented at fair value), which we obtained mainly in connection with the establishment and ramp-up of Fab 2. As of such date, we had an aggregate of $129.3 million of debentures, of which $9.2 million are presented as current maturities.</w:t>
      </w:r>
    </w:p>
    <w:p>
      <w:pPr>
        <w:spacing w:after="0" w:line="18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On August 2008, the Company entered into a Memorandum of Understanding with its lender Banks and TIC for the restructuring of the Company’s debt and TIC’s planned investments in the Company, as described below.</w:t>
      </w:r>
    </w:p>
    <w:p>
      <w:pPr>
        <w:spacing w:after="0" w:line="17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We continue to examine alternatives for additional funding sources in order to fund our Fab2 ramp-up plan and the costs associated with the acquisition and integration of Jazz Technologies™, Inc. described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JAZZ Technologies</w:t>
      </w:r>
    </w:p>
    <w:p>
      <w:pPr>
        <w:spacing w:after="0" w:line="308"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On May 2008, the Company entered into a definitive agreement (the “Agreement”) with Jazz Technologies™, Inc (AMEX: JAZ), the parent company of its wholly-owned subsidiary, Jazz Semiconductor, a leading independent wafer foundry focused on Analog-Intensive Mixed –Signal (AIMS) process technologies based in NewPort Beach, California (“Jazz”), pursuant to which the Company is to acquire Jazz in a stock-for-stock transaction.</w:t>
      </w:r>
    </w:p>
    <w:p>
      <w:pPr>
        <w:spacing w:after="0" w:line="186"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The Agreement provides that, upon the terms and subject to the conditions set in the Agreement, Jazz will merge with a wholly-owned subsidiary of the Company (formed for that purpose), with Jazz as the surviving corporation (the “Acquisition”). The Agreement has been approved by the boards of directors of both the Company and Jazz and is subject to the approval of Jazz’s stockholders and other customary closing conditions and other regulatory approvals. In June 2008, the Company filed a registration statement on Form F-4 with the U.S. Securities and Exchange Commission (“SEC”), which has been declared effective by the SEC in August 2008. Jazz has set September 17, 2008 as the date for the special meeting of its stockholders to vote on, approve and adopt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of Understanding with the Company’s Lender Banks and with TIC</w:t>
      </w:r>
    </w:p>
    <w:p>
      <w:pPr>
        <w:spacing w:after="0" w:line="3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2008, the Company signed a Memorandum of Understanding (“MOU”) with its lender Banks and TIC for the restructuring of the Company’s debt. The main terms of the MOU are as follows: (i) $250 million of the Company’s debt to its Banks and TIC will be converted into equity securities of the Company, exercisable into ordinary shares, on the basis of $1.42 per share, representing two times the average closing price per share on Nasdaq for the ten trading days prior to August 7, 2008, which was the date of the Company’s public announcement regarding its debts restructuring negotiations with the banks and TIC; (ii) TIC will invest $20 million in the Company in exchange for 28,169,014 equity securities of the Company, exercisable into ordinary shares based on the average closing price per share on Nasdaq for the ten trading days prior to August 7, 2008; (iii) TIC will invest up to an additional $20 million by the end of 2009, in the event the Company has not raised such amount by the end of 2009 and subject to certain other conditions. In consideration for such investment, TIC will receive an amount of the Company’s equity securities, exercisable into ordinary shares of the Company, based on the lower of: (i) the average closing price per share on Nasdaq for the last ten trading days prior to the date on which the investment is made, and (ii) the average closing price per share used for the $20 million initial investment mentioned above.</w:t>
      </w:r>
    </w:p>
    <w:p>
      <w:pPr>
        <w:spacing w:after="0" w:line="19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In addition, the MOU postpones repayment of the remaining principal, defers interest payments, modifies the interest rate and waives financial covenants as follows: (i) the repayment of the remaining principal of the loans is postponed to begin in September 2010; (ii) interest payments originally due September 2008 through June 2009 are postponed and are added to the principal payments, which are scheduled to begin in September 2010; (iii) the interest rate on the remaining loans will be LIBOR plus 2.5% per annum; and (iv) the banks waived in full the Company’s compliance with financial covenants through the end of 2008.</w:t>
      </w:r>
    </w:p>
    <w:p>
      <w:pPr>
        <w:spacing w:after="0" w:line="15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terms of the MOU, excluding the postponed interest payments and the financial covenants’ waiver which are definitive terms, are subject to the closing of definitive amendment to the Facility Agreement with the Banks, other definitive documentation and receipt of certain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3" w:right="239" w:bottom="3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upperLetter"/>
      <w:start w:val="1"/>
    </w:lvl>
    <w:lvl w:ilvl="1">
      <w:lvlJc w:val="left"/>
      <w:lvlText w:val="(%2)"/>
      <w:numFmt w:val="decimal"/>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1."/>
      <w:numFmt w:val="upperLetter"/>
      <w:start w:val="3"/>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2"/>
    </w:lvl>
  </w:abstractNum>
  <w:abstractNum w:abstractNumId="7">
    <w:nsid w:val="515F007C"/>
    <w:multiLevelType w:val="hybridMultilevel"/>
    <w:lvl w:ilvl="0">
      <w:lvlJc w:val="left"/>
      <w:lvlText w:val="%1."/>
      <w:numFmt w:val="upperLetter"/>
      <w:start w:val="3"/>
    </w:lvl>
  </w:abstractNum>
  <w:abstractNum w:abstractNumId="8">
    <w:nsid w:val="5BD062C2"/>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2019-12-14T04:22:10Z</dcterms:created>
  <dcterms:modified xsi:type="dcterms:W3CDTF">2019-12-14T04:22:10Z</dcterms:modified>
</cp:coreProperties>
</file>