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828.htm"/>
      <w:bookmarkStart w:id="1" w:name="kszk2635828"/>
      <w:bookmarkStart w:id="2" w:name="zk2635828.htm"/>
      <w:bookmarkStart w:id="3" w:name="kszk2635828"/>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 PURSUANT TO RULE 13a-16 OR 15d-16</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of August 2026 No.1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000-24790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(Address of principal executive office)</w:t>
      </w:r>
    </w:p>
    <w:p>
      <w:pPr>
        <w:pStyle w:val="TextBody"/>
        <w:bidi w:val="0"/>
        <w:spacing w:lineRule="auto" w:line="300" w:before="0" w:after="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10"/>
        <w:jc w:val="both"/>
        <w:rPr>
          <w:rFonts w:ascii="Times New Roman;Times;serif" w:hAnsi="Times New Roman;Times;serif"/>
          <w:color w:val="000000"/>
          <w:sz w:val="20"/>
        </w:rPr>
      </w:pPr>
      <w:r>
        <w:rPr>
          <w:rFonts w:ascii="Times New Roman;Times;serif" w:hAnsi="Times New Roman;Times;serif"/>
          <w:color w:val="000000"/>
          <w:sz w:val="20"/>
        </w:rPr>
        <w:t>On August 4, 2026, the Registrant announced its financial results for the six and three months ended June 30, 2026. Attached hereto is the following exhibit.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05233c73efaa47e79d389f5a4f1aaaf4"/>
      <w:bookmarkStart w:id="5" w:name="z05233c73efaa47e79d389f5a4f1aaaf4"/>
      <w:bookmarkEnd w:id="5"/>
    </w:p>
    <w:tbl>
      <w:tblPr>
        <w:tblW w:w="4570" w:type="dxa"/>
        <w:jc w:val="left"/>
        <w:tblInd w:w="0" w:type="dxa"/>
        <w:tblLayout w:type="fixed"/>
        <w:tblCellMar>
          <w:top w:w="0" w:type="dxa"/>
          <w:left w:w="0" w:type="dxa"/>
          <w:bottom w:w="0" w:type="dxa"/>
          <w:right w:w="0" w:type="dxa"/>
        </w:tblCellMar>
      </w:tblPr>
      <w:tblGrid>
        <w:gridCol w:w="1190"/>
        <w:gridCol w:w="3380"/>
      </w:tblGrid>
      <w:tr>
        <w:trPr/>
        <w:tc>
          <w:tcPr>
            <w:tcW w:w="1190" w:type="dxa"/>
            <w:tcBorders/>
            <w:vAlign w:val="center"/>
          </w:tcPr>
          <w:p>
            <w:pPr>
              <w:pStyle w:val="TableContents"/>
              <w:bidi w:val="0"/>
              <w:spacing w:lineRule="auto" w:line="300" w:before="0" w:after="0"/>
              <w:jc w:val="both"/>
              <w:rPr/>
            </w:pPr>
            <w:hyperlink w:anchor="exhibit_99-1.htm">
              <w:r>
                <w:rPr>
                  <w:rStyle w:val="InternetLink"/>
                </w:rPr>
                <w:t>Exhibit 99.1</w:t>
              </w:r>
            </w:hyperlink>
          </w:p>
        </w:tc>
        <w:tc>
          <w:tcPr>
            <w:tcW w:w="3380" w:type="dxa"/>
            <w:tcBorders/>
            <w:vAlign w:val="center"/>
          </w:tcPr>
          <w:p>
            <w:pPr>
              <w:pStyle w:val="TableContents"/>
              <w:bidi w:val="0"/>
              <w:spacing w:lineRule="auto" w:line="300" w:before="0" w:after="0"/>
              <w:jc w:val="both"/>
              <w:rPr/>
            </w:pPr>
            <w:hyperlink w:anchor="exhibit_99-1.htm">
              <w:r>
                <w:rPr>
                  <w:rStyle w:val="InternetLink"/>
                </w:rPr>
                <w:t>Press release dated August 4, 2026.</w:t>
              </w:r>
            </w:hyperlink>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79" w:type="dxa"/>
        <w:jc w:val="left"/>
        <w:tblInd w:w="0" w:type="dxa"/>
        <w:tblLayout w:type="fixed"/>
        <w:tblCellMar>
          <w:top w:w="0" w:type="dxa"/>
          <w:left w:w="0" w:type="dxa"/>
          <w:bottom w:w="0" w:type="dxa"/>
          <w:right w:w="0" w:type="dxa"/>
        </w:tblCellMar>
      </w:tblPr>
      <w:tblGrid>
        <w:gridCol w:w="2060"/>
        <w:gridCol w:w="556"/>
        <w:gridCol w:w="3303"/>
        <w:gridCol w:w="60"/>
      </w:tblGrid>
      <w:tr>
        <w:trPr/>
        <w:tc>
          <w:tcPr>
            <w:tcW w:w="2060"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b/>
              </w:rPr>
            </w:pPr>
            <w:r>
              <w:rPr>
                <w:b/>
              </w:rPr>
              <w:t>TOWER SEMICONDUCTOR LTD.</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0"/>
              <w:ind w:left="0" w:right="0" w:hanging="0"/>
              <w:jc w:val="left"/>
              <w:rPr/>
            </w:pPr>
            <w:r>
              <w:rPr/>
              <w:t>Date: August 4, 2026</w:t>
            </w:r>
          </w:p>
        </w:tc>
        <w:tc>
          <w:tcPr>
            <w:tcW w:w="556" w:type="dxa"/>
            <w:tcBorders/>
          </w:tcPr>
          <w:p>
            <w:pPr>
              <w:pStyle w:val="TableContents"/>
              <w:bidi w:val="0"/>
              <w:spacing w:before="0" w:after="0"/>
              <w:ind w:left="0" w:right="0" w:hanging="0"/>
              <w:jc w:val="left"/>
              <w:rPr/>
            </w:pPr>
            <w:r>
              <w:rPr/>
              <w:t xml:space="preserve">By: </w:t>
            </w:r>
          </w:p>
        </w:tc>
        <w:tc>
          <w:tcPr>
            <w:tcW w:w="3303"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Name:  Nati Somekh</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Title:  Corporate Secretary</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TextBody"/>
        <w:bidi w:val="0"/>
        <w:jc w:val="left"/>
        <w:rPr/>
      </w:pPr>
      <w:r>
        <w:rPr/>
      </w:r>
    </w:p>
    <w:p>
      <w:pPr>
        <w:pStyle w:val="HorizontalLine"/>
        <w:bidi w:val="0"/>
        <w:jc w:val="left"/>
        <w:rPr/>
      </w:pPr>
      <w:r>
        <w:rPr/>
      </w:r>
      <w:bookmarkStart w:id="6" w:name="exhibit_99-1.htm"/>
      <w:bookmarkStart w:id="7" w:name="ksexhibit_991"/>
      <w:bookmarkStart w:id="8" w:name="exhibit_99-1.htm"/>
      <w:bookmarkStart w:id="9" w:name="ksexhibit_991"/>
      <w:bookmarkEnd w:id="8"/>
      <w:bookmarkEnd w:id="9"/>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before="0" w:after="0"/>
        <w:jc w:val="left"/>
        <w:rPr>
          <w:u w:val="single"/>
        </w:rPr>
      </w:pPr>
      <w:r>
        <w:rPr>
          <w:u w:val="single"/>
        </w:rPr>
      </w:r>
    </w:p>
    <w:p>
      <w:pPr>
        <w:pStyle w:val="TextBody"/>
        <w:bidi w:val="0"/>
        <w:spacing w:lineRule="auto" w:line="300" w:before="0" w:after="0"/>
        <w:ind w:left="0" w:right="0" w:firstLine="720"/>
        <w:jc w:val="both"/>
        <w:rPr>
          <w:color w:val="000000"/>
        </w:rPr>
      </w:pPr>
      <w:r>
        <w:rPr>
          <w:color w:val="000000"/>
        </w:rPr>
        <w:drawing>
          <wp:inline distT="0" distB="0" distL="0" distR="0">
            <wp:extent cx="16573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962025"/>
                    </a:xfrm>
                    <a:prstGeom prst="rect">
                      <a:avLst/>
                    </a:prstGeom>
                  </pic:spPr>
                </pic:pic>
              </a:graphicData>
            </a:graphic>
          </wp:inline>
        </w:drawing>
      </w:r>
      <w:r>
        <w:rPr>
          <w:color w:val="000000"/>
        </w:rPr>
        <w:t xml:space="preserve"> </w:t>
      </w:r>
    </w:p>
    <w:p>
      <w:pPr>
        <w:pStyle w:val="TextBody"/>
        <w:bidi w:val="0"/>
        <w:spacing w:lineRule="auto" w:line="300" w:before="0" w:after="0"/>
        <w:jc w:val="both"/>
        <w:rPr/>
      </w:pPr>
      <w:r>
        <w:rPr/>
      </w:r>
    </w:p>
    <w:p>
      <w:pPr>
        <w:pStyle w:val="TextBody"/>
        <w:bidi w:val="0"/>
        <w:spacing w:lineRule="auto" w:line="300" w:before="0" w:after="0"/>
        <w:jc w:val="center"/>
        <w:rPr/>
      </w:pPr>
      <w:r>
        <w:rPr/>
      </w:r>
    </w:p>
    <w:p>
      <w:pPr>
        <w:pStyle w:val="TextBody"/>
        <w:bidi w:val="0"/>
        <w:spacing w:lineRule="auto" w:line="300" w:before="0" w:after="0"/>
        <w:jc w:val="center"/>
        <w:rPr>
          <w:rFonts w:ascii="Times New Roman;Times;serif" w:hAnsi="Times New Roman;Times;serif"/>
          <w:b/>
          <w:color w:val="000000"/>
          <w:sz w:val="24"/>
        </w:rPr>
      </w:pPr>
      <w:r>
        <w:rPr>
          <w:rFonts w:ascii="Times New Roman;Times;serif" w:hAnsi="Times New Roman;Times;serif"/>
          <w:b/>
          <w:color w:val="000000"/>
          <w:sz w:val="24"/>
        </w:rPr>
        <w:t>Tower Semiconductor Announces Record Results for</w:t>
        <w:br/>
        <w:t>Revenue and Profitability for the Second Quarter 2026</w:t>
        <w:br/>
        <w:t>with Third Quarter 2026 Record Revenue Guidance</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$460 million second quarter revenue, 24% year-over-year growth;</w:t>
        <w:br/>
        <w:t>Guiding third quarter revenue of $520 million, 31% year-over-year growth</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August 4, 2026 –</w:t>
      </w:r>
      <w:r>
        <w:rPr>
          <w:rFonts w:ascii="Times New Roman;Times;serif" w:hAnsi="Times New Roman;Times;serif"/>
          <w:color w:val="000000"/>
          <w:sz w:val="20"/>
        </w:rPr>
        <w:t xml:space="preserve"> Tower Semiconductor (NASDAQ/TASE: TSEM) reports today its results for the second quarter ended June 30,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Second Quarter of 2026 Results Overview</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Revenue for the second quarter of 2026 was a record of $460 million, representing revenue growth of 24% year over year.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Gross profit for the second quarter of 2026 was a record of $138 million, 72% higher than $80 million in the second quarter of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Operating profit for the second quarter of 2026 was $90 million, record operating profit (excluding non-recurring items), and 2.3X of the $40 million operating profit for the second quarter of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Net profit for the second quarter of 2026 was a record $91 million (excluding non-recurring items), representing 20% net margin and reflecting $0.80 basic and $0.79 diluted earnings per share. Compared to the second quarter of 2025, net profit is 95% higher than $47 million net profit that reflected $0.42 basic and $0.41 diluted earnings per share.</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Cash from operating activities in the second quarter of 2026 was $177 million and investments in property and equipment, net, were $187 million. In the second quarter of 2025, cash flow generated from operating activities was $123 million and investments in property and equipment, net, were $111 million.</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Business Outlook</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provides revenue guidance of $520 million for the third quarter of 2026, a Company record, with an upward or downward range of 5%. Mid-range revenue guidance represents an increase of 31% year-over-year and 13% quarter-over-quarter.</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Russell Ellwanger, Chief Executive Officer of Tower Semiconductor, said:</w:t>
      </w:r>
      <w:r>
        <w:rPr>
          <w:rFonts w:ascii="Times New Roman;Times;serif" w:hAnsi="Times New Roman;Times;serif"/>
          <w:color w:val="000000"/>
          <w:sz w:val="20"/>
        </w:rPr>
        <w:t> “Amidst a powerful demand momentum across Tower’s key business units, we achieved record revenue and record profitability, whilst simultaneously strengthening our technology leadership and greatly expanding manufacturing capacity throughout 2026. Moreover, we recently announced additional substantial capacity expansions, in direct support of our strong growing customer demand. SiPho presented triple digit year over year revenue increase to $680 million annual run rate in the second quarter of 2026 from $180 million annual run rate in the second quarter of 2025. We plan to cross the $1 billion of SiPho revenue annual run rate in the fourth quarter of 2026, with continued significant growth throughout 2027.”</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Ellwanger further added: “We are raising our 2028 target business model to $3.6 billion of revenue with $1.2 billion net profit, being fully spoken for by our customers. Deep strategic customer engagements provide exciting sustainable growth for our customers, and for Tower, thus enabling growing shareholders’ value.”</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Teleconference and Webcast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will host an investor conference call today, Tuesday, August 4, 2026, at 10:00 a.m. Eastern time (9:00 a.m. Central time, 8:00 a.m. Mountain time, 7:00 a.m. Pacific time and 5:00 p.m. Israel time) to discuss the Company’s financial results for the second quarter of 2026 and its business outlook.</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call will be webcast and available through the Investor Relations section of Tower Semiconductor’s website at </w:t>
      </w:r>
      <w:r>
        <w:rPr>
          <w:rFonts w:ascii="Times New Roman;Times;serif" w:hAnsi="Times New Roman;Times;serif"/>
          <w:color w:val="000000"/>
          <w:sz w:val="20"/>
          <w:u w:val="single"/>
        </w:rPr>
        <w:t>ir.towersemi.com</w:t>
      </w:r>
      <w:r>
        <w:rPr>
          <w:rFonts w:ascii="Times New Roman;Times;serif" w:hAnsi="Times New Roman;Times;serif"/>
          <w:color w:val="000000"/>
          <w:sz w:val="20"/>
        </w:rPr>
        <w:t xml:space="preserve">. The pre-registration form required for dial-in participation is accessible </w:t>
      </w:r>
      <w:r>
        <w:rPr>
          <w:rFonts w:ascii="Times New Roman;Times;serif" w:hAnsi="Times New Roman;Times;serif"/>
          <w:b/>
          <w:color w:val="000000"/>
          <w:sz w:val="20"/>
          <w:u w:val="single"/>
        </w:rPr>
        <w:t>here</w:t>
      </w:r>
      <w:r>
        <w:rPr>
          <w:rFonts w:ascii="Times New Roman;Times;serif" w:hAnsi="Times New Roman;Times;serif"/>
          <w:color w:val="000000"/>
          <w:sz w:val="20"/>
        </w:rPr>
        <w:t xml:space="preserve">. Upon completing the registration, participants will receive the dial-in details, a unique PIN, and a confirmation email with all necessary information. To access the webcast, click </w:t>
      </w:r>
      <w:r>
        <w:rPr>
          <w:rFonts w:ascii="Times New Roman;Times;serif" w:hAnsi="Times New Roman;Times;serif"/>
          <w:b/>
          <w:color w:val="000000"/>
          <w:sz w:val="20"/>
          <w:u w:val="single"/>
        </w:rPr>
        <w:t>here</w:t>
      </w:r>
      <w:r>
        <w:rPr>
          <w:rFonts w:ascii="Times New Roman;Times;serif" w:hAnsi="Times New Roman;Times;serif"/>
          <w:color w:val="000000"/>
          <w:sz w:val="20"/>
        </w:rPr>
        <w:t>. The teleconference will be available for replay for 90 days.</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Non-GAAP Financial Measures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and (ii) compensation expenses in respect of equity grants to directors, officers, and employees as included in our costs and expenses.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 and in operating cost and expenses lines (e.g.</w:t>
      </w:r>
      <w:r>
        <w:rPr>
          <w:rFonts w:ascii="Times New Roman;Times;serif" w:hAnsi="Times New Roman;Times;serif"/>
          <w:color w:val="000000"/>
          <w:sz w:val="20"/>
        </w:rPr>
        <w:t xml:space="preserve">, </w:t>
      </w:r>
      <w:r>
        <w:rPr>
          <w:rFonts w:ascii="Times New Roman;Times;serif" w:hAnsi="Times New Roman;Times;serif"/>
          <w:i/>
          <w:color w:val="000000"/>
          <w:sz w:val="20"/>
        </w:rPr>
        <w:t>research and development related equipment and/or fixed other assets depreciation), (ii) stock-based compensation expense, and (iii) amortization of acquired intangible assets.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and short-term deposits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$177 million for the three months period ended June 30, 2026;  $510 million for the three months period ended March 31, 2026 that includes $285 million increase in customers’ advances, net; $123 million for the three months period ended June 30, 2025;  $</w:t>
      </w:r>
      <w:r>
        <w:rPr>
          <w:rFonts w:ascii="Times New Roman;Times;serif" w:hAnsi="Times New Roman;Times;serif"/>
          <w:color w:val="000000"/>
          <w:sz w:val="20"/>
        </w:rPr>
        <w:t xml:space="preserve">687 </w:t>
      </w:r>
      <w:r>
        <w:rPr>
          <w:rFonts w:ascii="Times New Roman;Times;serif" w:hAnsi="Times New Roman;Times;serif"/>
          <w:i/>
          <w:color w:val="000000"/>
          <w:sz w:val="20"/>
        </w:rPr>
        <w:t>million for the six months period ended June 30, 2026 that includes $283 million increase in customers’ advances, net; $</w:t>
      </w:r>
      <w:r>
        <w:rPr>
          <w:rFonts w:ascii="Times New Roman;Times;serif" w:hAnsi="Times New Roman;Times;serif"/>
          <w:color w:val="000000"/>
          <w:sz w:val="20"/>
        </w:rPr>
        <w:t xml:space="preserve">217 </w:t>
      </w:r>
      <w:r>
        <w:rPr>
          <w:rFonts w:ascii="Times New Roman;Times;serif" w:hAnsi="Times New Roman;Times;serif"/>
          <w:i/>
          <w:color w:val="000000"/>
          <w:sz w:val="20"/>
        </w:rPr>
        <w:t>million for the six months period ended June 30, 2025</w:t>
      </w:r>
      <w:r>
        <w:rPr>
          <w:rFonts w:ascii="Times New Roman;Times;serif" w:hAnsi="Times New Roman;Times;serif"/>
          <w:color w:val="000000"/>
          <w:sz w:val="20"/>
        </w:rPr>
        <w:t xml:space="preserve">( </w:t>
      </w:r>
      <w:r>
        <w:rPr>
          <w:rFonts w:ascii="Times New Roman;Times;serif" w:hAnsi="Times New Roman;Times;serif"/>
          <w:i/>
          <w:color w:val="000000"/>
          <w:sz w:val="20"/>
        </w:rPr>
        <w:t>less cash used for investments in property and equipment, net (in the amounts of $187 million, $156 million and $111 million for the three months periods ended June 30, 2026, March 31, 2026 and June 30, 2025, respectively</w:t>
      </w:r>
      <w:r>
        <w:rPr>
          <w:rFonts w:ascii="Times New Roman;Times;serif" w:hAnsi="Times New Roman;Times;serif"/>
          <w:color w:val="000000"/>
          <w:sz w:val="20"/>
        </w:rPr>
        <w:t> </w:t>
      </w:r>
      <w:r>
        <w:rPr>
          <w:rFonts w:ascii="Times New Roman;Times;serif" w:hAnsi="Times New Roman;Times;serif"/>
          <w:i/>
          <w:color w:val="000000"/>
          <w:sz w:val="20"/>
        </w:rPr>
        <w:t>and in the amounts of $343 million and $222 million for the six months periods ended June 30, 2026 and June 30, 2025,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CONTACT</w:t>
      </w:r>
      <w:r>
        <w:rPr>
          <w:rFonts w:ascii="Times New Roman;Times;serif" w:hAnsi="Times New Roman;Times;serif"/>
          <w:color w:val="000000"/>
          <w:sz w:val="20"/>
        </w:rPr>
        <w: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Liat Avraham | Investor Relations | +972-4-6506154 | </w:t>
      </w:r>
      <w:r>
        <w:rPr>
          <w:rFonts w:ascii="Times New Roman;Times;serif" w:hAnsi="Times New Roman;Times;serif"/>
          <w:color w:val="000000"/>
          <w:sz w:val="20"/>
          <w:u w:val="single"/>
        </w:rPr>
        <w:t>liatavra@towersemi.com</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release, as well as other statements and reports filed, stated and published,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“forecast”, “intends”, “committed to”, “tracking”, or variations or words of similar import, may identify a statement as “forward-looking.” However, the absence of these words does not mean that a statement is not forward-looking.  Actual results may vary from those projected or implied by such forward-looking statements and you should not unduly rely on such forward-looking statements, which speak only as of the date of this release. Factors that could cause actual results to differ materially from those projected or implied by such forward-looking statements include, without limitation, risks and uncertainties associated with: (i) fluctuating demand in our customers’ end markets and/or SiPho, SiGe and other customer demand may not increase to the levels currently forecasted by the Company, (ii) reliance on acquisitions, establishing new fabs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and/ or products that may result in operational bottlenecks, extend cycle times, reduce yield, delay delivery schedules, that may result in compensation, penalties and/ or prepayment repayments, loss of customers, revenues, profits and/ or reputation, including with respect to SiPho customer prepayments received for certain minimum capacity commitments, due to inability to fulfill, in whole or in part, all such demand and commitments in a timely manner or at all,  (vii) fluctuation of our financial results from quarter to quarter, (viii) the additional 300mm manufacturing facility the Company plans to establish adjacent to Fab 7 and maximization of the Company’s Fab 7 300mm output (including risks associated with the repurposing of the Arai facility), including risks associated with delays in construction period and cost, obtaining necessary equipment and/ or obtaining necessary permits, Government of Japan and/or METI grants terms and covenants relating thereto (which may result in loss of a portion or all of the grant funds), and/ or other consents required, and the negotiation of definitive agreements with vendors and others, that may result in lower profitability than currently expected and/ or added costs and losses, longer return on investment period, including risks associated with the ability to obtain any financing required to fund the establishment, facilities and machinery cost net investments on favorable terms, or at all, (ix) our debt and other liabilities may impact our financial position and operations, (x) our ability to successfully execute acquisitions, integrate them into our business, utilize our expanded capacity and find new business, (xi) fluctuations in cash flow, (xii) our ability to satisfy the covenants stipulated in our agreements with our debt holders and/ or possible incurrence of additional indebtedness, (xiii) pending litigation, (xiv) meeting the conditions set in approval certificates and other regulations under which we received grants and/or royalties and/or any type of funding from the Israeli, US and/or Japan governmental agencies, (xv) receipt of orders that are lower than the customer purchase commitments or forecast and/or failure to receive customer orders currently expected,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 financial results to fluctuate from quarter to quarter, (xviii) possible situations of obsolete inventory or overcapacity if forecasted demand exceeds actual demand when we create inventory before receipt of customer orders, (xix) the cyclical nature of the semiconductor industry and the resulting periodic overcapacity, fluctuations in operating results and future average selling price erosion, (xx) capacity and capability expansion and acquisition related transactions in our existing fabrications, strategic and/or other in-organic capacity and/ or capability growth and/ or M&amp;A transactions and opportunities, and/ or the acquisition of and/ or the establishment of a new factory or factories, including the additional 300mm manufacturing facility the Company plans to establish adjacent to Fab 7 and maximization of the Company’s Fab 7 300mm output (including risks associated with the repurposing of the Arai facility), which could require funding needs beyond our existing cash, the availability of which cannot be assured on favorable terms, if at all, and which may have adverse impact on the market value of the Company and the price of the Company’s ordinary shares,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our dependence on increased use of outsourced foundry services for specialty process technologies, (xxvii) our dependence on intellectual property rights of others, our ability to operate our business without infringing others’ intellectual property rights and our ability to enforce our intellectual property against infringement, including risks and uncertainties associated with the infringement claims that the Company is currently party to, brought by GlobalFoundries and certain affiliate alleging infringement of certain of its patents, (xxviii) Fab 3 landlord’s alleged claims regarding noise abatement and request for judicial declaration of material non-curable breach of the Fab3 lease, and in addition, alleged claims by a third-party with whom the landlord is engaged pertaining to the Fab3 site, where such third party requests judicial declaration to enforce certain rights with respect to the lease extension, (xxix) retention of key employees and recruitment and retention of skilled qualified personnel, (xxx) exposure to inflation, currency rates (mainly the Israeli Shekel and the Japanese Yen)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engagements for fab establishment, joint venture and/or capital lease transactions for capacity enhancement in advanced technologies, including risks and uncertainties associated with the Agrate fab, such as its qualification schedule, technology, equipment and process qualification, facility operational ramp-up, customer engagements, cost structure, required investments and other terms, which may require additional funding to cover significant capacity investment needs and other payments, (xxxiii) potential liabilities, cost and other impact due to reorganization and consolidation of fabrication facilities, or cessation of operations,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employees’ restricted stock units, or any market expectation thereof, which may depress the market value of the Company and the price of the Company’s ordinary shares, and in addition may impair our ability to raise future capital, (xxxvii) the dispute resolution process in relation to Intel’s determination not to perform its agreement to build a capacity corridor to enable Intel to manufacture wafers for Tower’s customers, which process may be costly and/ or may result in losses and/or other  adverse impact, (xxxviii) Pillar Two tax rules and regulations previously released by the OECD, which require a minimum effective corporate income tax rate of 15% applicable in every jurisdiction in which the company operates, which will result in additional income tax expenses for the years 2026 and beyond, mainly with respect to the Company’s Israeli operations in which the Company was subject to 7.5% preferred tax rate until 2025 under Israeli laws, and (xxxix) climate change, business interruptions due to floods, fires, pandemics, earthquakes and other natural disasters, the security situation in Israel and global trade “war”, including the potential inability to continue uninterrupted operations of the Israeli fab, impact on global supply chain to and from the Israeli fab, delays in the delivery, installation and qualification of equipment, power interruptions, chemicals or other leaks or damages as a result therefrom,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Due to hostilities and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A more complete discussion of risks and uncertainties that may affect the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w:t>
      </w:r>
      <w:r>
        <w:rPr>
          <w:rFonts w:ascii="Times New Roman;Times;serif" w:hAnsi="Times New Roman;Times;serif"/>
          <w:color w:val="000000"/>
          <w:sz w:val="20"/>
        </w:rPr>
        <w:t> </w:t>
      </w:r>
      <w:r>
        <w:rPr>
          <w:rFonts w:ascii="Times New Roman;Times;serif" w:hAnsi="Times New Roman;Times;serif"/>
          <w:i/>
          <w:color w:val="000000"/>
          <w:sz w:val="20"/>
        </w:rPr>
        <w:t>or revise any forward-looking information contained in this release</w:t>
      </w:r>
      <w:r>
        <w:rPr>
          <w:rFonts w:ascii="Times New Roman;Times;serif" w:hAnsi="Times New Roman;Times;serif"/>
          <w:color w:val="000000"/>
          <w:sz w:val="20"/>
        </w:rPr>
        <w:t> </w:t>
      </w:r>
      <w:r>
        <w:rPr>
          <w:rFonts w:ascii="Times New Roman;Times;serif" w:hAnsi="Times New Roman;Times;serif"/>
          <w:i/>
          <w:color w:val="000000"/>
          <w:sz w:val="20"/>
        </w:rPr>
        <w:t>to reflect any changes in expectations with regard thereto, or any change in events, conditions or circumstances on which any such statement is based.</w:t>
      </w:r>
    </w:p>
    <w:p>
      <w:pPr>
        <w:pStyle w:val="TextBody"/>
        <w:bidi w:val="0"/>
        <w:spacing w:lineRule="auto" w:line="300" w:before="0" w:after="0"/>
        <w:jc w:val="left"/>
        <w:rPr/>
      </w:pPr>
      <w:r>
        <w:rPr/>
      </w:r>
    </w:p>
    <w:p>
      <w:pPr>
        <w:pStyle w:val="TextBody"/>
        <w:bidi w:val="0"/>
        <w:spacing w:lineRule="auto" w:line="300" w:before="0" w:after="0"/>
        <w:ind w:left="283" w:right="0" w:hanging="0"/>
        <w:jc w:val="center"/>
        <w:rPr>
          <w:rFonts w:ascii="Times New Roman;Times;serif" w:hAnsi="Times New Roman;Times;serif"/>
          <w:b/>
          <w:color w:val="000000"/>
          <w:sz w:val="20"/>
        </w:rPr>
      </w:pPr>
      <w:r>
        <w:rPr>
          <w:rFonts w:ascii="Times New Roman;Times;serif" w:hAnsi="Times New Roman;Times;serif"/>
          <w:b/>
          <w:color w:val="000000"/>
          <w:sz w:val="20"/>
        </w:rPr>
        <w:t>#  #  #</w:t>
      </w:r>
    </w:p>
    <w:p>
      <w:pPr>
        <w:pStyle w:val="TextBody"/>
        <w:bidi w:val="0"/>
        <w:spacing w:lineRule="auto" w:line="300" w:before="0" w:after="0"/>
        <w:jc w:val="left"/>
        <w:rPr/>
      </w:pPr>
      <w:r>
        <w:rPr/>
      </w:r>
    </w:p>
    <w:p>
      <w:pPr>
        <w:pStyle w:val="TextBody"/>
        <w:bidi w:val="0"/>
        <w:spacing w:lineRule="auto" w:line="300" w:before="0" w:after="0"/>
        <w:ind w:left="283" w:right="0" w:hanging="0"/>
        <w:jc w:val="center"/>
        <w:rPr>
          <w:rFonts w:ascii="Times New Roman;Times;serif" w:hAnsi="Times New Roman;Times;serif"/>
          <w:i/>
          <w:color w:val="000000"/>
          <w:sz w:val="20"/>
        </w:rPr>
      </w:pPr>
      <w:r>
        <w:rPr>
          <w:rFonts w:ascii="Times New Roman;Times;serif" w:hAnsi="Times New Roman;Times;serif"/>
          <w:i/>
          <w:color w:val="000000"/>
          <w:sz w:val="20"/>
        </w:rPr>
        <w:t>(Financial tables follow)</w:t>
      </w:r>
    </w:p>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Normal"/>
        <w:bidi w:val="0"/>
        <w:spacing w:before="0" w:after="0"/>
        <w:jc w:val="left"/>
        <w:rPr>
          <w:sz w:val="4"/>
          <w:szCs w:val="4"/>
        </w:rPr>
      </w:pPr>
      <w:r>
        <w:rPr>
          <w:sz w:val="4"/>
          <w:szCs w:val="4"/>
        </w:rPr>
      </w:r>
      <w:bookmarkStart w:id="10" w:name="z5ee33d4f584b44ac9a7ed81163688bd8"/>
      <w:bookmarkStart w:id="11" w:name="z5ee33d4f584b44ac9a7ed81163688bd8"/>
      <w:bookmarkEnd w:id="11"/>
    </w:p>
    <w:tbl>
      <w:tblPr>
        <w:tblW w:w="7625" w:type="dxa"/>
        <w:jc w:val="left"/>
        <w:tblInd w:w="0" w:type="dxa"/>
        <w:tblLayout w:type="fixed"/>
        <w:tblCellMar>
          <w:top w:w="0" w:type="dxa"/>
          <w:left w:w="0" w:type="dxa"/>
          <w:bottom w:w="0" w:type="dxa"/>
          <w:right w:w="0" w:type="dxa"/>
        </w:tblCellMar>
      </w:tblPr>
      <w:tblGrid>
        <w:gridCol w:w="7625"/>
      </w:tblGrid>
      <w:tr>
        <w:trPr/>
        <w:tc>
          <w:tcPr>
            <w:tcW w:w="7625" w:type="dxa"/>
            <w:tcBorders/>
            <w:vAlign w:val="center"/>
          </w:tcPr>
          <w:p>
            <w:pPr>
              <w:pStyle w:val="TableContents"/>
              <w:bidi w:val="0"/>
              <w:spacing w:lineRule="auto" w:line="300" w:before="0" w:after="0"/>
              <w:jc w:val="center"/>
              <w:rPr>
                <w:b/>
              </w:rPr>
            </w:pPr>
            <w:r>
              <w:rPr>
                <w:b/>
              </w:rPr>
              <w:t>TOWER SEMICONDUCTOR LTD. AND SUBSIDIARIES</w:t>
            </w:r>
          </w:p>
        </w:tc>
      </w:tr>
      <w:tr>
        <w:trPr/>
        <w:tc>
          <w:tcPr>
            <w:tcW w:w="7625" w:type="dxa"/>
            <w:tcBorders/>
            <w:vAlign w:val="center"/>
          </w:tcPr>
          <w:p>
            <w:pPr>
              <w:pStyle w:val="TableContents"/>
              <w:bidi w:val="0"/>
              <w:spacing w:lineRule="auto" w:line="300" w:before="0" w:after="0"/>
              <w:jc w:val="center"/>
              <w:rPr>
                <w:b/>
              </w:rPr>
            </w:pPr>
            <w:r>
              <w:rPr>
                <w:b/>
              </w:rPr>
              <w:t>CONDENSED CONSOLIDATED BALANCE SHEETS (UNAUDITED)</w:t>
            </w:r>
          </w:p>
        </w:tc>
      </w:tr>
      <w:tr>
        <w:trPr/>
        <w:tc>
          <w:tcPr>
            <w:tcW w:w="7625"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8c6c7a9c5c0c46929e774aa363b1660c"/>
      <w:bookmarkStart w:id="13" w:name="z8c6c7a9c5c0c46929e774aa363b1660c"/>
      <w:bookmarkEnd w:id="13"/>
    </w:p>
    <w:tbl>
      <w:tblPr>
        <w:tblW w:w="10128" w:type="dxa"/>
        <w:jc w:val="left"/>
        <w:tblInd w:w="0" w:type="dxa"/>
        <w:tblLayout w:type="fixed"/>
        <w:tblCellMar>
          <w:top w:w="0" w:type="dxa"/>
          <w:left w:w="0" w:type="dxa"/>
          <w:bottom w:w="0" w:type="dxa"/>
          <w:right w:w="0" w:type="dxa"/>
        </w:tblCellMar>
      </w:tblPr>
      <w:tblGrid>
        <w:gridCol w:w="7339"/>
        <w:gridCol w:w="60"/>
        <w:gridCol w:w="140"/>
        <w:gridCol w:w="980"/>
        <w:gridCol w:w="60"/>
        <w:gridCol w:w="60"/>
        <w:gridCol w:w="176"/>
        <w:gridCol w:w="1238"/>
        <w:gridCol w:w="75"/>
      </w:tblGrid>
      <w:tr>
        <w:trPr/>
        <w:tc>
          <w:tcPr>
            <w:tcW w:w="73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jc w:val="left"/>
              <w:rPr>
                <w:b/>
              </w:rPr>
            </w:pPr>
            <w:r>
              <w:rPr>
                <w:b/>
              </w:rPr>
              <w:t>ASSETS</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281"/>
              <w:jc w:val="left"/>
              <w:rPr>
                <w:b/>
              </w:rPr>
            </w:pPr>
            <w:r>
              <w:rPr>
                <w:b/>
              </w:rPr>
              <w:t>CURRENT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562"/>
              <w:jc w:val="left"/>
              <w:rPr>
                <w:b/>
              </w:rPr>
            </w:pPr>
            <w:r>
              <w:rPr>
                <w:b/>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980" w:type="dxa"/>
            <w:tcBorders/>
            <w:shd w:fill="CCEEFF" w:val="clear"/>
            <w:vAlign w:val="bottom"/>
          </w:tcPr>
          <w:p>
            <w:pPr>
              <w:pStyle w:val="TableContents"/>
              <w:bidi w:val="0"/>
              <w:spacing w:lineRule="auto" w:line="300" w:before="0" w:after="0"/>
              <w:jc w:val="right"/>
              <w:rPr>
                <w:b/>
              </w:rPr>
            </w:pPr>
            <w:r>
              <w:rPr>
                <w:b/>
              </w:rPr>
              <w:t>231,188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lineRule="auto" w:line="300" w:before="0" w:after="0"/>
              <w:jc w:val="left"/>
              <w:rPr>
                <w:b/>
              </w:rPr>
            </w:pPr>
            <w:r>
              <w:rPr>
                <w:b/>
              </w:rPr>
              <w:t>$</w:t>
            </w:r>
          </w:p>
        </w:tc>
        <w:tc>
          <w:tcPr>
            <w:tcW w:w="1238" w:type="dxa"/>
            <w:tcBorders/>
            <w:shd w:fill="CCEEFF" w:val="clear"/>
            <w:vAlign w:val="bottom"/>
          </w:tcPr>
          <w:p>
            <w:pPr>
              <w:pStyle w:val="TableContents"/>
              <w:bidi w:val="0"/>
              <w:spacing w:lineRule="auto" w:line="300" w:before="0" w:after="0"/>
              <w:jc w:val="right"/>
              <w:rPr>
                <w:b/>
              </w:rPr>
            </w:pPr>
            <w:r>
              <w:rPr>
                <w:b/>
              </w:rPr>
              <w:t>235,369</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562"/>
              <w:jc w:val="left"/>
              <w:rPr>
                <w:b/>
              </w:rPr>
            </w:pPr>
            <w:r>
              <w:rPr>
                <w:b/>
              </w:rPr>
              <w:t>Short-term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1,250,225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916,541</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562"/>
              <w:jc w:val="left"/>
              <w:rPr>
                <w:b/>
              </w:rPr>
            </w:pPr>
            <w:r>
              <w:rPr>
                <w:b/>
              </w:rPr>
              <w:t>Trade accounts receivable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202,871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222,795</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562"/>
              <w:jc w:val="left"/>
              <w:rPr>
                <w:b/>
              </w:rPr>
            </w:pPr>
            <w:r>
              <w:rPr>
                <w:b/>
              </w:rPr>
              <w:t>Inventories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244,356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256,855</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562"/>
              <w:jc w:val="left"/>
              <w:rPr>
                <w:b/>
              </w:rPr>
            </w:pPr>
            <w:r>
              <w:rPr>
                <w:b/>
              </w:rPr>
              <w:t>Other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57,330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78,062</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843"/>
              <w:jc w:val="left"/>
              <w:rPr>
                <w:b/>
              </w:rPr>
            </w:pPr>
            <w:r>
              <w:rPr>
                <w:b/>
              </w:rPr>
              <w:t>Total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1,985,970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1,709,622</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281"/>
              <w:jc w:val="left"/>
              <w:rPr>
                <w:b/>
              </w:rPr>
            </w:pPr>
            <w:r>
              <w:rPr>
                <w:b/>
              </w:rPr>
              <w:t>PROPERTY AND EQUIPMENT,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1,649,600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1,463,056</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281"/>
              <w:jc w:val="left"/>
              <w:rPr>
                <w:b/>
              </w:rPr>
            </w:pPr>
            <w:r>
              <w:rPr>
                <w:b/>
              </w:rPr>
              <w:t>OTHER LONG-TERM ASSETS, NET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135,866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149,612</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843"/>
              <w:jc w:val="left"/>
              <w:rPr>
                <w:b/>
              </w:rPr>
            </w:pPr>
            <w:r>
              <w:rPr>
                <w:b/>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3,771,436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123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3,322,290</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jc w:val="left"/>
              <w:rPr>
                <w:b/>
              </w:rPr>
            </w:pPr>
            <w:r>
              <w:rPr>
                <w:b/>
              </w:rPr>
              <w:t>LIABILITIES AND SHAREHOLDERS' 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281"/>
              <w:jc w:val="left"/>
              <w:rPr>
                <w:b/>
              </w:rPr>
            </w:pPr>
            <w:r>
              <w:rPr>
                <w:b/>
              </w:rPr>
              <w:t>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562"/>
              <w:jc w:val="left"/>
              <w:rPr>
                <w:b/>
              </w:rPr>
            </w:pPr>
            <w:r>
              <w:rPr>
                <w:b/>
              </w:rPr>
              <w:t>Short-term debt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980" w:type="dxa"/>
            <w:tcBorders/>
            <w:vAlign w:val="bottom"/>
          </w:tcPr>
          <w:p>
            <w:pPr>
              <w:pStyle w:val="TableContents"/>
              <w:bidi w:val="0"/>
              <w:spacing w:lineRule="auto" w:line="300" w:before="0" w:after="0"/>
              <w:jc w:val="right"/>
              <w:rPr>
                <w:b/>
              </w:rPr>
            </w:pPr>
            <w:r>
              <w:rPr>
                <w:b/>
              </w:rPr>
              <w:t>16,921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lineRule="auto" w:line="300" w:before="0" w:after="0"/>
              <w:jc w:val="left"/>
              <w:rPr>
                <w:b/>
              </w:rPr>
            </w:pPr>
            <w:r>
              <w:rPr>
                <w:b/>
              </w:rPr>
              <w:t>$</w:t>
            </w:r>
          </w:p>
        </w:tc>
        <w:tc>
          <w:tcPr>
            <w:tcW w:w="1238" w:type="dxa"/>
            <w:tcBorders/>
            <w:vAlign w:val="bottom"/>
          </w:tcPr>
          <w:p>
            <w:pPr>
              <w:pStyle w:val="TableContents"/>
              <w:bidi w:val="0"/>
              <w:spacing w:lineRule="auto" w:line="300" w:before="0" w:after="0"/>
              <w:jc w:val="right"/>
              <w:rPr>
                <w:b/>
              </w:rPr>
            </w:pPr>
            <w:r>
              <w:rPr>
                <w:b/>
              </w:rPr>
              <w:t>28,112</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562"/>
              <w:jc w:val="left"/>
              <w:rPr>
                <w:b/>
              </w:rPr>
            </w:pPr>
            <w:r>
              <w:rPr>
                <w:b/>
              </w:rPr>
              <w:t>Trade accounts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122,605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123,915</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562"/>
              <w:jc w:val="left"/>
              <w:rPr>
                <w:b/>
              </w:rPr>
            </w:pPr>
            <w:r>
              <w:rPr>
                <w:b/>
              </w:rPr>
              <w:t>Deferred revenue and customers' advances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176,038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25,581</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562"/>
              <w:jc w:val="left"/>
              <w:rPr>
                <w:b/>
              </w:rPr>
            </w:pPr>
            <w:r>
              <w:rPr>
                <w:b/>
              </w:rPr>
              <w:t>Other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88,647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86,139</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843"/>
              <w:jc w:val="left"/>
              <w:rPr>
                <w:b/>
              </w:rPr>
            </w:pPr>
            <w:r>
              <w:rPr>
                <w:b/>
              </w:rPr>
              <w:t>Total 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404,211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263,747</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281"/>
              <w:jc w:val="left"/>
              <w:rPr>
                <w:b/>
              </w:rPr>
            </w:pPr>
            <w:r>
              <w:rPr>
                <w:b/>
              </w:rPr>
              <w:t>LONG-TERM DEBT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b/>
              </w:rPr>
            </w:pPr>
            <w:r>
              <w:rPr>
                <w:b/>
              </w:rPr>
              <w:t>124,775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b/>
              </w:rPr>
            </w:pPr>
            <w:r>
              <w:rPr>
                <w:b/>
              </w:rPr>
              <w:t>133,406</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281"/>
              <w:jc w:val="left"/>
              <w:rPr>
                <w:b/>
              </w:rPr>
            </w:pPr>
            <w:r>
              <w:rPr>
                <w:b/>
              </w:rPr>
              <w:t>LONG-TERM CUSTOMERS' ADVANCES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145,368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1,932</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281"/>
              <w:jc w:val="left"/>
              <w:rPr>
                <w:b/>
              </w:rPr>
            </w:pPr>
            <w:r>
              <w:rPr>
                <w:b/>
              </w:rPr>
              <w:t>OTHER LONG-TERM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25,710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18,622</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843"/>
              <w:jc w:val="left"/>
              <w:rPr>
                <w:b/>
              </w:rPr>
            </w:pPr>
            <w:r>
              <w:rPr>
                <w:b/>
              </w:rPr>
              <w:t>TOTAL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b/>
              </w:rPr>
            </w:pPr>
            <w:r>
              <w:rPr>
                <w:b/>
              </w:rPr>
              <w:t>700,064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b/>
              </w:rPr>
            </w:pPr>
            <w:r>
              <w:rPr>
                <w:b/>
              </w:rPr>
              <w:t>417,707</w:t>
            </w:r>
          </w:p>
        </w:tc>
        <w:tc>
          <w:tcPr>
            <w:tcW w:w="75"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lineRule="auto" w:line="300" w:before="0" w:after="0"/>
              <w:ind w:left="0" w:right="0" w:firstLine="843"/>
              <w:jc w:val="left"/>
              <w:rPr>
                <w:b/>
              </w:rPr>
            </w:pPr>
            <w:r>
              <w:rPr>
                <w:b/>
              </w:rPr>
              <w:t>TOTAL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3,071,372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2,904,583</w:t>
            </w:r>
          </w:p>
        </w:tc>
        <w:tc>
          <w:tcPr>
            <w:tcW w:w="75" w:type="dxa"/>
            <w:tcBorders/>
            <w:shd w:fill="CCEEFF" w:val="clear"/>
            <w:vAlign w:val="bottom"/>
          </w:tcPr>
          <w:p>
            <w:pPr>
              <w:pStyle w:val="TableContents"/>
              <w:bidi w:val="0"/>
              <w:spacing w:before="0" w:after="283"/>
              <w:jc w:val="left"/>
              <w:rPr/>
            </w:pPr>
            <w:r>
              <w:rPr/>
              <w:t> </w:t>
            </w:r>
          </w:p>
        </w:tc>
      </w:tr>
      <w:tr>
        <w:trPr/>
        <w:tc>
          <w:tcPr>
            <w:tcW w:w="7339" w:type="dxa"/>
            <w:tcBorders/>
            <w:vAlign w:val="bottom"/>
          </w:tcPr>
          <w:p>
            <w:pPr>
              <w:pStyle w:val="TableContents"/>
              <w:bidi w:val="0"/>
              <w:spacing w:lineRule="auto" w:line="300" w:before="0" w:after="0"/>
              <w:ind w:left="0" w:right="0" w:firstLine="1124"/>
              <w:jc w:val="left"/>
              <w:rPr>
                <w:b/>
              </w:rPr>
            </w:pPr>
            <w:r>
              <w:rPr>
                <w:b/>
              </w:rPr>
              <w:t>TOTAL LIABILITIES AND SHAREHOLDERS'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3,771,436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3,322,290</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xml:space="preserve">  </w:t>
      </w:r>
      <w:bookmarkStart w:id="14" w:name="z20377a6f0e0246f9bdea6965b4e00855"/>
      <w:bookmarkEnd w:id="14"/>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b/>
              </w:rPr>
            </w:pPr>
            <w:r>
              <w:rPr>
                <w:b/>
              </w:rPr>
              <w:t>TOWER SEMICONDUCTOR LTD. AND SUBSIDIARIES</w:t>
            </w:r>
          </w:p>
        </w:tc>
      </w:tr>
      <w:tr>
        <w:trPr/>
        <w:tc>
          <w:tcPr>
            <w:tcW w:w="9140" w:type="dxa"/>
            <w:tcBorders/>
            <w:vAlign w:val="center"/>
          </w:tcPr>
          <w:p>
            <w:pPr>
              <w:pStyle w:val="TableContents"/>
              <w:bidi w:val="0"/>
              <w:spacing w:lineRule="auto" w:line="300" w:before="0" w:after="0"/>
              <w:jc w:val="center"/>
              <w:rPr>
                <w:b/>
              </w:rPr>
            </w:pPr>
            <w:r>
              <w:rPr>
                <w:b/>
              </w:rPr>
              <w:t>CONDENSED CONSOLIDATED STATEMENTS OF OPERATIONS (UNAUDITED)</w:t>
            </w:r>
          </w:p>
        </w:tc>
      </w:tr>
      <w:tr>
        <w:trPr/>
        <w:tc>
          <w:tcPr>
            <w:tcW w:w="9140" w:type="dxa"/>
            <w:tcBorders/>
            <w:vAlign w:val="center"/>
          </w:tcPr>
          <w:p>
            <w:pPr>
              <w:pStyle w:val="TableContents"/>
              <w:bidi w:val="0"/>
              <w:spacing w:lineRule="auto" w:line="300" w:before="0" w:after="0"/>
              <w:jc w:val="center"/>
              <w:rPr>
                <w:b/>
              </w:rPr>
            </w:pPr>
            <w:r>
              <w:rPr>
                <w:b/>
              </w:rPr>
              <w:t>(dollars and share count in thousands, except per share data)</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15" w:name="z304ce90343ab46c9a53c29d8fa9b6342"/>
      <w:bookmarkStart w:id="16" w:name="z304ce90343ab46c9a53c29d8fa9b6342"/>
      <w:bookmarkEnd w:id="16"/>
    </w:p>
    <w:tbl>
      <w:tblPr>
        <w:tblW w:w="9075" w:type="dxa"/>
        <w:jc w:val="left"/>
        <w:tblInd w:w="0" w:type="dxa"/>
        <w:tblLayout w:type="fixed"/>
        <w:tblCellMar>
          <w:top w:w="0" w:type="dxa"/>
          <w:left w:w="0" w:type="dxa"/>
          <w:bottom w:w="0" w:type="dxa"/>
          <w:right w:w="0" w:type="dxa"/>
        </w:tblCellMar>
      </w:tblPr>
      <w:tblGrid>
        <w:gridCol w:w="6698"/>
        <w:gridCol w:w="60"/>
        <w:gridCol w:w="145"/>
        <w:gridCol w:w="833"/>
        <w:gridCol w:w="98"/>
        <w:gridCol w:w="62"/>
        <w:gridCol w:w="158"/>
        <w:gridCol w:w="911"/>
        <w:gridCol w:w="110"/>
      </w:tblGrid>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110" w:type="dxa"/>
            <w:tcBorders/>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March 31,</w:t>
            </w:r>
          </w:p>
        </w:tc>
        <w:tc>
          <w:tcPr>
            <w:tcW w:w="110" w:type="dxa"/>
            <w:tcBorders/>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jc w:val="left"/>
              <w:rPr>
                <w:b/>
              </w:rPr>
            </w:pPr>
            <w:r>
              <w:rPr>
                <w:b/>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3" w:type="dxa"/>
            <w:tcBorders/>
            <w:shd w:fill="CCEEFF" w:val="clear"/>
            <w:vAlign w:val="bottom"/>
          </w:tcPr>
          <w:p>
            <w:pPr>
              <w:pStyle w:val="TableContents"/>
              <w:bidi w:val="0"/>
              <w:spacing w:lineRule="auto" w:line="300" w:before="0" w:after="0"/>
              <w:jc w:val="right"/>
              <w:rPr>
                <w:b/>
              </w:rPr>
            </w:pPr>
            <w:r>
              <w:rPr>
                <w:b/>
              </w:rPr>
              <w:t>460,079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lineRule="auto" w:line="300" w:before="0" w:after="0"/>
              <w:jc w:val="left"/>
              <w:rPr>
                <w:b/>
              </w:rPr>
            </w:pPr>
            <w:r>
              <w:rPr>
                <w:b/>
              </w:rPr>
              <w:t>$</w:t>
            </w:r>
          </w:p>
        </w:tc>
        <w:tc>
          <w:tcPr>
            <w:tcW w:w="911" w:type="dxa"/>
            <w:tcBorders/>
            <w:shd w:fill="CCEEFF" w:val="clear"/>
            <w:vAlign w:val="bottom"/>
          </w:tcPr>
          <w:p>
            <w:pPr>
              <w:pStyle w:val="TableContents"/>
              <w:bidi w:val="0"/>
              <w:spacing w:lineRule="auto" w:line="300" w:before="0" w:after="0"/>
              <w:jc w:val="right"/>
              <w:rPr>
                <w:b/>
              </w:rPr>
            </w:pPr>
            <w:r>
              <w:rPr>
                <w:b/>
              </w:rPr>
              <w:t>413,631</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COST OF REVENUE</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322,307</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302,680</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562"/>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137,772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110,951</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OPERATING COSTS AND EXPENSES: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562"/>
              <w:jc w:val="left"/>
              <w:rPr>
                <w:b/>
              </w:rPr>
            </w:pPr>
            <w:r>
              <w:rPr>
                <w:b/>
              </w:rPr>
              <w:t>Research and development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23,569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lineRule="auto" w:line="300" w:before="0" w:after="0"/>
              <w:jc w:val="right"/>
              <w:rPr>
                <w:b/>
              </w:rPr>
            </w:pPr>
            <w:r>
              <w:rPr>
                <w:b/>
              </w:rPr>
              <w:t>23,530</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ind w:left="0" w:right="0" w:firstLine="562"/>
              <w:jc w:val="left"/>
              <w:rPr>
                <w:b/>
              </w:rPr>
            </w:pPr>
            <w:r>
              <w:rPr>
                <w:b/>
              </w:rPr>
              <w:t>Marketing, general and administrative</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23,913</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22,856</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47,482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46,386</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OPERATING PROFIT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90,290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lineRule="auto" w:line="300" w:before="0" w:after="0"/>
              <w:jc w:val="right"/>
              <w:rPr>
                <w:b/>
              </w:rPr>
            </w:pPr>
            <w:r>
              <w:rPr>
                <w:b/>
              </w:rPr>
              <w:t>64,565</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FINANCING AND OTHER INCOME, NET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15,902</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9,518</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PROFIT BEFORE INCOME TAX</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106,192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lineRule="auto" w:line="300" w:before="0" w:after="0"/>
              <w:jc w:val="right"/>
              <w:rPr>
                <w:b/>
              </w:rPr>
            </w:pPr>
            <w:r>
              <w:rPr>
                <w:b/>
              </w:rPr>
              <w:t>74,083</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INCOME TAX EXPENSE, NET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(15,573</w:t>
            </w:r>
          </w:p>
        </w:tc>
        <w:tc>
          <w:tcPr>
            <w:tcW w:w="98" w:type="dxa"/>
            <w:tcBorders/>
            <w:vAlign w:val="bottom"/>
          </w:tcPr>
          <w:p>
            <w:pPr>
              <w:pStyle w:val="TableContents"/>
              <w:bidi w:val="0"/>
              <w:spacing w:lineRule="auto" w:line="300" w:before="0" w:after="0"/>
              <w:jc w:val="left"/>
              <w:rPr>
                <w:b/>
              </w:rPr>
            </w:pPr>
            <w:r>
              <w:rPr>
                <w:b/>
              </w:rPr>
              <w:t>)</w:t>
            </w:r>
          </w:p>
        </w:tc>
        <w:tc>
          <w:tcPr>
            <w:tcW w:w="62"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(6,518</w:t>
            </w:r>
          </w:p>
        </w:tc>
        <w:tc>
          <w:tcPr>
            <w:tcW w:w="110" w:type="dxa"/>
            <w:tcBorders/>
            <w:vAlign w:val="bottom"/>
          </w:tcPr>
          <w:p>
            <w:pPr>
              <w:pStyle w:val="TableContents"/>
              <w:bidi w:val="0"/>
              <w:spacing w:lineRule="auto" w:line="300" w:before="0" w:after="0"/>
              <w:jc w:val="left"/>
              <w:rPr>
                <w:b/>
              </w:rPr>
            </w:pPr>
            <w:r>
              <w:rPr>
                <w:b/>
              </w:rPr>
              <w:t>)</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NET PROFIT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90,619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lineRule="auto" w:line="300" w:before="0" w:after="0"/>
              <w:jc w:val="right"/>
              <w:rPr>
                <w:b/>
              </w:rPr>
            </w:pPr>
            <w:r>
              <w:rPr>
                <w:b/>
              </w:rPr>
              <w:t>67,565</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Net loss (profit) attributable to non-controlling interest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(2,533</w:t>
            </w:r>
          </w:p>
        </w:tc>
        <w:tc>
          <w:tcPr>
            <w:tcW w:w="110" w:type="dxa"/>
            <w:tcBorders/>
            <w:vAlign w:val="bottom"/>
          </w:tcPr>
          <w:p>
            <w:pPr>
              <w:pStyle w:val="TableContents"/>
              <w:bidi w:val="0"/>
              <w:spacing w:lineRule="auto" w:line="300" w:before="0" w:after="0"/>
              <w:jc w:val="left"/>
              <w:rPr>
                <w:b/>
              </w:rPr>
            </w:pPr>
            <w:r>
              <w:rPr>
                <w:b/>
              </w:rPr>
              <w:t>)</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NET PROFIT ATTRIBUTABLE TO THE COMPANY</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90,769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91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65,032</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BASIC EARNINGS PER SHARE</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0.80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11"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0.58</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112,910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112,564</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DILUTED EARNINGS PER SHARE</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0.79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58"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911"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0.57</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114,427</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5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114,342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108"/>
        <w:gridCol w:w="62"/>
        <w:gridCol w:w="145"/>
        <w:gridCol w:w="833"/>
        <w:gridCol w:w="62"/>
        <w:gridCol w:w="62"/>
        <w:gridCol w:w="145"/>
        <w:gridCol w:w="708"/>
        <w:gridCol w:w="80"/>
      </w:tblGrid>
      <w:tr>
        <w:trPr/>
        <w:tc>
          <w:tcPr>
            <w:tcW w:w="10125" w:type="dxa"/>
            <w:gridSpan w:val="8"/>
            <w:tcBorders/>
            <w:vAlign w:val="bottom"/>
          </w:tcPr>
          <w:p>
            <w:pPr>
              <w:pStyle w:val="TableContents"/>
              <w:bidi w:val="0"/>
              <w:spacing w:lineRule="auto" w:line="300" w:before="0" w:after="0"/>
              <w:jc w:val="left"/>
              <w:rPr>
                <w:b/>
              </w:rPr>
            </w:pPr>
            <w:r>
              <w:rPr>
                <w:b/>
              </w:rPr>
              <w:t>RECONCILIATION FROM GAAP NET PROFIT ATTRIBUTABLE TO THE COMPANY TO ADJUSTED NET PROFIT ATTRIBUTABLE TO THE COMPANY:</w:t>
            </w:r>
          </w:p>
        </w:tc>
        <w:tc>
          <w:tcPr>
            <w:tcW w:w="80"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bidi w:val="0"/>
              <w:spacing w:lineRule="auto" w:line="300" w:before="0" w:after="0"/>
              <w:ind w:left="0" w:right="0" w:firstLine="562"/>
              <w:jc w:val="left"/>
              <w:rPr>
                <w:b/>
              </w:rPr>
            </w:pPr>
            <w:r>
              <w:rPr>
                <w:b/>
              </w:rPr>
              <w:t>GAAP NET PROFIT ATTRIBUTABLE TO THE COMPANY</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3" w:type="dxa"/>
            <w:tcBorders/>
            <w:shd w:fill="CCEEFF" w:val="clear"/>
            <w:vAlign w:val="bottom"/>
          </w:tcPr>
          <w:p>
            <w:pPr>
              <w:pStyle w:val="TableContents"/>
              <w:bidi w:val="0"/>
              <w:spacing w:lineRule="auto" w:line="300" w:before="0" w:after="0"/>
              <w:jc w:val="right"/>
              <w:rPr>
                <w:b/>
              </w:rPr>
            </w:pPr>
            <w:r>
              <w:rPr>
                <w:b/>
              </w:rPr>
              <w:t>90,769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708" w:type="dxa"/>
            <w:tcBorders/>
            <w:shd w:fill="CCEEFF" w:val="clear"/>
            <w:vAlign w:val="bottom"/>
          </w:tcPr>
          <w:p>
            <w:pPr>
              <w:pStyle w:val="TableContents"/>
              <w:bidi w:val="0"/>
              <w:spacing w:lineRule="auto" w:line="300" w:before="0" w:after="0"/>
              <w:jc w:val="right"/>
              <w:rPr>
                <w:b/>
              </w:rPr>
            </w:pPr>
            <w:r>
              <w:rPr>
                <w:b/>
              </w:rPr>
              <w:t>65,032</w:t>
            </w:r>
          </w:p>
        </w:tc>
        <w:tc>
          <w:tcPr>
            <w:tcW w:w="80"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bidi w:val="0"/>
              <w:spacing w:lineRule="auto" w:line="300" w:before="0" w:after="0"/>
              <w:jc w:val="left"/>
              <w:rPr>
                <w:b/>
              </w:rPr>
            </w:pPr>
            <w:r>
              <w:rPr>
                <w:b/>
              </w:rPr>
              <w:t>Stock based compensation and amortization</w:t>
              <w:br/>
              <w:t>  of acquired intangible assets</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9,941</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9,441</w:t>
            </w:r>
          </w:p>
        </w:tc>
        <w:tc>
          <w:tcPr>
            <w:tcW w:w="80"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bidi w:val="0"/>
              <w:spacing w:lineRule="auto" w:line="300" w:before="0" w:after="0"/>
              <w:ind w:left="0" w:right="0" w:firstLine="562"/>
              <w:jc w:val="left"/>
              <w:rPr>
                <w:b/>
              </w:rPr>
            </w:pPr>
            <w:r>
              <w:rPr>
                <w:b/>
              </w:rPr>
              <w:t>ADJUSTED NET PROFIT ATTRIBUTABLE TO THE COMPANY</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100,710</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70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74,473</w:t>
            </w:r>
          </w:p>
        </w:tc>
        <w:tc>
          <w:tcPr>
            <w:tcW w:w="80"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bidi w:val="0"/>
              <w:spacing w:lineRule="auto" w:line="300" w:before="0" w:after="0"/>
              <w:jc w:val="left"/>
              <w:rPr>
                <w:b/>
              </w:rPr>
            </w:pPr>
            <w:r>
              <w:rPr>
                <w:b/>
              </w:rPr>
              <w:t>ADJUSTED EARNINGS PER SHARE:</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bidi w:val="0"/>
              <w:spacing w:lineRule="auto" w:line="300" w:before="0" w:after="0"/>
              <w:ind w:left="0" w:right="0" w:firstLine="562"/>
              <w:jc w:val="left"/>
              <w:rPr>
                <w:b/>
              </w:rPr>
            </w:pPr>
            <w:r>
              <w:rPr>
                <w:b/>
              </w:rPr>
              <w:t>Basic</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0.89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70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0.66</w:t>
            </w:r>
          </w:p>
        </w:tc>
        <w:tc>
          <w:tcPr>
            <w:tcW w:w="80"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bidi w:val="0"/>
              <w:spacing w:lineRule="auto" w:line="300" w:before="0" w:after="0"/>
              <w:ind w:left="0" w:right="0" w:firstLine="562"/>
              <w:jc w:val="left"/>
              <w:rPr>
                <w:b/>
              </w:rPr>
            </w:pPr>
            <w:r>
              <w:rPr>
                <w:b/>
              </w:rPr>
              <w:t>Diluted</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0.88</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70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0.65</w:t>
            </w:r>
          </w:p>
        </w:tc>
        <w:tc>
          <w:tcPr>
            <w:tcW w:w="8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xml:space="preserve">  </w:t>
      </w:r>
      <w:bookmarkStart w:id="17" w:name="zec03e0dac8c242b48788b78889aed8a5"/>
      <w:bookmarkEnd w:id="17"/>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b/>
              </w:rPr>
            </w:pPr>
            <w:r>
              <w:rPr>
                <w:b/>
              </w:rPr>
              <w:t>TOWER SEMICONDUCTOR LTD. AND SUBSIDIARIES</w:t>
            </w:r>
          </w:p>
        </w:tc>
      </w:tr>
      <w:tr>
        <w:trPr/>
        <w:tc>
          <w:tcPr>
            <w:tcW w:w="9140" w:type="dxa"/>
            <w:tcBorders/>
            <w:vAlign w:val="center"/>
          </w:tcPr>
          <w:p>
            <w:pPr>
              <w:pStyle w:val="TableContents"/>
              <w:bidi w:val="0"/>
              <w:spacing w:lineRule="auto" w:line="300" w:before="0" w:after="0"/>
              <w:jc w:val="center"/>
              <w:rPr>
                <w:b/>
              </w:rPr>
            </w:pPr>
            <w:r>
              <w:rPr>
                <w:b/>
              </w:rPr>
              <w:t>CONDENSED CONSOLIDATED STATEMENTS OF OPERATIONS (UNAUDITED)</w:t>
            </w:r>
          </w:p>
        </w:tc>
      </w:tr>
      <w:tr>
        <w:trPr/>
        <w:tc>
          <w:tcPr>
            <w:tcW w:w="9140" w:type="dxa"/>
            <w:tcBorders/>
            <w:vAlign w:val="center"/>
          </w:tcPr>
          <w:p>
            <w:pPr>
              <w:pStyle w:val="TableContents"/>
              <w:bidi w:val="0"/>
              <w:spacing w:lineRule="auto" w:line="300" w:before="0" w:after="0"/>
              <w:jc w:val="center"/>
              <w:rPr>
                <w:b/>
              </w:rPr>
            </w:pPr>
            <w:r>
              <w:rPr>
                <w:b/>
              </w:rPr>
              <w:t>(dollars and share count in thousands, except per share data)</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8" w:name="z230726ea7e444700a5155e846605514e"/>
      <w:bookmarkStart w:id="19" w:name="z230726ea7e444700a5155e846605514e"/>
      <w:bookmarkEnd w:id="19"/>
    </w:p>
    <w:tbl>
      <w:tblPr>
        <w:tblW w:w="8984" w:type="dxa"/>
        <w:jc w:val="left"/>
        <w:tblInd w:w="0" w:type="dxa"/>
        <w:tblLayout w:type="fixed"/>
        <w:tblCellMar>
          <w:top w:w="0" w:type="dxa"/>
          <w:left w:w="0" w:type="dxa"/>
          <w:bottom w:w="0" w:type="dxa"/>
          <w:right w:w="0" w:type="dxa"/>
        </w:tblCellMar>
      </w:tblPr>
      <w:tblGrid>
        <w:gridCol w:w="6698"/>
        <w:gridCol w:w="60"/>
        <w:gridCol w:w="145"/>
        <w:gridCol w:w="833"/>
        <w:gridCol w:w="98"/>
        <w:gridCol w:w="62"/>
        <w:gridCol w:w="145"/>
        <w:gridCol w:w="833"/>
        <w:gridCol w:w="110"/>
      </w:tblGrid>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110" w:type="dxa"/>
            <w:tcBorders/>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jc w:val="left"/>
              <w:rPr>
                <w:b/>
              </w:rPr>
            </w:pPr>
            <w:r>
              <w:rPr>
                <w:b/>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3" w:type="dxa"/>
            <w:tcBorders/>
            <w:shd w:fill="CCEEFF" w:val="clear"/>
            <w:vAlign w:val="bottom"/>
          </w:tcPr>
          <w:p>
            <w:pPr>
              <w:pStyle w:val="TableContents"/>
              <w:bidi w:val="0"/>
              <w:spacing w:lineRule="auto" w:line="300" w:before="0" w:after="0"/>
              <w:jc w:val="right"/>
              <w:rPr>
                <w:b/>
              </w:rPr>
            </w:pPr>
            <w:r>
              <w:rPr>
                <w:b/>
              </w:rPr>
              <w:t>460,079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3" w:type="dxa"/>
            <w:tcBorders/>
            <w:shd w:fill="CCEEFF" w:val="clear"/>
            <w:vAlign w:val="bottom"/>
          </w:tcPr>
          <w:p>
            <w:pPr>
              <w:pStyle w:val="TableContents"/>
              <w:bidi w:val="0"/>
              <w:spacing w:lineRule="auto" w:line="300" w:before="0" w:after="0"/>
              <w:jc w:val="right"/>
              <w:rPr>
                <w:b/>
              </w:rPr>
            </w:pPr>
            <w:r>
              <w:rPr>
                <w:b/>
              </w:rPr>
              <w:t>372,061</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COST OF REVENUE</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322,307</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292,035</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562"/>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137,772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80,026</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OPERATING COSTS AND EXPENSES: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562"/>
              <w:jc w:val="left"/>
              <w:rPr>
                <w:b/>
              </w:rPr>
            </w:pPr>
            <w:r>
              <w:rPr>
                <w:b/>
              </w:rPr>
              <w:t>Research and development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23,569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19,418</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ind w:left="0" w:right="0" w:firstLine="562"/>
              <w:jc w:val="left"/>
              <w:rPr>
                <w:b/>
              </w:rPr>
            </w:pPr>
            <w:r>
              <w:rPr>
                <w:b/>
              </w:rPr>
              <w:t>Marketing, general and administrative</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23,913</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20,743</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47,482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40,161</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OPERATING PROFIT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90,290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39,865</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FINANCING AND OTHER INCOME, NET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15,902</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14,387</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PROFIT BEFORE INCOME TAX</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106,192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54,252</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INCOME TAX EXPENSE, NET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(15,573</w:t>
            </w:r>
          </w:p>
        </w:tc>
        <w:tc>
          <w:tcPr>
            <w:tcW w:w="98" w:type="dxa"/>
            <w:tcBorders/>
            <w:vAlign w:val="bottom"/>
          </w:tcPr>
          <w:p>
            <w:pPr>
              <w:pStyle w:val="TableContents"/>
              <w:bidi w:val="0"/>
              <w:spacing w:lineRule="auto" w:line="300" w:before="0" w:after="0"/>
              <w:jc w:val="left"/>
              <w:rPr>
                <w:b/>
              </w:rPr>
            </w:pPr>
            <w:r>
              <w:rPr>
                <w:b/>
              </w:rPr>
              <w: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(8,660</w:t>
            </w:r>
          </w:p>
        </w:tc>
        <w:tc>
          <w:tcPr>
            <w:tcW w:w="110" w:type="dxa"/>
            <w:tcBorders/>
            <w:vAlign w:val="bottom"/>
          </w:tcPr>
          <w:p>
            <w:pPr>
              <w:pStyle w:val="TableContents"/>
              <w:bidi w:val="0"/>
              <w:spacing w:lineRule="auto" w:line="300" w:before="0" w:after="0"/>
              <w:jc w:val="left"/>
              <w:rPr>
                <w:b/>
              </w:rPr>
            </w:pPr>
            <w:r>
              <w:rPr>
                <w:b/>
              </w:rPr>
              <w:t>)</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NET PROFIT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90,619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lineRule="auto" w:line="300" w:before="0" w:after="0"/>
              <w:jc w:val="right"/>
              <w:rPr>
                <w:b/>
              </w:rPr>
            </w:pPr>
            <w:r>
              <w:rPr>
                <w:b/>
              </w:rPr>
              <w:t>45,592</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Net loss attributable to non-controlling interest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150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959</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ind w:left="0" w:right="0" w:firstLine="843"/>
              <w:jc w:val="left"/>
              <w:rPr>
                <w:b/>
              </w:rPr>
            </w:pPr>
            <w:r>
              <w:rPr>
                <w:b/>
              </w:rPr>
              <w:t>NET PROFIT ATTRIBUTABLE TO THE COMPANY</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90,769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46,551</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BASIC EARNINGS PER SHARE</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0.80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0.42</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112,910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111,810</w:t>
            </w:r>
          </w:p>
        </w:tc>
        <w:tc>
          <w:tcPr>
            <w:tcW w:w="110" w:type="dxa"/>
            <w:tcBorders/>
            <w:shd w:fill="CCEEFF" w:val="clear"/>
            <w:vAlign w:val="bottom"/>
          </w:tcPr>
          <w:p>
            <w:pPr>
              <w:pStyle w:val="TableContents"/>
              <w:bidi w:val="0"/>
              <w:spacing w:before="0" w:after="283"/>
              <w:jc w:val="left"/>
              <w:rPr/>
            </w:pPr>
            <w:r>
              <w:rPr/>
              <w:t> </w:t>
            </w:r>
          </w:p>
        </w:tc>
      </w:tr>
      <w:tr>
        <w:trPr/>
        <w:tc>
          <w:tcPr>
            <w:tcW w:w="6698" w:type="dxa"/>
            <w:tcBorders/>
            <w:vAlign w:val="bottom"/>
          </w:tcPr>
          <w:p>
            <w:pPr>
              <w:pStyle w:val="TableContents"/>
              <w:bidi w:val="0"/>
              <w:spacing w:lineRule="auto" w:line="300" w:before="0" w:after="0"/>
              <w:jc w:val="left"/>
              <w:rPr>
                <w:b/>
              </w:rPr>
            </w:pPr>
            <w:r>
              <w:rPr>
                <w:b/>
              </w:rPr>
              <w:t>DILUTED EARNINGS PER SHARE</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0.79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0.41</w:t>
            </w:r>
          </w:p>
        </w:tc>
        <w:tc>
          <w:tcPr>
            <w:tcW w:w="110" w:type="dxa"/>
            <w:tcBorders/>
            <w:vAlign w:val="bottom"/>
          </w:tcPr>
          <w:p>
            <w:pPr>
              <w:pStyle w:val="TableContents"/>
              <w:bidi w:val="0"/>
              <w:spacing w:before="0" w:after="283"/>
              <w:jc w:val="left"/>
              <w:rPr/>
            </w:pPr>
            <w:r>
              <w:rPr/>
              <w:t> </w:t>
            </w:r>
          </w:p>
        </w:tc>
      </w:tr>
      <w:tr>
        <w:trPr/>
        <w:tc>
          <w:tcPr>
            <w:tcW w:w="6698"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114,427</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113,282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108"/>
        <w:gridCol w:w="62"/>
        <w:gridCol w:w="145"/>
        <w:gridCol w:w="833"/>
        <w:gridCol w:w="62"/>
        <w:gridCol w:w="62"/>
        <w:gridCol w:w="145"/>
        <w:gridCol w:w="708"/>
        <w:gridCol w:w="80"/>
      </w:tblGrid>
      <w:tr>
        <w:trPr/>
        <w:tc>
          <w:tcPr>
            <w:tcW w:w="10125" w:type="dxa"/>
            <w:gridSpan w:val="8"/>
            <w:tcBorders/>
            <w:vAlign w:val="bottom"/>
          </w:tcPr>
          <w:p>
            <w:pPr>
              <w:pStyle w:val="TableContents"/>
              <w:bidi w:val="0"/>
              <w:spacing w:lineRule="auto" w:line="300" w:before="0" w:after="0"/>
              <w:jc w:val="left"/>
              <w:rPr>
                <w:b/>
              </w:rPr>
            </w:pPr>
            <w:r>
              <w:rPr>
                <w:b/>
              </w:rPr>
              <w:t>RECONCILIATION FROM GAAP NET PROFIT ATTRIBUTABLE TO THE COMPANY TO ADJUSTED NET PROFIT ATTRIBUTABLE TO THE COMPANY:</w:t>
            </w:r>
          </w:p>
        </w:tc>
        <w:tc>
          <w:tcPr>
            <w:tcW w:w="80"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bidi w:val="0"/>
              <w:spacing w:lineRule="auto" w:line="300" w:before="0" w:after="0"/>
              <w:ind w:left="0" w:right="0" w:firstLine="562"/>
              <w:jc w:val="left"/>
              <w:rPr>
                <w:b/>
              </w:rPr>
            </w:pPr>
            <w:r>
              <w:rPr>
                <w:b/>
              </w:rPr>
              <w:t>GAAP NET PROFIT ATTRIBUTABLE TO THE COMPANY</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3" w:type="dxa"/>
            <w:tcBorders/>
            <w:shd w:fill="CCEEFF" w:val="clear"/>
            <w:vAlign w:val="bottom"/>
          </w:tcPr>
          <w:p>
            <w:pPr>
              <w:pStyle w:val="TableContents"/>
              <w:bidi w:val="0"/>
              <w:spacing w:lineRule="auto" w:line="300" w:before="0" w:after="0"/>
              <w:jc w:val="right"/>
              <w:rPr>
                <w:b/>
              </w:rPr>
            </w:pPr>
            <w:r>
              <w:rPr>
                <w:b/>
              </w:rPr>
              <w:t>90,769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708" w:type="dxa"/>
            <w:tcBorders/>
            <w:shd w:fill="CCEEFF" w:val="clear"/>
            <w:vAlign w:val="bottom"/>
          </w:tcPr>
          <w:p>
            <w:pPr>
              <w:pStyle w:val="TableContents"/>
              <w:bidi w:val="0"/>
              <w:spacing w:lineRule="auto" w:line="300" w:before="0" w:after="0"/>
              <w:jc w:val="right"/>
              <w:rPr>
                <w:b/>
              </w:rPr>
            </w:pPr>
            <w:r>
              <w:rPr>
                <w:b/>
              </w:rPr>
              <w:t>46,551</w:t>
            </w:r>
          </w:p>
        </w:tc>
        <w:tc>
          <w:tcPr>
            <w:tcW w:w="80"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bidi w:val="0"/>
              <w:spacing w:lineRule="auto" w:line="300" w:before="0" w:after="0"/>
              <w:jc w:val="left"/>
              <w:rPr>
                <w:b/>
              </w:rPr>
            </w:pPr>
            <w:r>
              <w:rPr>
                <w:b/>
              </w:rPr>
              <w:t>Stock based compensation and amortization</w:t>
              <w:br/>
              <w:t>  of acquired intangible assets</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9,941</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708"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10,595</w:t>
            </w:r>
          </w:p>
        </w:tc>
        <w:tc>
          <w:tcPr>
            <w:tcW w:w="80"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bidi w:val="0"/>
              <w:spacing w:lineRule="auto" w:line="300" w:before="0" w:after="0"/>
              <w:ind w:left="0" w:right="0" w:firstLine="562"/>
              <w:jc w:val="left"/>
              <w:rPr>
                <w:b/>
              </w:rPr>
            </w:pPr>
            <w:r>
              <w:rPr>
                <w:b/>
              </w:rPr>
              <w:t>ADJUSTED NET PROFIT ATTRIBUTABLE TO THE COMPANY</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100,710</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70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57,146</w:t>
            </w:r>
          </w:p>
        </w:tc>
        <w:tc>
          <w:tcPr>
            <w:tcW w:w="80"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bidi w:val="0"/>
              <w:spacing w:lineRule="auto" w:line="300" w:before="0" w:after="0"/>
              <w:jc w:val="left"/>
              <w:rPr>
                <w:b/>
              </w:rPr>
            </w:pPr>
            <w:r>
              <w:rPr>
                <w:b/>
              </w:rPr>
              <w:t>ADJUSTED EARNINGS PER SHARE:</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8108" w:type="dxa"/>
            <w:tcBorders/>
            <w:shd w:fill="CCEEFF" w:val="clear"/>
            <w:vAlign w:val="bottom"/>
          </w:tcPr>
          <w:p>
            <w:pPr>
              <w:pStyle w:val="TableContents"/>
              <w:bidi w:val="0"/>
              <w:spacing w:lineRule="auto" w:line="300" w:before="0" w:after="0"/>
              <w:ind w:left="0" w:right="0" w:firstLine="562"/>
              <w:jc w:val="left"/>
              <w:rPr>
                <w:b/>
              </w:rPr>
            </w:pPr>
            <w:r>
              <w:rPr>
                <w:b/>
              </w:rPr>
              <w:t>Basic</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0.89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70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0.51</w:t>
            </w:r>
          </w:p>
        </w:tc>
        <w:tc>
          <w:tcPr>
            <w:tcW w:w="80" w:type="dxa"/>
            <w:tcBorders/>
            <w:shd w:fill="CCEEFF" w:val="clear"/>
            <w:vAlign w:val="bottom"/>
          </w:tcPr>
          <w:p>
            <w:pPr>
              <w:pStyle w:val="TableContents"/>
              <w:bidi w:val="0"/>
              <w:spacing w:before="0" w:after="283"/>
              <w:jc w:val="left"/>
              <w:rPr/>
            </w:pPr>
            <w:r>
              <w:rPr/>
              <w:t> </w:t>
            </w:r>
          </w:p>
        </w:tc>
      </w:tr>
      <w:tr>
        <w:trPr/>
        <w:tc>
          <w:tcPr>
            <w:tcW w:w="8108" w:type="dxa"/>
            <w:tcBorders/>
            <w:vAlign w:val="bottom"/>
          </w:tcPr>
          <w:p>
            <w:pPr>
              <w:pStyle w:val="TableContents"/>
              <w:bidi w:val="0"/>
              <w:spacing w:lineRule="auto" w:line="300" w:before="0" w:after="0"/>
              <w:ind w:left="0" w:right="0" w:firstLine="562"/>
              <w:jc w:val="left"/>
              <w:rPr>
                <w:b/>
              </w:rPr>
            </w:pPr>
            <w:r>
              <w:rPr>
                <w:b/>
              </w:rPr>
              <w:t>Diluted</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0.88</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708"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0.50</w:t>
            </w:r>
          </w:p>
        </w:tc>
        <w:tc>
          <w:tcPr>
            <w:tcW w:w="8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xml:space="preserve">  </w:t>
      </w:r>
    </w:p>
    <w:p>
      <w:pPr>
        <w:pStyle w:val="Normal"/>
        <w:bidi w:val="0"/>
        <w:spacing w:lineRule="auto" w:line="300" w:before="0" w:after="0"/>
        <w:jc w:val="left"/>
        <w:rPr>
          <w:sz w:val="4"/>
          <w:szCs w:val="4"/>
        </w:rPr>
      </w:pPr>
      <w:r>
        <w:rPr>
          <w:sz w:val="4"/>
          <w:szCs w:val="4"/>
        </w:rPr>
      </w:r>
      <w:bookmarkStart w:id="20" w:name="z867ecbd4d4eb4345a296acd2adaa6b92"/>
      <w:bookmarkStart w:id="21" w:name="z867ecbd4d4eb4345a296acd2adaa6b92"/>
      <w:bookmarkEnd w:id="21"/>
    </w:p>
    <w:tbl>
      <w:tblPr>
        <w:tblW w:w="9232" w:type="dxa"/>
        <w:jc w:val="left"/>
        <w:tblInd w:w="0" w:type="dxa"/>
        <w:tblLayout w:type="fixed"/>
        <w:tblCellMar>
          <w:top w:w="0" w:type="dxa"/>
          <w:left w:w="0" w:type="dxa"/>
          <w:bottom w:w="0" w:type="dxa"/>
          <w:right w:w="0" w:type="dxa"/>
        </w:tblCellMar>
      </w:tblPr>
      <w:tblGrid>
        <w:gridCol w:w="6950"/>
        <w:gridCol w:w="62"/>
        <w:gridCol w:w="145"/>
        <w:gridCol w:w="830"/>
        <w:gridCol w:w="98"/>
        <w:gridCol w:w="62"/>
        <w:gridCol w:w="145"/>
        <w:gridCol w:w="830"/>
        <w:gridCol w:w="110"/>
      </w:tblGrid>
      <w:tr>
        <w:trPr/>
        <w:tc>
          <w:tcPr>
            <w:tcW w:w="9122" w:type="dxa"/>
            <w:gridSpan w:val="8"/>
            <w:tcBorders/>
            <w:vAlign w:val="bottom"/>
          </w:tcPr>
          <w:p>
            <w:pPr>
              <w:pStyle w:val="TableContents"/>
              <w:bidi w:val="0"/>
              <w:spacing w:lineRule="auto" w:line="300" w:before="0" w:after="0"/>
              <w:jc w:val="center"/>
              <w:rPr>
                <w:b/>
              </w:rPr>
            </w:pPr>
            <w:r>
              <w:rPr>
                <w:b/>
              </w:rPr>
              <w:t>TOWER SEMICONDUCTOR LTD. AND SUBSIDIARIES</w:t>
            </w:r>
          </w:p>
        </w:tc>
        <w:tc>
          <w:tcPr>
            <w:tcW w:w="110" w:type="dxa"/>
            <w:tcBorders/>
            <w:vAlign w:val="bottom"/>
          </w:tcPr>
          <w:p>
            <w:pPr>
              <w:pStyle w:val="TableContents"/>
              <w:bidi w:val="0"/>
              <w:spacing w:before="0" w:after="283"/>
              <w:jc w:val="left"/>
              <w:rPr/>
            </w:pPr>
            <w:r>
              <w:rPr/>
              <w:t> </w:t>
            </w:r>
          </w:p>
        </w:tc>
      </w:tr>
      <w:tr>
        <w:trPr/>
        <w:tc>
          <w:tcPr>
            <w:tcW w:w="9122" w:type="dxa"/>
            <w:gridSpan w:val="8"/>
            <w:tcBorders/>
            <w:vAlign w:val="bottom"/>
          </w:tcPr>
          <w:p>
            <w:pPr>
              <w:pStyle w:val="TableContents"/>
              <w:bidi w:val="0"/>
              <w:spacing w:lineRule="auto" w:line="300" w:before="0" w:after="0"/>
              <w:jc w:val="center"/>
              <w:rPr>
                <w:b/>
              </w:rPr>
            </w:pPr>
            <w:r>
              <w:rPr>
                <w:b/>
              </w:rPr>
              <w:t>CONDENSED CONSOLIDATED STATEMENTS OF OPERATIONS (UNAUDITED)</w:t>
            </w:r>
          </w:p>
        </w:tc>
        <w:tc>
          <w:tcPr>
            <w:tcW w:w="110" w:type="dxa"/>
            <w:tcBorders/>
            <w:vAlign w:val="bottom"/>
          </w:tcPr>
          <w:p>
            <w:pPr>
              <w:pStyle w:val="TableContents"/>
              <w:bidi w:val="0"/>
              <w:spacing w:before="0" w:after="283"/>
              <w:jc w:val="left"/>
              <w:rPr/>
            </w:pPr>
            <w:r>
              <w:rPr/>
              <w:t> </w:t>
            </w:r>
          </w:p>
        </w:tc>
      </w:tr>
      <w:tr>
        <w:trPr/>
        <w:tc>
          <w:tcPr>
            <w:tcW w:w="9122" w:type="dxa"/>
            <w:gridSpan w:val="8"/>
            <w:tcBorders/>
            <w:vAlign w:val="bottom"/>
          </w:tcPr>
          <w:p>
            <w:pPr>
              <w:pStyle w:val="TableContents"/>
              <w:bidi w:val="0"/>
              <w:spacing w:lineRule="auto" w:line="300" w:before="0" w:after="0"/>
              <w:jc w:val="center"/>
              <w:rPr>
                <w:b/>
              </w:rPr>
            </w:pPr>
            <w:r>
              <w:rPr>
                <w:b/>
              </w:rPr>
              <w:t>(dollars and share count in thousands, except per share data)</w:t>
            </w:r>
          </w:p>
        </w:tc>
        <w:tc>
          <w:tcPr>
            <w:tcW w:w="110" w:type="dxa"/>
            <w:tcBorders/>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10"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tc>
        <w:tc>
          <w:tcPr>
            <w:tcW w:w="110" w:type="dxa"/>
            <w:tcBorders/>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jc w:val="left"/>
              <w:rPr>
                <w:b/>
              </w:rPr>
            </w:pPr>
            <w:r>
              <w:rPr>
                <w:b/>
              </w:rPr>
              <w:t>REVENUE</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0" w:type="dxa"/>
            <w:tcBorders/>
            <w:shd w:fill="CCEEFF" w:val="clear"/>
            <w:vAlign w:val="bottom"/>
          </w:tcPr>
          <w:p>
            <w:pPr>
              <w:pStyle w:val="TableContents"/>
              <w:bidi w:val="0"/>
              <w:spacing w:lineRule="auto" w:line="300" w:before="0" w:after="0"/>
              <w:jc w:val="right"/>
              <w:rPr>
                <w:b/>
              </w:rPr>
            </w:pPr>
            <w:r>
              <w:rPr>
                <w:b/>
              </w:rPr>
              <w:t>873,710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b/>
              </w:rPr>
            </w:pPr>
            <w:r>
              <w:rPr>
                <w:b/>
              </w:rPr>
              <w:t>$</w:t>
            </w:r>
          </w:p>
        </w:tc>
        <w:tc>
          <w:tcPr>
            <w:tcW w:w="830" w:type="dxa"/>
            <w:tcBorders/>
            <w:shd w:fill="CCEEFF" w:val="clear"/>
            <w:vAlign w:val="bottom"/>
          </w:tcPr>
          <w:p>
            <w:pPr>
              <w:pStyle w:val="TableContents"/>
              <w:bidi w:val="0"/>
              <w:spacing w:lineRule="auto" w:line="300" w:before="0" w:after="0"/>
              <w:jc w:val="right"/>
              <w:rPr>
                <w:b/>
              </w:rPr>
            </w:pPr>
            <w:r>
              <w:rPr>
                <w:b/>
              </w:rPr>
              <w:t>730,231</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COST OF REVENUE</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624,987</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577,034</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ind w:left="0" w:right="0" w:firstLine="562"/>
              <w:jc w:val="left"/>
              <w:rPr>
                <w:b/>
              </w:rPr>
            </w:pPr>
            <w:r>
              <w:rPr>
                <w:b/>
              </w:rPr>
              <w:t>GROSS PROFIT</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248,723</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153,197</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OPERATING COSTS AND EXPENSES:</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ind w:left="0" w:right="0" w:firstLine="562"/>
              <w:jc w:val="left"/>
              <w:rPr>
                <w:b/>
              </w:rPr>
            </w:pPr>
            <w:r>
              <w:rPr>
                <w:b/>
              </w:rPr>
              <w:t>Research and development</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47,099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39,590</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ind w:left="0" w:right="0" w:firstLine="562"/>
              <w:jc w:val="left"/>
              <w:rPr>
                <w:b/>
              </w:rPr>
            </w:pPr>
            <w:r>
              <w:rPr>
                <w:b/>
              </w:rPr>
              <w:t>Marketing, general and administrative</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46,769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40,844</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93,868</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80,434</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ind w:left="0" w:right="0" w:firstLine="843"/>
              <w:jc w:val="left"/>
              <w:rPr>
                <w:b/>
              </w:rPr>
            </w:pPr>
            <w:r>
              <w:rPr>
                <w:b/>
              </w:rPr>
              <w:t>OPERATING PROFIT</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154,855</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72,763</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FINANCING AND OTHER INCOME, NET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25,420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24,985</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ind w:left="0" w:right="0" w:firstLine="843"/>
              <w:jc w:val="left"/>
              <w:rPr>
                <w:b/>
              </w:rPr>
            </w:pPr>
            <w:r>
              <w:rPr>
                <w:b/>
              </w:rPr>
              <w:t>PROFIT BEFORE INCOME TAX</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180,275</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97,748</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INCOME TAX EXPENSE, NET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(22,091</w:t>
            </w:r>
          </w:p>
        </w:tc>
        <w:tc>
          <w:tcPr>
            <w:tcW w:w="98" w:type="dxa"/>
            <w:tcBorders/>
            <w:vAlign w:val="bottom"/>
          </w:tcPr>
          <w:p>
            <w:pPr>
              <w:pStyle w:val="TableContents"/>
              <w:bidi w:val="0"/>
              <w:spacing w:lineRule="auto" w:line="300" w:before="0" w:after="0"/>
              <w:jc w:val="left"/>
              <w:rPr>
                <w:b/>
              </w:rPr>
            </w:pPr>
            <w:r>
              <w:rPr>
                <w:b/>
              </w:rPr>
              <w: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(12,439</w:t>
            </w:r>
          </w:p>
        </w:tc>
        <w:tc>
          <w:tcPr>
            <w:tcW w:w="110" w:type="dxa"/>
            <w:tcBorders/>
            <w:vAlign w:val="bottom"/>
          </w:tcPr>
          <w:p>
            <w:pPr>
              <w:pStyle w:val="TableContents"/>
              <w:bidi w:val="0"/>
              <w:spacing w:lineRule="auto" w:line="300" w:before="0" w:after="0"/>
              <w:jc w:val="left"/>
              <w:rPr>
                <w:b/>
              </w:rPr>
            </w:pPr>
            <w:r>
              <w:rPr>
                <w:b/>
              </w:rPr>
              <w:t>)</w:t>
            </w:r>
          </w:p>
        </w:tc>
      </w:tr>
      <w:tr>
        <w:trPr/>
        <w:tc>
          <w:tcPr>
            <w:tcW w:w="6950" w:type="dxa"/>
            <w:tcBorders/>
            <w:shd w:fill="CCEEFF" w:val="clear"/>
            <w:vAlign w:val="bottom"/>
          </w:tcPr>
          <w:p>
            <w:pPr>
              <w:pStyle w:val="TableContents"/>
              <w:bidi w:val="0"/>
              <w:spacing w:lineRule="auto" w:line="300" w:before="0" w:after="0"/>
              <w:ind w:left="0" w:right="0" w:firstLine="843"/>
              <w:jc w:val="left"/>
              <w:rPr>
                <w:b/>
              </w:rPr>
            </w:pPr>
            <w:r>
              <w:rPr>
                <w:b/>
              </w:rPr>
              <w:t>NET PROFIT</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158,184</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lineRule="auto" w:line="300" w:before="0" w:after="0"/>
              <w:jc w:val="right"/>
              <w:rPr>
                <w:b/>
              </w:rPr>
            </w:pPr>
            <w:r>
              <w:rPr>
                <w:b/>
              </w:rPr>
              <w:t>85,309</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Net loss (profit) attributable to non-controlling interest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(2,383</w:t>
            </w:r>
          </w:p>
        </w:tc>
        <w:tc>
          <w:tcPr>
            <w:tcW w:w="98" w:type="dxa"/>
            <w:tcBorders/>
            <w:vAlign w:val="bottom"/>
          </w:tcPr>
          <w:p>
            <w:pPr>
              <w:pStyle w:val="TableContents"/>
              <w:bidi w:val="0"/>
              <w:spacing w:lineRule="auto" w:line="300" w:before="0" w:after="0"/>
              <w:jc w:val="left"/>
              <w:rPr>
                <w:b/>
              </w:rPr>
            </w:pPr>
            <w:r>
              <w:rPr>
                <w:b/>
              </w:rPr>
              <w: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1,384</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ind w:left="0" w:right="0" w:firstLine="843"/>
              <w:jc w:val="left"/>
              <w:rPr>
                <w:b/>
              </w:rPr>
            </w:pPr>
            <w:r>
              <w:rPr>
                <w:b/>
              </w:rPr>
              <w:t>NET PROFIT ATTRIBUTABLE TO THE COMPANY</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155,801</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86,693</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BASIC EARNINGS PER SHARE</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1.38</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0.78</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112,738</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111,693</w:t>
            </w:r>
          </w:p>
        </w:tc>
        <w:tc>
          <w:tcPr>
            <w:tcW w:w="110" w:type="dxa"/>
            <w:tcBorders/>
            <w:shd w:fill="CCEEFF" w:val="clear"/>
            <w:vAlign w:val="bottom"/>
          </w:tcPr>
          <w:p>
            <w:pPr>
              <w:pStyle w:val="TableContents"/>
              <w:bidi w:val="0"/>
              <w:spacing w:before="0" w:after="283"/>
              <w:jc w:val="left"/>
              <w:rPr/>
            </w:pPr>
            <w:r>
              <w:rPr/>
              <w:t> </w:t>
            </w:r>
          </w:p>
        </w:tc>
      </w:tr>
      <w:tr>
        <w:trPr/>
        <w:tc>
          <w:tcPr>
            <w:tcW w:w="6950" w:type="dxa"/>
            <w:tcBorders/>
            <w:vAlign w:val="bottom"/>
          </w:tcPr>
          <w:p>
            <w:pPr>
              <w:pStyle w:val="TableContents"/>
              <w:bidi w:val="0"/>
              <w:spacing w:lineRule="auto" w:line="300" w:before="0" w:after="0"/>
              <w:jc w:val="left"/>
              <w:rPr>
                <w:b/>
              </w:rPr>
            </w:pPr>
            <w:r>
              <w:rPr>
                <w:b/>
              </w:rPr>
              <w:t>DILUTED EARNINGS PER SHARE</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1.36</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30"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0.77</w:t>
            </w:r>
          </w:p>
        </w:tc>
        <w:tc>
          <w:tcPr>
            <w:tcW w:w="110" w:type="dxa"/>
            <w:tcBorders/>
            <w:vAlign w:val="bottom"/>
          </w:tcPr>
          <w:p>
            <w:pPr>
              <w:pStyle w:val="TableContents"/>
              <w:bidi w:val="0"/>
              <w:spacing w:before="0" w:after="283"/>
              <w:jc w:val="left"/>
              <w:rPr/>
            </w:pPr>
            <w:r>
              <w:rPr/>
              <w:t> </w:t>
            </w:r>
          </w:p>
        </w:tc>
      </w:tr>
      <w:tr>
        <w:trPr/>
        <w:tc>
          <w:tcPr>
            <w:tcW w:w="6950" w:type="dxa"/>
            <w:tcBorders/>
            <w:shd w:fill="CCEEFF" w:val="clear"/>
            <w:vAlign w:val="bottom"/>
          </w:tcPr>
          <w:p>
            <w:pPr>
              <w:pStyle w:val="TableContents"/>
              <w:bidi w:val="0"/>
              <w:spacing w:lineRule="auto" w:line="300" w:before="0" w:after="0"/>
              <w:jc w:val="left"/>
              <w:rPr>
                <w:b/>
              </w:rPr>
            </w:pPr>
            <w:r>
              <w:rPr>
                <w:b/>
              </w:rPr>
              <w:t>Weighted average number of shares</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114,340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113,218</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009"/>
        <w:gridCol w:w="61"/>
        <w:gridCol w:w="144"/>
        <w:gridCol w:w="823"/>
        <w:gridCol w:w="61"/>
        <w:gridCol w:w="61"/>
        <w:gridCol w:w="144"/>
        <w:gridCol w:w="823"/>
        <w:gridCol w:w="79"/>
      </w:tblGrid>
      <w:tr>
        <w:trPr/>
        <w:tc>
          <w:tcPr>
            <w:tcW w:w="10126" w:type="dxa"/>
            <w:gridSpan w:val="8"/>
            <w:tcBorders/>
            <w:vAlign w:val="bottom"/>
          </w:tcPr>
          <w:p>
            <w:pPr>
              <w:pStyle w:val="TableContents"/>
              <w:bidi w:val="0"/>
              <w:spacing w:lineRule="auto" w:line="300" w:before="0" w:after="0"/>
              <w:jc w:val="left"/>
              <w:rPr>
                <w:b/>
              </w:rPr>
            </w:pPr>
            <w:r>
              <w:rPr>
                <w:b/>
              </w:rPr>
              <w:t>RECONCILIATION FROM GAAP NET PROFIT ATTRIBUTABLE TO THE COMPANY TO ADJUSTED NET PROFIT ATTRIBUTABLE TO THE COMPANY:</w:t>
            </w:r>
          </w:p>
        </w:tc>
        <w:tc>
          <w:tcPr>
            <w:tcW w:w="79"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lineRule="auto" w:line="300" w:before="0" w:after="0"/>
              <w:ind w:left="0" w:right="0" w:firstLine="562"/>
              <w:jc w:val="left"/>
              <w:rPr>
                <w:b/>
              </w:rPr>
            </w:pPr>
            <w:r>
              <w:rPr>
                <w:b/>
              </w:rPr>
              <w:t>GAAP NET PROFIT ATTRIBUTABLE TO THE COMPANY</w:t>
            </w:r>
          </w:p>
        </w:tc>
        <w:tc>
          <w:tcPr>
            <w:tcW w:w="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lineRule="auto" w:line="300" w:before="0" w:after="0"/>
              <w:jc w:val="left"/>
              <w:rPr>
                <w:b/>
              </w:rPr>
            </w:pPr>
            <w:r>
              <w:rPr>
                <w:b/>
              </w:rPr>
              <w:t>$</w:t>
            </w:r>
          </w:p>
        </w:tc>
        <w:tc>
          <w:tcPr>
            <w:tcW w:w="823" w:type="dxa"/>
            <w:tcBorders/>
            <w:shd w:fill="CCEEFF" w:val="clear"/>
            <w:vAlign w:val="bottom"/>
          </w:tcPr>
          <w:p>
            <w:pPr>
              <w:pStyle w:val="TableContents"/>
              <w:bidi w:val="0"/>
              <w:spacing w:lineRule="auto" w:line="300" w:before="0" w:after="0"/>
              <w:jc w:val="right"/>
              <w:rPr>
                <w:b/>
              </w:rPr>
            </w:pPr>
            <w:r>
              <w:rPr>
                <w:b/>
              </w:rPr>
              <w:t>155,801</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lineRule="auto" w:line="300" w:before="0" w:after="0"/>
              <w:jc w:val="left"/>
              <w:rPr>
                <w:b/>
              </w:rPr>
            </w:pPr>
            <w:r>
              <w:rPr>
                <w:b/>
              </w:rPr>
              <w:t>$</w:t>
            </w:r>
          </w:p>
        </w:tc>
        <w:tc>
          <w:tcPr>
            <w:tcW w:w="823" w:type="dxa"/>
            <w:tcBorders/>
            <w:shd w:fill="CCEEFF" w:val="clear"/>
            <w:vAlign w:val="bottom"/>
          </w:tcPr>
          <w:p>
            <w:pPr>
              <w:pStyle w:val="TableContents"/>
              <w:bidi w:val="0"/>
              <w:spacing w:lineRule="auto" w:line="300" w:before="0" w:after="0"/>
              <w:jc w:val="right"/>
              <w:rPr>
                <w:b/>
              </w:rPr>
            </w:pPr>
            <w:r>
              <w:rPr>
                <w:b/>
              </w:rPr>
              <w:t>86,693</w:t>
            </w:r>
          </w:p>
        </w:tc>
        <w:tc>
          <w:tcPr>
            <w:tcW w:w="79"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lineRule="auto" w:line="300" w:before="0" w:after="0"/>
              <w:jc w:val="left"/>
              <w:rPr>
                <w:b/>
              </w:rPr>
            </w:pPr>
            <w:r>
              <w:rPr>
                <w:b/>
              </w:rPr>
              <w:t>Stock based compensation and amortization</w:t>
              <w:br/>
              <w:t>  of acquired intangible assets</w:t>
            </w:r>
          </w:p>
        </w:tc>
        <w:tc>
          <w:tcPr>
            <w:tcW w:w="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b/>
              </w:rPr>
            </w:pPr>
            <w:r>
              <w:rPr>
                <w:b/>
              </w:rPr>
              <w:t>19,382</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lineRule="auto" w:line="300" w:before="0" w:after="0"/>
              <w:jc w:val="right"/>
              <w:rPr>
                <w:b/>
              </w:rPr>
            </w:pPr>
            <w:r>
              <w:rPr>
                <w:b/>
              </w:rPr>
              <w:t>20,930</w:t>
            </w:r>
          </w:p>
        </w:tc>
        <w:tc>
          <w:tcPr>
            <w:tcW w:w="79"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lineRule="auto" w:line="300" w:before="0" w:after="0"/>
              <w:ind w:left="0" w:right="0" w:firstLine="562"/>
              <w:jc w:val="left"/>
              <w:rPr>
                <w:b/>
              </w:rPr>
            </w:pPr>
            <w:r>
              <w:rPr>
                <w:b/>
              </w:rPr>
              <w:t>ADJUSTED NET PROFIT ATTRIBUTABLE TO THE COMPANY</w:t>
            </w:r>
          </w:p>
        </w:tc>
        <w:tc>
          <w:tcPr>
            <w:tcW w:w="61"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2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175,183</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2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107,623</w:t>
            </w:r>
          </w:p>
        </w:tc>
        <w:tc>
          <w:tcPr>
            <w:tcW w:w="79"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lineRule="auto" w:line="300" w:before="0" w:after="0"/>
              <w:jc w:val="left"/>
              <w:rPr>
                <w:b/>
              </w:rPr>
            </w:pPr>
            <w:r>
              <w:rPr>
                <w:b/>
              </w:rPr>
              <w:t>ADJUSTED EARNINGS PER SHARE:</w:t>
            </w:r>
          </w:p>
        </w:tc>
        <w:tc>
          <w:tcPr>
            <w:tcW w:w="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8009" w:type="dxa"/>
            <w:tcBorders/>
            <w:shd w:fill="CCEEFF" w:val="clear"/>
            <w:vAlign w:val="bottom"/>
          </w:tcPr>
          <w:p>
            <w:pPr>
              <w:pStyle w:val="TableContents"/>
              <w:bidi w:val="0"/>
              <w:spacing w:lineRule="auto" w:line="300" w:before="0" w:after="0"/>
              <w:ind w:left="0" w:right="0" w:firstLine="562"/>
              <w:jc w:val="left"/>
              <w:rPr>
                <w:b/>
              </w:rPr>
            </w:pPr>
            <w:r>
              <w:rPr>
                <w:b/>
              </w:rPr>
              <w:t>Basic</w:t>
            </w:r>
          </w:p>
        </w:tc>
        <w:tc>
          <w:tcPr>
            <w:tcW w:w="61"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2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1.55</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bottom"/>
          </w:tcPr>
          <w:p>
            <w:pPr>
              <w:pStyle w:val="TableContents"/>
              <w:bidi w:val="0"/>
              <w:spacing w:lineRule="auto" w:line="300" w:before="0" w:after="0"/>
              <w:jc w:val="left"/>
              <w:rPr>
                <w:b/>
              </w:rPr>
            </w:pPr>
            <w:r>
              <w:rPr>
                <w:b/>
              </w:rPr>
              <w:t>$</w:t>
            </w:r>
          </w:p>
        </w:tc>
        <w:tc>
          <w:tcPr>
            <w:tcW w:w="82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0.96</w:t>
            </w:r>
          </w:p>
        </w:tc>
        <w:tc>
          <w:tcPr>
            <w:tcW w:w="79" w:type="dxa"/>
            <w:tcBorders/>
            <w:shd w:fill="CCEEFF" w:val="clear"/>
            <w:vAlign w:val="bottom"/>
          </w:tcPr>
          <w:p>
            <w:pPr>
              <w:pStyle w:val="TableContents"/>
              <w:bidi w:val="0"/>
              <w:spacing w:before="0" w:after="283"/>
              <w:jc w:val="left"/>
              <w:rPr/>
            </w:pPr>
            <w:r>
              <w:rPr/>
              <w:t> </w:t>
            </w:r>
          </w:p>
        </w:tc>
      </w:tr>
      <w:tr>
        <w:trPr/>
        <w:tc>
          <w:tcPr>
            <w:tcW w:w="8009" w:type="dxa"/>
            <w:tcBorders/>
            <w:vAlign w:val="bottom"/>
          </w:tcPr>
          <w:p>
            <w:pPr>
              <w:pStyle w:val="TableContents"/>
              <w:bidi w:val="0"/>
              <w:spacing w:lineRule="auto" w:line="300" w:before="0" w:after="0"/>
              <w:ind w:left="0" w:right="0" w:firstLine="562"/>
              <w:jc w:val="left"/>
              <w:rPr>
                <w:b/>
              </w:rPr>
            </w:pPr>
            <w:r>
              <w:rPr>
                <w:b/>
              </w:rPr>
              <w:t>Diluted</w:t>
            </w:r>
          </w:p>
        </w:tc>
        <w:tc>
          <w:tcPr>
            <w:tcW w:w="61"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2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1.53</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23"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0.95</w:t>
            </w:r>
          </w:p>
        </w:tc>
        <w:tc>
          <w:tcPr>
            <w:tcW w:w="79"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xml:space="preserve">  </w:t>
      </w:r>
      <w:bookmarkStart w:id="22" w:name="zf2379de51c3d4d35bc5b080f5e2e305c"/>
      <w:bookmarkEnd w:id="22"/>
    </w:p>
    <w:tbl>
      <w:tblPr>
        <w:tblW w:w="7310" w:type="dxa"/>
        <w:jc w:val="left"/>
        <w:tblInd w:w="0" w:type="dxa"/>
        <w:tblLayout w:type="fixed"/>
        <w:tblCellMar>
          <w:top w:w="0" w:type="dxa"/>
          <w:left w:w="0" w:type="dxa"/>
          <w:bottom w:w="0" w:type="dxa"/>
          <w:right w:w="0" w:type="dxa"/>
        </w:tblCellMar>
      </w:tblPr>
      <w:tblGrid>
        <w:gridCol w:w="7310"/>
      </w:tblGrid>
      <w:tr>
        <w:trPr/>
        <w:tc>
          <w:tcPr>
            <w:tcW w:w="7310" w:type="dxa"/>
            <w:tcBorders/>
            <w:vAlign w:val="center"/>
          </w:tcPr>
          <w:p>
            <w:pPr>
              <w:pStyle w:val="TableContents"/>
              <w:bidi w:val="0"/>
              <w:spacing w:lineRule="auto" w:line="300" w:before="0" w:after="0"/>
              <w:jc w:val="center"/>
              <w:rPr>
                <w:b/>
              </w:rPr>
            </w:pPr>
            <w:r>
              <w:rPr>
                <w:b/>
              </w:rPr>
              <w:t>TOWER SEMICONDUCTOR LTD. AND SUBSIDIARIES</w:t>
            </w:r>
          </w:p>
        </w:tc>
      </w:tr>
      <w:tr>
        <w:trPr/>
        <w:tc>
          <w:tcPr>
            <w:tcW w:w="7310" w:type="dxa"/>
            <w:tcBorders/>
            <w:vAlign w:val="center"/>
          </w:tcPr>
          <w:p>
            <w:pPr>
              <w:pStyle w:val="TableContents"/>
              <w:bidi w:val="0"/>
              <w:spacing w:lineRule="auto" w:line="300" w:before="0" w:after="0"/>
              <w:jc w:val="center"/>
              <w:rPr>
                <w:b/>
              </w:rPr>
            </w:pPr>
            <w:r>
              <w:rPr>
                <w:b/>
              </w:rPr>
              <w:t>CONSOLIDATED SOURCES AND USES REPORT (UNAUDITED)</w:t>
            </w:r>
          </w:p>
        </w:tc>
      </w:tr>
      <w:tr>
        <w:trPr/>
        <w:tc>
          <w:tcPr>
            <w:tcW w:w="7310"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3" w:name="z6c4e39bf8cc34ad09f0cea4ea1673226"/>
      <w:bookmarkStart w:id="24" w:name="z6c4e39bf8cc34ad09f0cea4ea1673226"/>
      <w:bookmarkEnd w:id="24"/>
    </w:p>
    <w:tbl>
      <w:tblPr>
        <w:tblW w:w="11626" w:type="dxa"/>
        <w:jc w:val="left"/>
        <w:tblInd w:w="0" w:type="dxa"/>
        <w:tblLayout w:type="fixed"/>
        <w:tblCellMar>
          <w:top w:w="0" w:type="dxa"/>
          <w:left w:w="0" w:type="dxa"/>
          <w:bottom w:w="0" w:type="dxa"/>
          <w:right w:w="0" w:type="dxa"/>
        </w:tblCellMar>
      </w:tblPr>
      <w:tblGrid>
        <w:gridCol w:w="8101"/>
        <w:gridCol w:w="60"/>
        <w:gridCol w:w="140"/>
        <w:gridCol w:w="875"/>
        <w:gridCol w:w="95"/>
        <w:gridCol w:w="60"/>
        <w:gridCol w:w="140"/>
        <w:gridCol w:w="875"/>
        <w:gridCol w:w="95"/>
        <w:gridCol w:w="60"/>
        <w:gridCol w:w="140"/>
        <w:gridCol w:w="875"/>
        <w:gridCol w:w="110"/>
      </w:tblGrid>
      <w:tr>
        <w:trPr/>
        <w:tc>
          <w:tcPr>
            <w:tcW w:w="8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5"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110" w:type="dxa"/>
            <w:tcBorders/>
            <w:vAlign w:val="bottom"/>
          </w:tcPr>
          <w:p>
            <w:pPr>
              <w:pStyle w:val="TableContents"/>
              <w:bidi w:val="0"/>
              <w:spacing w:before="0" w:after="283"/>
              <w:jc w:val="left"/>
              <w:rPr/>
            </w:pPr>
            <w:r>
              <w:rPr/>
              <w:t> </w:t>
            </w:r>
          </w:p>
        </w:tc>
      </w:tr>
      <w:tr>
        <w:trPr/>
        <w:tc>
          <w:tcPr>
            <w:tcW w:w="8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81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8101" w:type="dxa"/>
            <w:tcBorders/>
            <w:shd w:fill="CCEEFF" w:val="clear"/>
            <w:vAlign w:val="bottom"/>
          </w:tcPr>
          <w:p>
            <w:pPr>
              <w:pStyle w:val="TableContents"/>
              <w:bidi w:val="0"/>
              <w:spacing w:lineRule="auto" w:line="300" w:before="0" w:after="0"/>
              <w:jc w:val="left"/>
              <w:rPr>
                <w:b/>
              </w:rPr>
            </w:pPr>
            <w:r>
              <w:rPr>
                <w:b/>
              </w:rPr>
              <w:t>CASH AND CASH EQUIVALENTS - BEGINNING OF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75" w:type="dxa"/>
            <w:tcBorders/>
            <w:shd w:fill="CCEEFF" w:val="clear"/>
            <w:vAlign w:val="bottom"/>
          </w:tcPr>
          <w:p>
            <w:pPr>
              <w:pStyle w:val="TableContents"/>
              <w:bidi w:val="0"/>
              <w:spacing w:lineRule="auto" w:line="300" w:before="0" w:after="0"/>
              <w:jc w:val="right"/>
              <w:rPr>
                <w:b/>
              </w:rPr>
            </w:pPr>
            <w:r>
              <w:rPr>
                <w:b/>
              </w:rPr>
              <w:t>243,309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75" w:type="dxa"/>
            <w:tcBorders/>
            <w:shd w:fill="CCEEFF" w:val="clear"/>
            <w:vAlign w:val="bottom"/>
          </w:tcPr>
          <w:p>
            <w:pPr>
              <w:pStyle w:val="TableContents"/>
              <w:bidi w:val="0"/>
              <w:spacing w:lineRule="auto" w:line="300" w:before="0" w:after="0"/>
              <w:jc w:val="right"/>
              <w:rPr>
                <w:b/>
              </w:rPr>
            </w:pPr>
            <w:r>
              <w:rPr>
                <w:b/>
              </w:rPr>
              <w:t>235,369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b/>
              </w:rPr>
            </w:pPr>
            <w:r>
              <w:rPr>
                <w:b/>
              </w:rPr>
              <w:t>$</w:t>
            </w:r>
          </w:p>
        </w:tc>
        <w:tc>
          <w:tcPr>
            <w:tcW w:w="875" w:type="dxa"/>
            <w:tcBorders/>
            <w:shd w:fill="CCEEFF" w:val="clear"/>
            <w:vAlign w:val="bottom"/>
          </w:tcPr>
          <w:p>
            <w:pPr>
              <w:pStyle w:val="TableContents"/>
              <w:bidi w:val="0"/>
              <w:spacing w:lineRule="auto" w:line="300" w:before="0" w:after="0"/>
              <w:jc w:val="right"/>
              <w:rPr>
                <w:b/>
              </w:rPr>
            </w:pPr>
            <w:r>
              <w:rPr>
                <w:b/>
              </w:rPr>
              <w:t>274,818</w:t>
            </w:r>
          </w:p>
        </w:tc>
        <w:tc>
          <w:tcPr>
            <w:tcW w:w="110" w:type="dxa"/>
            <w:tcBorders/>
            <w:shd w:fill="CCEEFF" w:val="clear"/>
            <w:vAlign w:val="bottom"/>
          </w:tcPr>
          <w:p>
            <w:pPr>
              <w:pStyle w:val="TableContents"/>
              <w:bidi w:val="0"/>
              <w:spacing w:before="0" w:after="283"/>
              <w:jc w:val="left"/>
              <w:rPr/>
            </w:pPr>
            <w:r>
              <w:rPr/>
              <w:t> </w:t>
            </w:r>
          </w:p>
        </w:tc>
      </w:tr>
      <w:tr>
        <w:trPr/>
        <w:tc>
          <w:tcPr>
            <w:tcW w:w="8101" w:type="dxa"/>
            <w:tcBorders/>
            <w:vAlign w:val="bottom"/>
          </w:tcPr>
          <w:p>
            <w:pPr>
              <w:pStyle w:val="TableContents"/>
              <w:bidi w:val="0"/>
              <w:spacing w:lineRule="auto" w:line="300" w:before="0" w:after="0"/>
              <w:ind w:left="0" w:right="0" w:firstLine="281"/>
              <w:jc w:val="left"/>
              <w:rPr>
                <w:b/>
              </w:rPr>
            </w:pPr>
            <w:r>
              <w:rPr>
                <w:b/>
              </w:rPr>
              <w:t>Net cash provided by operating activities, excluding customers' advances,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179,499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224,853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132,194</w:t>
            </w:r>
          </w:p>
        </w:tc>
        <w:tc>
          <w:tcPr>
            <w:tcW w:w="110" w:type="dxa"/>
            <w:tcBorders/>
            <w:vAlign w:val="bottom"/>
          </w:tcPr>
          <w:p>
            <w:pPr>
              <w:pStyle w:val="TableContents"/>
              <w:bidi w:val="0"/>
              <w:spacing w:before="0" w:after="283"/>
              <w:jc w:val="left"/>
              <w:rPr/>
            </w:pPr>
            <w:r>
              <w:rPr/>
              <w:t> </w:t>
            </w:r>
          </w:p>
        </w:tc>
      </w:tr>
      <w:tr>
        <w:trPr/>
        <w:tc>
          <w:tcPr>
            <w:tcW w:w="8101" w:type="dxa"/>
            <w:tcBorders/>
            <w:shd w:fill="CCEEFF" w:val="clear"/>
            <w:vAlign w:val="bottom"/>
          </w:tcPr>
          <w:p>
            <w:pPr>
              <w:pStyle w:val="TableContents"/>
              <w:bidi w:val="0"/>
              <w:spacing w:lineRule="auto" w:line="300" w:before="0" w:after="0"/>
              <w:ind w:left="0" w:right="0" w:firstLine="281"/>
              <w:jc w:val="left"/>
              <w:rPr>
                <w:b/>
              </w:rPr>
            </w:pPr>
            <w:r>
              <w:rPr>
                <w:b/>
              </w:rPr>
              <w:t>Increase (decrease) in customers' advances,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(2,534</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285,116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(9,595</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8101" w:type="dxa"/>
            <w:tcBorders/>
            <w:vAlign w:val="bottom"/>
          </w:tcPr>
          <w:p>
            <w:pPr>
              <w:pStyle w:val="TableContents"/>
              <w:bidi w:val="0"/>
              <w:spacing w:lineRule="auto" w:line="300" w:before="0" w:after="0"/>
              <w:ind w:left="0" w:right="0" w:firstLine="281"/>
              <w:jc w:val="left"/>
              <w:rPr>
                <w:b/>
              </w:rPr>
            </w:pPr>
            <w:r>
              <w:rPr>
                <w:b/>
              </w:rPr>
              <w:t>Investments in property and equipment,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(186,585</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(156,368</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(110,682</w:t>
            </w:r>
          </w:p>
        </w:tc>
        <w:tc>
          <w:tcPr>
            <w:tcW w:w="110" w:type="dxa"/>
            <w:tcBorders/>
            <w:vAlign w:val="bottom"/>
          </w:tcPr>
          <w:p>
            <w:pPr>
              <w:pStyle w:val="TableContents"/>
              <w:bidi w:val="0"/>
              <w:spacing w:lineRule="auto" w:line="300" w:before="0" w:after="0"/>
              <w:jc w:val="left"/>
              <w:rPr>
                <w:b/>
              </w:rPr>
            </w:pPr>
            <w:r>
              <w:rPr>
                <w:b/>
              </w:rPr>
              <w:t>)</w:t>
            </w:r>
          </w:p>
        </w:tc>
      </w:tr>
      <w:tr>
        <w:trPr/>
        <w:tc>
          <w:tcPr>
            <w:tcW w:w="8101" w:type="dxa"/>
            <w:tcBorders/>
            <w:shd w:fill="CCEEFF" w:val="clear"/>
            <w:vAlign w:val="bottom"/>
          </w:tcPr>
          <w:p>
            <w:pPr>
              <w:pStyle w:val="TableContents"/>
              <w:bidi w:val="0"/>
              <w:spacing w:lineRule="auto" w:line="300" w:before="0" w:after="0"/>
              <w:ind w:left="0" w:right="0" w:firstLine="281"/>
              <w:jc w:val="left"/>
              <w:rPr>
                <w:b/>
              </w:rPr>
            </w:pPr>
            <w:r>
              <w:rPr>
                <w:b/>
              </w:rPr>
              <w:t>Debt received (repaid),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(11,112</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(4,581</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5,104</w:t>
            </w:r>
          </w:p>
        </w:tc>
        <w:tc>
          <w:tcPr>
            <w:tcW w:w="110" w:type="dxa"/>
            <w:tcBorders/>
            <w:shd w:fill="CCEEFF" w:val="clear"/>
            <w:vAlign w:val="bottom"/>
          </w:tcPr>
          <w:p>
            <w:pPr>
              <w:pStyle w:val="TableContents"/>
              <w:bidi w:val="0"/>
              <w:spacing w:before="0" w:after="283"/>
              <w:jc w:val="left"/>
              <w:rPr/>
            </w:pPr>
            <w:r>
              <w:rPr/>
              <w:t> </w:t>
            </w:r>
          </w:p>
        </w:tc>
      </w:tr>
      <w:tr>
        <w:trPr/>
        <w:tc>
          <w:tcPr>
            <w:tcW w:w="8101" w:type="dxa"/>
            <w:tcBorders/>
            <w:vAlign w:val="bottom"/>
          </w:tcPr>
          <w:p>
            <w:pPr>
              <w:pStyle w:val="TableContents"/>
              <w:bidi w:val="0"/>
              <w:spacing w:lineRule="auto" w:line="300" w:before="0" w:after="0"/>
              <w:ind w:left="0" w:right="0" w:firstLine="281"/>
              <w:jc w:val="left"/>
              <w:rPr>
                <w:b/>
              </w:rPr>
            </w:pPr>
            <w:r>
              <w:rPr>
                <w:b/>
              </w:rPr>
              <w:t>Effect of foreign currency exchange rate change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(1,389</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(1,080</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1,454</w:t>
            </w:r>
          </w:p>
        </w:tc>
        <w:tc>
          <w:tcPr>
            <w:tcW w:w="110" w:type="dxa"/>
            <w:tcBorders/>
            <w:vAlign w:val="bottom"/>
          </w:tcPr>
          <w:p>
            <w:pPr>
              <w:pStyle w:val="TableContents"/>
              <w:bidi w:val="0"/>
              <w:spacing w:before="0" w:after="283"/>
              <w:jc w:val="left"/>
              <w:rPr/>
            </w:pPr>
            <w:r>
              <w:rPr/>
              <w:t> </w:t>
            </w:r>
          </w:p>
        </w:tc>
      </w:tr>
      <w:tr>
        <w:trPr/>
        <w:tc>
          <w:tcPr>
            <w:tcW w:w="8101" w:type="dxa"/>
            <w:tcBorders/>
            <w:shd w:fill="CCEEFF" w:val="clear"/>
            <w:vAlign w:val="bottom"/>
          </w:tcPr>
          <w:p>
            <w:pPr>
              <w:pStyle w:val="TableContents"/>
              <w:bidi w:val="0"/>
              <w:spacing w:lineRule="auto" w:line="300" w:before="0" w:after="0"/>
              <w:ind w:left="0" w:right="0" w:firstLine="281"/>
              <w:jc w:val="left"/>
              <w:rPr>
                <w:b/>
              </w:rPr>
            </w:pPr>
            <w:r>
              <w:rPr>
                <w:b/>
              </w:rPr>
              <w:t>Proceeds from (investments in) deposits,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(340,000</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(28,000</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8101" w:type="dxa"/>
            <w:tcBorders/>
            <w:vAlign w:val="bottom"/>
          </w:tcPr>
          <w:p>
            <w:pPr>
              <w:pStyle w:val="TableContents"/>
              <w:bidi w:val="0"/>
              <w:spacing w:lineRule="auto" w:line="300" w:before="0" w:after="0"/>
              <w:jc w:val="left"/>
              <w:rPr>
                <w:b/>
              </w:rPr>
            </w:pPr>
            <w:r>
              <w:rPr>
                <w:b/>
              </w:rPr>
              <w:t>CASH AND CASH EQUIVALENTS - END OF PERIOD</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231,188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243,309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265,293</w:t>
            </w:r>
          </w:p>
        </w:tc>
        <w:tc>
          <w:tcPr>
            <w:tcW w:w="11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xml:space="preserve">  </w:t>
      </w:r>
      <w:bookmarkStart w:id="25" w:name="zb6b47820801544fb832686dd01e61714"/>
      <w:bookmarkEnd w:id="25"/>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b/>
              </w:rPr>
            </w:pPr>
            <w:r>
              <w:rPr>
                <w:b/>
              </w:rPr>
              <w:t>TOWER SEMICONDUCTOR LTD. AND SUBSIDIARIES</w:t>
            </w:r>
          </w:p>
        </w:tc>
      </w:tr>
      <w:tr>
        <w:trPr/>
        <w:tc>
          <w:tcPr>
            <w:tcW w:w="9140" w:type="dxa"/>
            <w:tcBorders/>
            <w:vAlign w:val="center"/>
          </w:tcPr>
          <w:p>
            <w:pPr>
              <w:pStyle w:val="TableContents"/>
              <w:bidi w:val="0"/>
              <w:spacing w:lineRule="auto" w:line="300" w:before="0" w:after="0"/>
              <w:jc w:val="center"/>
              <w:rPr>
                <w:b/>
              </w:rPr>
            </w:pPr>
            <w:r>
              <w:rPr>
                <w:b/>
              </w:rPr>
              <w:t>CONDENSED CONSOLIDATED STATEMENTS OF CASH FLOWS (UNAUDITED)</w:t>
            </w:r>
          </w:p>
        </w:tc>
      </w:tr>
      <w:tr>
        <w:trPr/>
        <w:tc>
          <w:tcPr>
            <w:tcW w:w="9140" w:type="dxa"/>
            <w:tcBorders/>
            <w:vAlign w:val="center"/>
          </w:tcPr>
          <w:p>
            <w:pPr>
              <w:pStyle w:val="TableContents"/>
              <w:bidi w:val="0"/>
              <w:spacing w:lineRule="auto" w:line="300" w:before="0" w:after="0"/>
              <w:jc w:val="center"/>
              <w:rPr>
                <w:b/>
              </w:rPr>
            </w:pPr>
            <w:r>
              <w:rPr>
                <w:b/>
              </w:rPr>
              <w:t>(dollars in thousands)</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26" w:name="z10a85496ab5e4029afe167083bbf2151"/>
      <w:bookmarkStart w:id="27" w:name="z10a85496ab5e4029afe167083bbf2151"/>
      <w:bookmarkEnd w:id="27"/>
    </w:p>
    <w:tbl>
      <w:tblPr>
        <w:tblW w:w="9770" w:type="dxa"/>
        <w:jc w:val="left"/>
        <w:tblInd w:w="0" w:type="dxa"/>
        <w:tblLayout w:type="fixed"/>
        <w:tblCellMar>
          <w:top w:w="0" w:type="dxa"/>
          <w:left w:w="0" w:type="dxa"/>
          <w:bottom w:w="0" w:type="dxa"/>
          <w:right w:w="0" w:type="dxa"/>
        </w:tblCellMar>
      </w:tblPr>
      <w:tblGrid>
        <w:gridCol w:w="7415"/>
        <w:gridCol w:w="60"/>
        <w:gridCol w:w="140"/>
        <w:gridCol w:w="875"/>
        <w:gridCol w:w="95"/>
        <w:gridCol w:w="60"/>
        <w:gridCol w:w="140"/>
        <w:gridCol w:w="875"/>
        <w:gridCol w:w="110"/>
      </w:tblGrid>
      <w:tr>
        <w:trPr/>
        <w:tc>
          <w:tcPr>
            <w:tcW w:w="7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w:t>
            </w:r>
          </w:p>
        </w:tc>
        <w:tc>
          <w:tcPr>
            <w:tcW w:w="110" w:type="dxa"/>
            <w:tcBorders/>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jc w:val="left"/>
              <w:rPr>
                <w:b/>
              </w:rPr>
            </w:pPr>
            <w:r>
              <w:rPr>
                <w:b/>
              </w:rPr>
              <w:t>CASH FLOWS - OPERATING ACTIVITIES</w:t>
            </w:r>
          </w:p>
        </w:tc>
        <w:tc>
          <w:tcPr>
            <w:tcW w:w="60" w:type="dxa"/>
            <w:tcBorders/>
            <w:shd w:fill="CCEEFF" w:val="clear"/>
            <w:vAlign w:val="bottom"/>
          </w:tcPr>
          <w:p>
            <w:pPr>
              <w:pStyle w:val="TableContents"/>
              <w:bidi w:val="0"/>
              <w:spacing w:before="0" w:after="283"/>
              <w:jc w:val="left"/>
              <w:rPr/>
            </w:pPr>
            <w:r>
              <w:rPr/>
              <w:t> </w:t>
            </w:r>
          </w:p>
        </w:tc>
        <w:tc>
          <w:tcPr>
            <w:tcW w:w="10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261"/>
              <w:jc w:val="left"/>
              <w:rPr>
                <w:b/>
              </w:rPr>
            </w:pPr>
            <w:r>
              <w:rPr>
                <w:b/>
              </w:rPr>
              <w:t>Net profit for the period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875" w:type="dxa"/>
            <w:tcBorders/>
            <w:vAlign w:val="bottom"/>
          </w:tcPr>
          <w:p>
            <w:pPr>
              <w:pStyle w:val="TableContents"/>
              <w:bidi w:val="0"/>
              <w:spacing w:lineRule="auto" w:line="300" w:before="0" w:after="0"/>
              <w:jc w:val="right"/>
              <w:rPr>
                <w:b/>
              </w:rPr>
            </w:pPr>
            <w:r>
              <w:rPr>
                <w:b/>
              </w:rPr>
              <w:t>90,619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b/>
              </w:rPr>
            </w:pPr>
            <w:r>
              <w:rPr>
                <w:b/>
              </w:rPr>
              <w:t>$</w:t>
            </w:r>
          </w:p>
        </w:tc>
        <w:tc>
          <w:tcPr>
            <w:tcW w:w="875" w:type="dxa"/>
            <w:tcBorders/>
            <w:vAlign w:val="bottom"/>
          </w:tcPr>
          <w:p>
            <w:pPr>
              <w:pStyle w:val="TableContents"/>
              <w:bidi w:val="0"/>
              <w:spacing w:lineRule="auto" w:line="300" w:before="0" w:after="0"/>
              <w:jc w:val="right"/>
              <w:rPr>
                <w:b/>
              </w:rPr>
            </w:pPr>
            <w:r>
              <w:rPr>
                <w:b/>
              </w:rPr>
              <w:t>45,592</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261"/>
              <w:jc w:val="left"/>
              <w:rPr>
                <w:b/>
              </w:rPr>
            </w:pPr>
            <w:r>
              <w:rPr>
                <w:b/>
              </w:rPr>
              <w:t>Adjustments to reconcile net profit for the period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522"/>
              <w:jc w:val="left"/>
              <w:rPr>
                <w:b/>
              </w:rPr>
            </w:pPr>
            <w:r>
              <w:rPr>
                <w:b/>
              </w:rPr>
              <w:t>to net cash provided by operating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783"/>
              <w:jc w:val="left"/>
              <w:rPr>
                <w:b/>
              </w:rPr>
            </w:pPr>
            <w:r>
              <w:rPr>
                <w:b/>
              </w:rPr>
              <w:t>Income and expense items not involving cash flows: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1044"/>
              <w:jc w:val="left"/>
              <w:rPr>
                <w:b/>
              </w:rPr>
            </w:pPr>
            <w:r>
              <w:rPr>
                <w:b/>
              </w:rPr>
              <w:t>Depreciation and amortization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83,574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74,636</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1044"/>
              <w:jc w:val="left"/>
              <w:rPr>
                <w:b/>
              </w:rPr>
            </w:pPr>
            <w:r>
              <w:rPr>
                <w:b/>
              </w:rPr>
              <w:t>Other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4,130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3,559</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783"/>
              <w:jc w:val="left"/>
              <w:rPr>
                <w:b/>
              </w:rPr>
            </w:pPr>
            <w:r>
              <w:rPr>
                <w:b/>
              </w:rPr>
              <w:t>Changes in assets and liabilities,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1044"/>
              <w:jc w:val="left"/>
              <w:rPr>
                <w:b/>
              </w:rPr>
            </w:pPr>
            <w:r>
              <w:rPr>
                <w:b/>
              </w:rPr>
              <w:t>Trade accounts receivable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10,620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4,972</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1044"/>
              <w:jc w:val="left"/>
              <w:rPr>
                <w:b/>
              </w:rPr>
            </w:pPr>
            <w:r>
              <w:rPr>
                <w:b/>
              </w:rPr>
              <w:t>Other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(724</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(5,002</w:t>
            </w:r>
          </w:p>
        </w:tc>
        <w:tc>
          <w:tcPr>
            <w:tcW w:w="110" w:type="dxa"/>
            <w:tcBorders/>
            <w:vAlign w:val="bottom"/>
          </w:tcPr>
          <w:p>
            <w:pPr>
              <w:pStyle w:val="TableContents"/>
              <w:bidi w:val="0"/>
              <w:spacing w:lineRule="auto" w:line="300" w:before="0" w:after="0"/>
              <w:jc w:val="left"/>
              <w:rPr>
                <w:b/>
              </w:rPr>
            </w:pPr>
            <w:r>
              <w:rPr>
                <w:b/>
              </w:rPr>
              <w:t>)</w:t>
            </w:r>
          </w:p>
        </w:tc>
      </w:tr>
      <w:tr>
        <w:trPr/>
        <w:tc>
          <w:tcPr>
            <w:tcW w:w="7415" w:type="dxa"/>
            <w:tcBorders/>
            <w:shd w:fill="CCEEFF" w:val="clear"/>
            <w:vAlign w:val="bottom"/>
          </w:tcPr>
          <w:p>
            <w:pPr>
              <w:pStyle w:val="TableContents"/>
              <w:bidi w:val="0"/>
              <w:spacing w:lineRule="auto" w:line="300" w:before="0" w:after="0"/>
              <w:ind w:left="0" w:right="0" w:firstLine="1044"/>
              <w:jc w:val="left"/>
              <w:rPr>
                <w:b/>
              </w:rPr>
            </w:pPr>
            <w:r>
              <w:rPr>
                <w:b/>
              </w:rPr>
              <w:t>Inventories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9,088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(7,745</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7415" w:type="dxa"/>
            <w:tcBorders/>
            <w:vAlign w:val="bottom"/>
          </w:tcPr>
          <w:p>
            <w:pPr>
              <w:pStyle w:val="TableContents"/>
              <w:bidi w:val="0"/>
              <w:spacing w:lineRule="auto" w:line="300" w:before="0" w:after="0"/>
              <w:ind w:left="0" w:right="0" w:firstLine="1044"/>
              <w:jc w:val="left"/>
              <w:rPr>
                <w:b/>
              </w:rPr>
            </w:pPr>
            <w:r>
              <w:rPr>
                <w:b/>
              </w:rPr>
              <w:t>Other long term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2,921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1044"/>
              <w:jc w:val="left"/>
              <w:rPr>
                <w:b/>
              </w:rPr>
            </w:pPr>
            <w:r>
              <w:rPr>
                <w:b/>
              </w:rPr>
              <w:t>Trade accounts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(11,624</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8,218</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1044"/>
              <w:jc w:val="left"/>
              <w:rPr>
                <w:b/>
              </w:rPr>
            </w:pPr>
            <w:r>
              <w:rPr>
                <w:b/>
              </w:rPr>
              <w:t>Deferred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(18,780</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6,264</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1044"/>
              <w:jc w:val="left"/>
              <w:rPr>
                <w:b/>
              </w:rPr>
            </w:pPr>
            <w:r>
              <w:rPr>
                <w:b/>
              </w:rPr>
              <w:t>Other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3,981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b/>
              </w:rPr>
            </w:pPr>
            <w:r>
              <w:rPr>
                <w:b/>
              </w:rPr>
              <w:t>5,580</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1044"/>
              <w:jc w:val="left"/>
              <w:rPr>
                <w:b/>
              </w:rPr>
            </w:pPr>
            <w:r>
              <w:rPr>
                <w:b/>
              </w:rPr>
              <w:t>Other long-term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5,694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86</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1044"/>
              <w:jc w:val="left"/>
              <w:rPr>
                <w:b/>
              </w:rPr>
            </w:pPr>
            <w:r>
              <w:rPr>
                <w:b/>
              </w:rPr>
              <w:t>Decrease in customers' advances,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(2,534</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(13,561</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7415" w:type="dxa"/>
            <w:tcBorders/>
            <w:vAlign w:val="bottom"/>
          </w:tcPr>
          <w:p>
            <w:pPr>
              <w:pStyle w:val="TableContents"/>
              <w:bidi w:val="0"/>
              <w:spacing w:lineRule="auto" w:line="300" w:before="0" w:after="0"/>
              <w:ind w:left="0" w:right="0" w:firstLine="1305"/>
              <w:jc w:val="left"/>
              <w:rPr>
                <w:b/>
              </w:rPr>
            </w:pPr>
            <w:r>
              <w:rPr>
                <w:b/>
              </w:rPr>
              <w:t>Net cash provided by operating activities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176,965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122,599</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jc w:val="left"/>
              <w:rPr>
                <w:b/>
              </w:rPr>
            </w:pPr>
            <w:r>
              <w:rPr>
                <w:b/>
              </w:rPr>
              <w:t>CASH FLOWS - INVESTING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261"/>
              <w:jc w:val="left"/>
              <w:rPr>
                <w:b/>
              </w:rPr>
            </w:pPr>
            <w:r>
              <w:rPr>
                <w:b/>
              </w:rPr>
              <w:t>Investments in property and equipment,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(186,585</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(110,682</w:t>
            </w:r>
          </w:p>
        </w:tc>
        <w:tc>
          <w:tcPr>
            <w:tcW w:w="110" w:type="dxa"/>
            <w:tcBorders/>
            <w:vAlign w:val="bottom"/>
          </w:tcPr>
          <w:p>
            <w:pPr>
              <w:pStyle w:val="TableContents"/>
              <w:bidi w:val="0"/>
              <w:spacing w:lineRule="auto" w:line="300" w:before="0" w:after="0"/>
              <w:jc w:val="left"/>
              <w:rPr>
                <w:b/>
              </w:rPr>
            </w:pPr>
            <w:r>
              <w:rPr>
                <w:b/>
              </w:rPr>
              <w:t>)</w:t>
            </w:r>
          </w:p>
        </w:tc>
      </w:tr>
      <w:tr>
        <w:trPr/>
        <w:tc>
          <w:tcPr>
            <w:tcW w:w="7415" w:type="dxa"/>
            <w:tcBorders/>
            <w:shd w:fill="CCEEFF" w:val="clear"/>
            <w:vAlign w:val="bottom"/>
          </w:tcPr>
          <w:p>
            <w:pPr>
              <w:pStyle w:val="TableContents"/>
              <w:bidi w:val="0"/>
              <w:spacing w:lineRule="auto" w:line="300" w:before="0" w:after="0"/>
              <w:ind w:left="0" w:right="0" w:firstLine="261"/>
              <w:jc w:val="left"/>
              <w:rPr>
                <w:b/>
              </w:rPr>
            </w:pPr>
            <w:r>
              <w:rPr>
                <w:b/>
              </w:rPr>
              <w:t>Proceeds from (investments in) deposits</w:t>
            </w:r>
            <w:r>
              <w:rPr>
                <w:b/>
                <w:strike/>
              </w:rPr>
              <w:t>,</w:t>
            </w:r>
            <w:r>
              <w:rPr>
                <w:b/>
              </w:rPr>
              <w:t xml:space="preserv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10,000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(28,000</w:t>
            </w:r>
          </w:p>
        </w:tc>
        <w:tc>
          <w:tcPr>
            <w:tcW w:w="110" w:type="dxa"/>
            <w:tcBorders/>
            <w:shd w:fill="CCEEFF" w:val="clear"/>
            <w:vAlign w:val="bottom"/>
          </w:tcPr>
          <w:p>
            <w:pPr>
              <w:pStyle w:val="TableContents"/>
              <w:bidi w:val="0"/>
              <w:spacing w:lineRule="auto" w:line="300" w:before="0" w:after="0"/>
              <w:jc w:val="left"/>
              <w:rPr>
                <w:b/>
              </w:rPr>
            </w:pPr>
            <w:r>
              <w:rPr>
                <w:b/>
              </w:rPr>
              <w:t>)</w:t>
            </w:r>
          </w:p>
        </w:tc>
      </w:tr>
      <w:tr>
        <w:trPr/>
        <w:tc>
          <w:tcPr>
            <w:tcW w:w="7415" w:type="dxa"/>
            <w:tcBorders/>
            <w:vAlign w:val="bottom"/>
          </w:tcPr>
          <w:p>
            <w:pPr>
              <w:pStyle w:val="TableContents"/>
              <w:bidi w:val="0"/>
              <w:spacing w:lineRule="auto" w:line="300" w:before="0" w:after="0"/>
              <w:ind w:left="0" w:right="0" w:firstLine="1305"/>
              <w:jc w:val="left"/>
              <w:rPr>
                <w:b/>
              </w:rPr>
            </w:pPr>
            <w:r>
              <w:rPr>
                <w:b/>
              </w:rPr>
              <w:t>Net cash used in investing activities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(176,585</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(138,682</w:t>
            </w:r>
          </w:p>
        </w:tc>
        <w:tc>
          <w:tcPr>
            <w:tcW w:w="110" w:type="dxa"/>
            <w:tcBorders/>
            <w:vAlign w:val="bottom"/>
          </w:tcPr>
          <w:p>
            <w:pPr>
              <w:pStyle w:val="TableContents"/>
              <w:bidi w:val="0"/>
              <w:spacing w:lineRule="auto" w:line="300" w:before="0" w:after="0"/>
              <w:jc w:val="left"/>
              <w:rPr>
                <w:b/>
              </w:rPr>
            </w:pPr>
            <w:r>
              <w:rPr>
                <w:b/>
              </w:rPr>
              <w:t>)</w:t>
            </w:r>
          </w:p>
        </w:tc>
      </w:tr>
      <w:tr>
        <w:trPr/>
        <w:tc>
          <w:tcPr>
            <w:tcW w:w="7415" w:type="dxa"/>
            <w:tcBorders/>
            <w:shd w:fill="CCEEFF" w:val="clear"/>
            <w:vAlign w:val="bottom"/>
          </w:tcPr>
          <w:p>
            <w:pPr>
              <w:pStyle w:val="TableContents"/>
              <w:bidi w:val="0"/>
              <w:spacing w:lineRule="auto" w:line="300" w:before="0" w:after="0"/>
              <w:jc w:val="left"/>
              <w:rPr>
                <w:b/>
              </w:rPr>
            </w:pPr>
            <w:r>
              <w:rPr>
                <w:b/>
              </w:rPr>
              <w:t>CASH FLOWS - FINANCING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ind w:left="0" w:right="0" w:firstLine="261"/>
              <w:jc w:val="left"/>
              <w:rPr>
                <w:b/>
              </w:rPr>
            </w:pPr>
            <w:r>
              <w:rPr>
                <w:b/>
              </w:rPr>
              <w:t>Debt received (repaid), net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(11,112</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5,104</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lineRule="auto" w:line="300" w:before="0" w:after="0"/>
              <w:ind w:left="0" w:right="0" w:firstLine="1305"/>
              <w:jc w:val="left"/>
              <w:rPr>
                <w:b/>
              </w:rPr>
            </w:pPr>
            <w:r>
              <w:rPr>
                <w:b/>
              </w:rPr>
              <w:t>Net cash provided by (used in) financing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(11,112</w:t>
            </w:r>
          </w:p>
        </w:tc>
        <w:tc>
          <w:tcPr>
            <w:tcW w:w="95"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5,104</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jc w:val="left"/>
              <w:rPr>
                <w:b/>
              </w:rPr>
            </w:pPr>
            <w:r>
              <w:rPr>
                <w:b/>
              </w:rPr>
              <w:t>EFFECT OF FOREIGN CURRENCY EXCHANGE RATE CHANGE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(1,389</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1,454</w:t>
            </w:r>
          </w:p>
        </w:tc>
        <w:tc>
          <w:tcPr>
            <w:tcW w:w="110" w:type="dxa"/>
            <w:tcBorders/>
            <w:vAlign w:val="bottom"/>
          </w:tcPr>
          <w:p>
            <w:pPr>
              <w:pStyle w:val="TableContents"/>
              <w:bidi w:val="0"/>
              <w:spacing w:before="0" w:after="283"/>
              <w:jc w:val="left"/>
              <w:rPr/>
            </w:pPr>
            <w:r>
              <w:rPr/>
              <w:t> </w:t>
            </w:r>
          </w:p>
        </w:tc>
      </w:tr>
      <w:tr>
        <w:trPr/>
        <w:tc>
          <w:tcPr>
            <w:tcW w:w="74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jc w:val="left"/>
              <w:rPr>
                <w:b/>
              </w:rPr>
            </w:pPr>
            <w:r>
              <w:rPr>
                <w:b/>
              </w:rPr>
              <w:t>DECREASE IN CASH AND CASH EQUIVALENTS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(12,121</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b/>
              </w:rPr>
            </w:pPr>
            <w:r>
              <w:rPr>
                <w:b/>
              </w:rPr>
              <w:t>(9,525</w:t>
            </w:r>
          </w:p>
        </w:tc>
        <w:tc>
          <w:tcPr>
            <w:tcW w:w="110" w:type="dxa"/>
            <w:tcBorders/>
            <w:vAlign w:val="bottom"/>
          </w:tcPr>
          <w:p>
            <w:pPr>
              <w:pStyle w:val="TableContents"/>
              <w:bidi w:val="0"/>
              <w:spacing w:lineRule="auto" w:line="300" w:before="0" w:after="0"/>
              <w:jc w:val="left"/>
              <w:rPr>
                <w:b/>
              </w:rPr>
            </w:pPr>
            <w:r>
              <w:rPr>
                <w:b/>
              </w:rPr>
              <w:t>)</w:t>
            </w:r>
          </w:p>
        </w:tc>
      </w:tr>
      <w:tr>
        <w:trPr/>
        <w:tc>
          <w:tcPr>
            <w:tcW w:w="7415" w:type="dxa"/>
            <w:tcBorders/>
            <w:shd w:fill="CCEEFF" w:val="clear"/>
            <w:vAlign w:val="bottom"/>
          </w:tcPr>
          <w:p>
            <w:pPr>
              <w:pStyle w:val="TableContents"/>
              <w:bidi w:val="0"/>
              <w:spacing w:lineRule="auto" w:line="300" w:before="0" w:after="0"/>
              <w:jc w:val="left"/>
              <w:rPr>
                <w:b/>
              </w:rPr>
            </w:pPr>
            <w:r>
              <w:rPr>
                <w:b/>
              </w:rPr>
              <w:t>CASH AND CASH EQUIVALENTS - BEGINNING OF PERIOD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243,309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b/>
              </w:rPr>
            </w:pPr>
            <w:r>
              <w:rPr>
                <w:b/>
              </w:rPr>
              <w:t>274,818</w:t>
            </w:r>
          </w:p>
        </w:tc>
        <w:tc>
          <w:tcPr>
            <w:tcW w:w="110" w:type="dxa"/>
            <w:tcBorders/>
            <w:shd w:fill="CCEEFF" w:val="clear"/>
            <w:vAlign w:val="bottom"/>
          </w:tcPr>
          <w:p>
            <w:pPr>
              <w:pStyle w:val="TableContents"/>
              <w:bidi w:val="0"/>
              <w:spacing w:before="0" w:after="283"/>
              <w:jc w:val="left"/>
              <w:rPr/>
            </w:pPr>
            <w:r>
              <w:rPr/>
              <w:t> </w:t>
            </w:r>
          </w:p>
        </w:tc>
      </w:tr>
      <w:tr>
        <w:trPr/>
        <w:tc>
          <w:tcPr>
            <w:tcW w:w="7415" w:type="dxa"/>
            <w:tcBorders/>
            <w:vAlign w:val="bottom"/>
          </w:tcPr>
          <w:p>
            <w:pPr>
              <w:pStyle w:val="TableContents"/>
              <w:bidi w:val="0"/>
              <w:spacing w:lineRule="auto" w:line="300" w:before="0" w:after="0"/>
              <w:jc w:val="left"/>
              <w:rPr>
                <w:b/>
              </w:rPr>
            </w:pPr>
            <w:r>
              <w:rPr>
                <w:b/>
              </w:rPr>
              <w:t>CASH AND CASH EQUIVALENTS - END OF PERIOD</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231,188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b/>
              </w:rPr>
            </w:pPr>
            <w:r>
              <w:rPr>
                <w:b/>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b/>
              </w:rPr>
            </w:pPr>
            <w:r>
              <w:rPr>
                <w:b/>
              </w:rPr>
              <w:t>265,293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20240" w:type="dxa"/>
        <w:jc w:val="left"/>
        <w:tblInd w:w="0" w:type="dxa"/>
        <w:tblLayout w:type="fixed"/>
        <w:tblCellMar>
          <w:top w:w="0" w:type="dxa"/>
          <w:left w:w="0" w:type="dxa"/>
          <w:bottom w:w="0" w:type="dxa"/>
          <w:right w:w="0" w:type="dxa"/>
        </w:tblCellMar>
      </w:tblPr>
      <w:tblGrid>
        <w:gridCol w:w="20240"/>
      </w:tblGrid>
      <w:tr>
        <w:trPr/>
        <w:tc>
          <w:tcPr>
            <w:tcW w:w="20240" w:type="dxa"/>
            <w:tcBorders/>
            <w:vAlign w:val="center"/>
          </w:tcPr>
          <w:p>
            <w:pPr>
              <w:pStyle w:val="TableContents"/>
              <w:bidi w:val="0"/>
              <w:spacing w:lineRule="auto" w:line="300" w:before="0" w:after="0"/>
              <w:jc w:val="left"/>
              <w:rPr>
                <w:b/>
              </w:rPr>
            </w:pPr>
            <w:r>
              <w:rPr>
                <w:b/>
              </w:rPr>
              <w:t>* Includes stock based compensation and amortization of acquired intangible assets in the amounts of $9,941 and $10,595 for the 3 months periods ended June 30, 2026 and June 30, 2025, respectively.</w:t>
            </w:r>
          </w:p>
        </w:tc>
      </w:tr>
    </w:tbl>
    <w:p>
      <w:pPr>
        <w:pStyle w:val="TextBody"/>
        <w:bidi w:val="0"/>
        <w:spacing w:lineRule="auto" w:line="300"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4655</Words>
  <Characters>26721</Characters>
  <CharactersWithSpaces>31722</CharactersWithSpaces>
  <Paragraphs>1477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