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October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4300 Stevens Creek Blvd., Suite 175</w:t>
      </w:r>
    </w:p>
    <w:p>
      <w:pPr>
        <w:spacing w:after="0"/>
        <w:rPr>
          <w:sz w:val="20"/>
          <w:szCs w:val="20"/>
          <w:color w:val="auto"/>
        </w:rPr>
      </w:pPr>
      <w:r>
        <w:rPr>
          <w:rFonts w:ascii="Courier New" w:cs="Courier New" w:eastAsia="Courier New" w:hAnsi="Courier New"/>
          <w:sz w:val="18"/>
          <w:szCs w:val="18"/>
          <w:color w:val="auto"/>
        </w:rPr>
        <w:t>San Jose, CA 95129</w:t>
      </w:r>
    </w:p>
    <w:p>
      <w:pPr>
        <w:spacing w:after="0" w:line="237"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line="20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Amendment No. 2 to Tower Semiconductor Ltd.</w:t>
      </w:r>
    </w:p>
    <w:p>
      <w:pPr>
        <w:ind w:left="860"/>
        <w:spacing w:after="0" w:line="238" w:lineRule="auto"/>
        <w:rPr>
          <w:sz w:val="20"/>
          <w:szCs w:val="20"/>
          <w:color w:val="auto"/>
        </w:rPr>
      </w:pPr>
      <w:r>
        <w:rPr>
          <w:rFonts w:ascii="Courier New" w:cs="Courier New" w:eastAsia="Courier New" w:hAnsi="Courier New"/>
          <w:sz w:val="18"/>
          <w:szCs w:val="18"/>
          <w:color w:val="auto"/>
        </w:rPr>
        <w:t>Registration Statement on Form F-2</w:t>
      </w:r>
    </w:p>
    <w:p>
      <w:pPr>
        <w:ind w:left="640"/>
        <w:spacing w:after="0"/>
        <w:rPr>
          <w:sz w:val="20"/>
          <w:szCs w:val="20"/>
          <w:color w:val="auto"/>
        </w:rPr>
      </w:pPr>
      <w:r>
        <w:rPr>
          <w:rFonts w:ascii="Courier New" w:cs="Courier New" w:eastAsia="Courier New" w:hAnsi="Courier New"/>
          <w:sz w:val="18"/>
          <w:szCs w:val="18"/>
          <w:color w:val="auto"/>
        </w:rPr>
        <w:t>Filed October 11, 2005</w:t>
      </w:r>
    </w:p>
    <w:p>
      <w:pPr>
        <w:ind w:left="860"/>
        <w:spacing w:after="0" w:line="237" w:lineRule="auto"/>
        <w:rPr>
          <w:sz w:val="20"/>
          <w:szCs w:val="20"/>
          <w:color w:val="auto"/>
        </w:rPr>
      </w:pPr>
      <w:r>
        <w:rPr>
          <w:rFonts w:ascii="Courier New" w:cs="Courier New" w:eastAsia="Courier New" w:hAnsi="Courier New"/>
          <w:sz w:val="18"/>
          <w:szCs w:val="18"/>
          <w:color w:val="auto"/>
        </w:rPr>
        <w:t>File No. 333-126909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4"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 disclosure, please describe a) any recent developments in negotiations related to the credit facility and b) the status of your efforts to comply with the conditions of the Israeli government grants.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Questions and Answers About the Rights Offering, page 2</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Are the debentures subordinated to our current indebtedness? page 3</w:t>
      </w:r>
    </w:p>
    <w:p>
      <w:pPr>
        <w:spacing w:after="0" w:line="6" w:lineRule="exact"/>
        <w:rPr>
          <w:sz w:val="24"/>
          <w:szCs w:val="24"/>
          <w:color w:val="auto"/>
        </w:rPr>
      </w:pPr>
    </w:p>
    <w:p>
      <w:pPr>
        <w:ind w:right="347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update the amount of your obligations to a more recent period than August 31, 2005, and also update the narrative discussion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throughout the prospectus, as appropriate.</w:t>
      </w:r>
    </w:p>
    <w:p>
      <w:pPr>
        <w:spacing w:after="0" w:line="207" w:lineRule="exact"/>
        <w:rPr>
          <w:sz w:val="24"/>
          <w:szCs w:val="24"/>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What are the federal income tax and Israeli income tax consequences</w:t>
      </w:r>
    </w:p>
    <w:p>
      <w:pPr>
        <w:spacing w:after="0"/>
        <w:rPr>
          <w:sz w:val="20"/>
          <w:szCs w:val="20"/>
          <w:color w:val="auto"/>
        </w:rPr>
      </w:pPr>
      <w:r>
        <w:rPr>
          <w:rFonts w:ascii="Courier New" w:cs="Courier New" w:eastAsia="Courier New" w:hAnsi="Courier New"/>
          <w:sz w:val="18"/>
          <w:szCs w:val="18"/>
          <w:color w:val="auto"/>
        </w:rPr>
        <w:t>of exercising your rights? page 6</w:t>
      </w:r>
    </w:p>
    <w:p>
      <w:pPr>
        <w:spacing w:after="0" w:line="4" w:lineRule="exact"/>
        <w:rPr>
          <w:sz w:val="24"/>
          <w:szCs w:val="24"/>
          <w:color w:val="auto"/>
        </w:rPr>
      </w:pPr>
    </w:p>
    <w:p>
      <w:pPr>
        <w:ind w:right="37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second sentence to clarify that you received an opinion</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of counsel regarding the material federal income tax consequences.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Material Income Tax Considerations, page 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 Tax Considerations, page 51</w:t>
      </w:r>
    </w:p>
    <w:p>
      <w:pPr>
        <w:spacing w:after="0" w:line="4" w:lineRule="exact"/>
        <w:rPr>
          <w:sz w:val="24"/>
          <w:szCs w:val="24"/>
          <w:color w:val="auto"/>
        </w:rPr>
      </w:pPr>
    </w:p>
    <w:p>
      <w:pPr>
        <w:ind w:right="325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comment 21 and reissue the comment. Please specifically comply with the third and fourth sentences. Also, if counsel is unable to opine with certainty, revise the disclosure on page 52 to explain and describe the tax consequences in</w:t>
      </w:r>
    </w:p>
    <w:p>
      <w:pPr>
        <w:sectPr>
          <w:pgSz w:w="11900" w:h="16853" w:orient="portrait"/>
          <w:cols w:equalWidth="0" w:num="1">
            <w:col w:w="10219"/>
          </w:cols>
          <w:pgMar w:left="240" w:top="852" w:right="1440" w:bottom="0" w:gutter="0" w:footer="0" w:header="0"/>
        </w:sectPr>
      </w:pPr>
    </w:p>
    <w:bookmarkStart w:id="1" w:name="page2"/>
    <w:bookmarkEnd w:id="1"/>
    <w:p>
      <w:pPr>
        <w:ind w:right="3479"/>
        <w:spacing w:after="0" w:line="235" w:lineRule="auto"/>
        <w:rPr>
          <w:sz w:val="20"/>
          <w:szCs w:val="20"/>
          <w:color w:val="auto"/>
        </w:rPr>
      </w:pPr>
      <w:r>
        <w:rPr>
          <w:rFonts w:ascii="Courier New" w:cs="Courier New" w:eastAsia="Courier New" w:hAnsi="Courier New"/>
          <w:sz w:val="18"/>
          <w:szCs w:val="18"/>
          <w:color w:val="auto"/>
        </w:rPr>
        <w:t>the event that the debentures are determined to be characterized as</w:t>
      </w:r>
    </w:p>
    <w:p>
      <w:pPr>
        <w:spacing w:after="0" w:line="6"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equity, rather than using vague language stating that the consequences "generally should not be materially less favorable."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Thomas Dyer at (202) 551-3641 or Kaitlin</w:t>
      </w:r>
    </w:p>
    <w:p>
      <w:pPr>
        <w:spacing w:after="0" w:line="238" w:lineRule="auto"/>
        <w:rPr>
          <w:sz w:val="20"/>
          <w:szCs w:val="20"/>
          <w:color w:val="auto"/>
        </w:rPr>
      </w:pPr>
      <w:r>
        <w:rPr>
          <w:rFonts w:ascii="Courier New" w:cs="Courier New" w:eastAsia="Courier New" w:hAnsi="Courier New"/>
          <w:sz w:val="18"/>
          <w:szCs w:val="18"/>
          <w:color w:val="auto"/>
        </w:rPr>
        <w:t>Tillan</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at (202) 551-3604 if you have questions regarding comments on the financial statements and related matters. Please contact Adelaja Heyliger at (202) 551-3636 or me at (202) 551-3800 with any other questions.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Peggy A. Fisher</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24" w:lineRule="exact"/>
        <w:rPr>
          <w:sz w:val="20"/>
          <w:szCs w:val="20"/>
          <w:color w:val="auto"/>
        </w:rPr>
      </w:pPr>
    </w:p>
    <w:p>
      <w:pPr>
        <w:ind w:left="860" w:right="6419" w:hanging="852"/>
        <w:spacing w:after="0" w:line="236" w:lineRule="auto"/>
        <w:tabs>
          <w:tab w:leader="none" w:pos="3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fax): Sheldon Krause, Esq. Eilenberg &amp; Krause LLP 212.986.2399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rPr>
          <w:sz w:val="20"/>
          <w:szCs w:val="20"/>
          <w:color w:val="auto"/>
        </w:rPr>
      </w:pPr>
      <w:r>
        <w:rPr>
          <w:rFonts w:ascii="Courier New" w:cs="Courier New" w:eastAsia="Courier New" w:hAnsi="Courier New"/>
          <w:sz w:val="18"/>
          <w:szCs w:val="18"/>
          <w:color w:val="auto"/>
        </w:rPr>
        <w:t>October 31,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2019-12-14T04:22:54Z</dcterms:created>
  <dcterms:modified xsi:type="dcterms:W3CDTF">2019-12-14T04:22:54Z</dcterms:modified>
</cp:coreProperties>
</file>