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May 2019 No.2</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31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7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79" w:lineRule="exact"/>
        <w:rPr>
          <w:sz w:val="24"/>
          <w:szCs w:val="24"/>
          <w:color w:val="auto"/>
        </w:rPr>
      </w:pPr>
    </w:p>
    <w:p>
      <w:pPr>
        <w:ind w:firstLine="639"/>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19"/>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 w:name="page2"/>
    <w:bookmarkEnd w:id="1"/>
    <w:p>
      <w:pPr>
        <w:ind w:left="640"/>
        <w:spacing w:after="0"/>
        <w:rPr>
          <w:sz w:val="20"/>
          <w:szCs w:val="20"/>
          <w:color w:val="auto"/>
        </w:rPr>
      </w:pPr>
      <w:r>
        <w:rPr>
          <w:rFonts w:ascii="Arial" w:cs="Arial" w:eastAsia="Arial" w:hAnsi="Arial"/>
          <w:sz w:val="16"/>
          <w:szCs w:val="16"/>
          <w:color w:val="auto"/>
        </w:rPr>
        <w:t>On May 15, 2019, the Registrant announced its financial results for the three months ended March 31, 2019. Attached hereto is the following exhibit.</w:t>
      </w:r>
    </w:p>
    <w:p>
      <w:pPr>
        <w:spacing w:after="0" w:line="3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u w:val="single" w:color="auto"/>
          <w:color w:val="0000EE"/>
        </w:rPr>
        <w:t>Exhibit 99.1</w:t>
      </w:r>
      <w:r>
        <w:rPr>
          <w:sz w:val="20"/>
          <w:szCs w:val="20"/>
          <w:color w:val="auto"/>
        </w:rPr>
        <w:tab/>
      </w:r>
      <w:r>
        <w:rPr>
          <w:rFonts w:ascii="Arial" w:cs="Arial" w:eastAsia="Arial" w:hAnsi="Arial"/>
          <w:sz w:val="15"/>
          <w:szCs w:val="15"/>
          <w:u w:val="single" w:color="auto"/>
          <w:color w:val="0000EE"/>
        </w:rPr>
        <w:t>Press release dated May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15,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20"/>
          </w:cols>
          <w:pgMar w:left="240" w:top="391"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172085</wp:posOffset>
            </wp:positionV>
            <wp:extent cx="1226185" cy="523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618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TowerJazz Announces First Quarter 2019 Results: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Revenues of $310 million, Cash from Operations of $75 million</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and Net Profit of $26 million</w:t>
      </w:r>
    </w:p>
    <w:p>
      <w:pPr>
        <w:spacing w:after="0" w:line="27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MIGDAL HAEMEK, ISRAEL – May 15, 2019 – </w:t>
      </w:r>
      <w:r>
        <w:rPr>
          <w:rFonts w:ascii="Arial" w:cs="Arial" w:eastAsia="Arial" w:hAnsi="Arial"/>
          <w:sz w:val="17"/>
          <w:szCs w:val="17"/>
          <w:color w:val="auto"/>
        </w:rPr>
        <w:t>TowerJazz (NASDAQ: TSEM &amp; TASE: TSEM) reported today revenues of $310 million, EBITDA of</w:t>
      </w:r>
      <w:r>
        <w:rPr>
          <w:rFonts w:ascii="Arial" w:cs="Arial" w:eastAsia="Arial" w:hAnsi="Arial"/>
          <w:sz w:val="17"/>
          <w:szCs w:val="17"/>
          <w:b w:val="1"/>
          <w:bCs w:val="1"/>
          <w:color w:val="auto"/>
        </w:rPr>
        <w:t xml:space="preserve"> </w:t>
      </w:r>
      <w:r>
        <w:rPr>
          <w:rFonts w:ascii="Arial" w:cs="Arial" w:eastAsia="Arial" w:hAnsi="Arial"/>
          <w:sz w:val="17"/>
          <w:szCs w:val="17"/>
          <w:color w:val="auto"/>
        </w:rPr>
        <w:t>$79 million, cash from operations of $75 million, free cash flow of $33 million and net profit of $26 million for the first quarter ended March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Results 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first quarter of 2019 were $310 million compared to $313 million in the first quarter of 2018.</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Gross and operating profits for the first quarter of 2019 were $63 million and $27 million, respectively, as compared to $66 million and $32 million, respectively, in the first quarter of 2018.</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profit for the first quarter of 2019 was $26 million, or $0.25 diluted earnings per share, as compared to $26 million, or $0.26 diluted earnings per share in the first quarter of 2018. Share count for diluted earnings per share calculation for the first quarter of 2019 was 107 million, as compared to 101 million for the first quarter of 2018, due to the previously reported full conversion of the Jazz bonds into 6 million ordinary shares.</w:t>
      </w:r>
    </w:p>
    <w:p>
      <w:pPr>
        <w:spacing w:after="0" w:line="22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Free cash flow for the quarter was $33 million, with $75 million cash flow from operations and $42 million investments in fixed assets, net. Cash from operations for the first quarter of 2018 was $75 million with $40 million investments in fixed assets, net, resulting in $35 million of free cash flow.</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Shareholders' equity as of March 31, 2019 was a record $1.27 billion, as compared to $1.24 billion as of December 31, 2018 and $1.07 billion as of March 31,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TowerJazz expects revenues for the second quarter of 2019 to reach approximately $306 million, with an upward or downward range of 5%. Considering an approximate $20 million announced reduction in Panasonic revenue for the second quarter, this mid-range revenue guidance represents about 10% of sequential organic growth (define as total revenue excluding revenues from Panasonic in the TPSCo fabs and revenues from Maxim in the San Antonio fab).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4" w:name="page5"/>
    <w:bookmarkEnd w:id="4"/>
    <w:p>
      <w:pPr>
        <w:jc w:val="both"/>
        <w:spacing w:after="0" w:line="289" w:lineRule="auto"/>
        <w:rPr>
          <w:sz w:val="20"/>
          <w:szCs w:val="20"/>
          <w:color w:val="auto"/>
        </w:rPr>
      </w:pPr>
      <w:r>
        <w:rPr>
          <w:rFonts w:ascii="Arial" w:cs="Arial" w:eastAsia="Arial" w:hAnsi="Arial"/>
          <w:sz w:val="17"/>
          <w:szCs w:val="17"/>
          <w:b w:val="1"/>
          <w:bCs w:val="1"/>
          <w:color w:val="auto"/>
        </w:rPr>
        <w:t>Mr. Russell Ellwanger, Chief Executive Officer of TowerJazz</w:t>
      </w:r>
      <w:r>
        <w:rPr>
          <w:rFonts w:ascii="Arial" w:cs="Arial" w:eastAsia="Arial" w:hAnsi="Arial"/>
          <w:sz w:val="17"/>
          <w:szCs w:val="17"/>
          <w:color w:val="auto"/>
        </w:rPr>
        <w:t>,</w:t>
      </w:r>
      <w:r>
        <w:rPr>
          <w:rFonts w:ascii="Arial" w:cs="Arial" w:eastAsia="Arial" w:hAnsi="Arial"/>
          <w:sz w:val="17"/>
          <w:szCs w:val="17"/>
          <w:b w:val="1"/>
          <w:bCs w:val="1"/>
          <w:color w:val="auto"/>
        </w:rPr>
        <w:t xml:space="preserve"> commented</w:t>
      </w:r>
      <w:r>
        <w:rPr>
          <w:rFonts w:ascii="Arial" w:cs="Arial" w:eastAsia="Arial" w:hAnsi="Arial"/>
          <w:sz w:val="17"/>
          <w:szCs w:val="17"/>
          <w:color w:val="auto"/>
        </w:rPr>
        <w:t>, “We entered 2019 in the strongest financial position we have ever been in,</w:t>
      </w:r>
      <w:r>
        <w:rPr>
          <w:rFonts w:ascii="Arial" w:cs="Arial" w:eastAsia="Arial" w:hAnsi="Arial"/>
          <w:sz w:val="17"/>
          <w:szCs w:val="17"/>
          <w:b w:val="1"/>
          <w:bCs w:val="1"/>
          <w:color w:val="auto"/>
        </w:rPr>
        <w:t xml:space="preserve"> </w:t>
      </w:r>
      <w:r>
        <w:rPr>
          <w:rFonts w:ascii="Arial" w:cs="Arial" w:eastAsia="Arial" w:hAnsi="Arial"/>
          <w:sz w:val="17"/>
          <w:szCs w:val="17"/>
          <w:color w:val="auto"/>
        </w:rPr>
        <w:t>with open doors being explored that were not available in years past. Despite macroeconomic uncertainties that have led to tighter market inventory management, the indications we see in the wide market as well as from our specific customers, are for a stronger second half.”</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Ellwanger continued: “We see a broad set of growth drivers, especially for the analog sectors of the semiconductor market that we are focused on, including the global 5G rollout, with increased demand of wireless and infrastructure content, ongoing increases in automotive analog content – including sensors, sensor system and battery management; along with IoT and AI applications. While there is short-term caution, we are encouraged with our second quarter organic growth and optimistic that we will emerge from current market conditions very well positioned for accelerated and sustained growth on both the top and bottom line.”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May 7, 2019, Standard &amp; Poor’s Ma’alot (an Israeli rating company which is fully owned by S&amp;P Global Ratings) completed its annual business and financial review of the Company and its Series G bonds and reaffirmed its rating of “ilAA-, with a stable horizon”.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Teleconference and Webcast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TowerJazz will host an investor conference call today, Wednesday, May 15, 2019, at 10:00 a.m. Eastern time (9:00 a.m. Central time, 8:00 a.m.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Mountain time, 7:00 a.m. Pacific time and 5:00 p.m. Israel time) to discuss the Company’s financial results for the first quarter of 2019 and its outlook.</w:t>
      </w:r>
    </w:p>
    <w:p>
      <w:pPr>
        <w:spacing w:after="0" w:line="2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This call will be webcast and can be accessed via TowerJazz’s website at </w:t>
      </w:r>
      <w:r>
        <w:rPr>
          <w:rFonts w:ascii="Arial" w:cs="Arial" w:eastAsia="Arial" w:hAnsi="Arial"/>
          <w:sz w:val="18"/>
          <w:szCs w:val="18"/>
          <w:u w:val="single" w:color="auto"/>
          <w:color w:val="auto"/>
        </w:rPr>
        <w:t>www.towerjazz.com</w:t>
      </w:r>
      <w:r>
        <w:rPr>
          <w:rFonts w:ascii="Arial" w:cs="Arial" w:eastAsia="Arial" w:hAnsi="Arial"/>
          <w:sz w:val="18"/>
          <w:szCs w:val="18"/>
          <w:color w:val="auto"/>
        </w:rPr>
        <w:t xml:space="preserve"> , or by calling 1-888-668-9141 (U.S. Toll-Free), 03-918-0609 (Israel), +972-3-918-0609 (International). For those who are not available to listen to the live broadcast, the call will be archived on TowerJazz’s website for 90 days.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The Company presents its financial statements in accordance with U.S. GAAP. The financial information included in the tables below includes unaudited condensed financial data. Some of the financial information in this release, which we describe in this release as “adjusted” financial measures, is non-GAAP financial measures as defined in Regulation G and related reporting requirements promulgated by the Securities and Exchange Commission as they apply to our Company. These adjusted financial measures are calculated excluding one or more of the following: (1) amortization of acquired intangible assets and</w:t>
      </w:r>
    </w:p>
    <w:p>
      <w:pPr>
        <w:spacing w:after="0" w:line="2" w:lineRule="exact"/>
        <w:rPr>
          <w:sz w:val="20"/>
          <w:szCs w:val="20"/>
          <w:color w:val="auto"/>
        </w:rPr>
      </w:pPr>
    </w:p>
    <w:p>
      <w:pPr>
        <w:jc w:val="both"/>
        <w:ind w:firstLine="8"/>
        <w:spacing w:after="0" w:line="284" w:lineRule="auto"/>
        <w:tabs>
          <w:tab w:leader="none" w:pos="29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compensation expenses in respect of equity grants to directors, officers and employees.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as well as calculated in the tables herein, the term Earnings Before Interest Tax Depreciation and Amortization (EBITDA) consists of net profit in accordance with GAAP, excluding financing and other income (expense), net taxes, non-controlling interest, depreciation and amortization expense and stock-based compensation expense. EBITDA is reconciled in the tables below from GAAP operating profit. EBITDA is not a required GAAP financial measure and may not be comparable to a similarly titled measure employed by other companies. EBITDA and the adjusted financial information presented herein should not be considered in isolation or as a substitute for operating profit, net profit or loss, cash flows provided by operating, investing and financing activities, per share data or other profit or cash flow statement data prepared in accordance with GAAP. The term Free Cash Flow, as used and/ or presented in this release, totaled $33 million, $43 million and $35 million for the three months periods ended March 31, 2019, December 31, 2018 and March 31, 2018, respectively, and is calculated to be cash from operating activities (in the amounts of $75 million, $91 million and $75 million for the three months periods ended March 31, 2019, December 31, 2018 and March 31, 2018, respectively) less cash used for investments in property and equipment, net (in the amounts of $42 million, $49 million and $40 million for the three months periods ended March 31, 2019, December 31, 2018 and March 31, 2018,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 With regards to our balance sheet as of March 31, 2019, as disclosed in Note 2Y to our annual financial statements for the year ended December 31, 2018, we implemented ASU 2016-02 “Leases” effective January 1, 2019 with regards to lease right-of-use assets and lease liabilities, which implementation resulted in our lease contracts value presentation under property and equipment, net, short-term debt and long-term debt as of March 31, 2019. In addition, short-term debt as of March 31, 2019 includes $18 million of the first installment payment scheduled in March 2020 for series G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Noit Levy | TowerJazz | +972 4 604 7066 | </w:t>
      </w:r>
      <w:r>
        <w:rPr>
          <w:rFonts w:ascii="Arial" w:cs="Arial" w:eastAsia="Arial" w:hAnsi="Arial"/>
          <w:sz w:val="18"/>
          <w:szCs w:val="18"/>
          <w:u w:val="single" w:color="auto"/>
          <w:color w:val="auto"/>
        </w:rPr>
        <w:t>Noit.levi@towerjazz.com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GK Investor Relations | Gavriel Frohwein, (646) 688 3559 | </w:t>
      </w:r>
      <w:r>
        <w:rPr>
          <w:rFonts w:ascii="Arial" w:cs="Arial" w:eastAsia="Arial" w:hAnsi="Arial"/>
          <w:sz w:val="18"/>
          <w:szCs w:val="18"/>
          <w:u w:val="single" w:color="auto"/>
          <w:color w:val="auto"/>
        </w:rPr>
        <w:t>towerjazz@gkir.com</w:t>
      </w:r>
    </w:p>
    <w:p>
      <w:pPr>
        <w:spacing w:after="0" w:line="2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w:t>
      </w:r>
    </w:p>
    <w:p>
      <w:pPr>
        <w:spacing w:after="0" w:line="3" w:lineRule="exact"/>
        <w:rPr>
          <w:sz w:val="20"/>
          <w:szCs w:val="20"/>
          <w:color w:val="auto"/>
        </w:rPr>
      </w:pPr>
    </w:p>
    <w:p>
      <w:pPr>
        <w:jc w:val="both"/>
        <w:ind w:firstLine="8"/>
        <w:spacing w:after="0" w:line="283" w:lineRule="auto"/>
        <w:tabs>
          <w:tab w:leader="none" w:pos="297"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satisfy the covenants stipulated in our agreements with our lender banks and bondholders (as of March 31, 2019 we are in compliance with all such covenants included in our banks’ agreements, bond G indenture and others); (x) pending litigation; (xi) new customer engagements, qualification and production ramp-up at our facilities; (xii)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fundraising to enable the service of our debt and/or other liabilities;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retention of key employees and recruitment and retention of skilled qualified personnel; (xxxi) exposure to inflation, currency rates (mainly the Israeli Shekel and Japanese Yen) and interest rate fluctuations and risks associated with doing business locally and internationally, as well fluctuations in the market price of our traded securities; (xxxii)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(xxxiii) meeting regulatory requirements worldwide, including environmental and governmental regulations; (xxxiv) negotiation and closure of a definitive agreement in relation to fab establishment in China, as well as project implementation through required outside funding and resources and receipt of future proceeds therefrom; and (xxxv) business interruption due to fire and other natural disasters, the security situation in Israel and other events beyond our control such as power interruptions.</w:t>
      </w:r>
    </w:p>
    <w:p>
      <w:pPr>
        <w:spacing w:after="0" w:line="200" w:lineRule="exact"/>
        <w:rPr>
          <w:sz w:val="20"/>
          <w:szCs w:val="20"/>
          <w:color w:val="auto"/>
        </w:rPr>
      </w:pPr>
    </w:p>
    <w:p>
      <w:pPr>
        <w:spacing w:after="0" w:line="3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200" w:lineRule="exact"/>
        <w:rPr>
          <w:sz w:val="20"/>
          <w:szCs w:val="20"/>
          <w:color w:val="auto"/>
        </w:rPr>
      </w:pPr>
    </w:p>
    <w:p>
      <w:pPr>
        <w:spacing w:after="0" w:line="27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 # #</w:t>
      </w:r>
    </w:p>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408,098</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385,091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Short-term deposits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121,101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120,079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Marketable securities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144,023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135,850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125,105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Trade accounts receivable</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134,223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153,409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Inventories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173,782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170,778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148,367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Other current assets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22,752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1,003,311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987,959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36,117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35,945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698,447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657,234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11,759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GOODWILL</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DEFERRED TAX AND OTHER LONG-TERM ASSETS, NET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89,357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88,404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1,845,991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1,789,977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1,719,524</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Short-term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43,148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114,763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Trade accounts payable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109,536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104,329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116,496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Deferred revenue and customers' advances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20,711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Other current liabilities</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60,512</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67,867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222,409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203,721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DEBT</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265,397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256,669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229,013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28,939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EMPLOYEE RELATED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14,092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13,898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DEFERRED TAX AND OTHER LONG-TERM LIABILITIES</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47,968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51,353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578,805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553,772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1,267,186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1,236,205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1,067,755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1,845,991</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1,789,977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1,719,524</w:t>
            </w: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74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jc w:val="center"/>
        <w:spacing w:after="0" w:line="243" w:lineRule="auto"/>
        <w:rPr>
          <w:sz w:val="20"/>
          <w:szCs w:val="20"/>
          <w:color w:val="auto"/>
        </w:rPr>
      </w:pPr>
      <w:r>
        <w:rPr>
          <w:rFonts w:ascii="Arial" w:cs="Arial" w:eastAsia="Arial" w:hAnsi="Arial"/>
          <w:sz w:val="22"/>
          <w:szCs w:val="22"/>
          <w:b w:val="1"/>
          <w:bCs w:val="1"/>
          <w:color w:val="auto"/>
        </w:rPr>
        <w:t>TOWER SEMICONDUCTOR LTD. AND SUBSIDIARIES CONDENSED CONSOLIDATED STATEMENTS OF OPERATIONS (UNAUDITED) (dollars and share count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center"/>
              <w:ind w:left="910"/>
              <w:spacing w:after="0"/>
              <w:rPr>
                <w:sz w:val="20"/>
                <w:szCs w:val="20"/>
                <w:color w:val="auto"/>
              </w:rPr>
            </w:pPr>
            <w:r>
              <w:rPr>
                <w:rFonts w:ascii="Arial" w:cs="Arial" w:eastAsia="Arial" w:hAnsi="Arial"/>
                <w:sz w:val="18"/>
                <w:szCs w:val="18"/>
                <w:b w:val="1"/>
                <w:bCs w:val="1"/>
                <w:color w:val="auto"/>
                <w:w w:val="89"/>
              </w:rPr>
              <w:t>Three months ended</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March 31,</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310,107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333,590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312,710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246,956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257,957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246,545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63,151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75,633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Research and development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18,378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Marketing, general and administrative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16,641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17,016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35,809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35,394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34,260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OPERATING PROFIT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27,342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40,239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31,905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FINANCING AND OTHER INCOME (EXPENSE), NET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(3,907)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PROFIT BEFORE INCOME TAX</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28,067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36,332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INCOME TAX BENEFIT (EXPENSE), NET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(1,667)</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PROFIT BEFORE NON CONTROLLING INTEREST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26,400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36,515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27,181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NON CONTROLLING INTEREST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(184)</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NET PROFIT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26,216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38,073</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26,118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0.25</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0.37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105,331</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103,997</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98,495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0.25</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0.36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used for 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26,216</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38,073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26,118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106,972</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105,776</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101,112</w:t>
            </w: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74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FINANCIAL DATA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 count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center"/>
              <w:ind w:left="910"/>
              <w:spacing w:after="0"/>
              <w:rPr>
                <w:sz w:val="20"/>
                <w:szCs w:val="20"/>
                <w:color w:val="auto"/>
              </w:rPr>
            </w:pPr>
            <w:r>
              <w:rPr>
                <w:rFonts w:ascii="Arial" w:cs="Arial" w:eastAsia="Arial" w:hAnsi="Arial"/>
                <w:sz w:val="18"/>
                <w:szCs w:val="18"/>
                <w:b w:val="1"/>
                <w:bCs w:val="1"/>
                <w:color w:val="auto"/>
                <w:w w:val="89"/>
              </w:rPr>
              <w:t>Three months ended</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GAAP NET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26,216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38,073</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Stock based compensation</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3,823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Amortization of acquired intangible assets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1,614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ADJUSTED NET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43,593</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ADJUSTED EARNINGS PER SHARE: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0.42</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0.41</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Fully diluted</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0.29</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0.41</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ADJUSTED NET PROFIT USED TO CALCULATE PER SHARE DATA:</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43,593</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31,680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43,593</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Fully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44,663</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33,486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4"/>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NUMBER OF SHARES AND OTHER SECURITIES USED TO CALCULATE PER SHARE DATA: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Basic</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105,331</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103,997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Diluted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106,972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105,776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Fully diluted</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108,173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108,268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EBITDA CALCULATION: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GAAP OPERATING PROFIT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27,342</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40,239</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Depreciation of fixed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46,041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46,950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Stock based compensation</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3,823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Amortization of acquired intangible assets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1,614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EBITDA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78,847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92,709</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84,290</w:t>
            </w: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74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SOURCES AND USES REPORT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center"/>
              <w:ind w:left="910"/>
              <w:spacing w:after="0"/>
              <w:rPr>
                <w:sz w:val="20"/>
                <w:szCs w:val="20"/>
                <w:color w:val="auto"/>
              </w:rPr>
            </w:pPr>
            <w:r>
              <w:rPr>
                <w:rFonts w:ascii="Arial" w:cs="Arial" w:eastAsia="Arial" w:hAnsi="Arial"/>
                <w:sz w:val="18"/>
                <w:szCs w:val="18"/>
                <w:b w:val="1"/>
                <w:bCs w:val="1"/>
                <w:color w:val="auto"/>
                <w:w w:val="89"/>
              </w:rPr>
              <w:t>Three months ended</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March 31,</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385,091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464,446</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74,868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91,496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(41,718)</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(48,654)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options, net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Debt repaid, net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(3,074)</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(6,726)</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(123,126)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(14,963)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408,098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385,091</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464,661</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33,150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42,842</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34,954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CASH FLOWS (UNAUDITED)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left="89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March 31,</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 for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36,515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Depreciation and amortization</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52,014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54,157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Effect of indexation, translation and fair value measurement on debt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4,001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(4,042)</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expense (income),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4,006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Changes in assets and liabilities: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Trade accounts receivable</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10,933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(3,705)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3,096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Inventories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(3,395)</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(9,702)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Trade accounts payable</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(2,651)</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(4,783)</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Deferred revenue and customers' advances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(10,685)</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8,768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Other current liabilities</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(4,803)</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(7,239)</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Long-term employee related liabilities</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Deferred tax, net and other long-term liabilities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(965)</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74,868</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91,496</w:t>
            </w:r>
          </w:p>
        </w:tc>
        <w:tc>
          <w:tcPr>
            <w:tcW w:w="2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(41,718)</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(48,654)</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deposits, marketable securities and other assets,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(6,726)</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(123,126)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(14,963)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80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(48,444)</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(171,780)</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(55,010)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Debt repaid, net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(3,074)</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(2,924)</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options</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80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(2,677)</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(2,915)</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3,844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4,707</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23,007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(79,355)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4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385,091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464,446</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445,961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408,098</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385,091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464,661</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4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1)"/>
      <w:numFmt w:val="lowerRoman"/>
      <w:start w:val="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2019-12-02T18:44:07Z</dcterms:created>
  <dcterms:modified xsi:type="dcterms:W3CDTF">2019-12-02T18:44:07Z</dcterms:modified>
</cp:coreProperties>
</file>