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420"/>
        <w:spacing w:after="0"/>
        <w:tabs>
          <w:tab w:leader="none" w:pos="66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On June 17, 2010, the registrant announces TowerJazz and Toppan Technical Design Center Strategic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434975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9579"/>
          </w:cols>
          <w:pgMar w:left="880" w:top="512" w:right="1440"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3" w:lineRule="exact"/>
        <w:rPr>
          <w:sz w:val="20"/>
          <w:szCs w:val="20"/>
          <w:color w:val="auto"/>
        </w:rPr>
      </w:pPr>
    </w:p>
    <w:p>
      <w:pPr>
        <w:spacing w:after="0"/>
        <w:tabs>
          <w:tab w:leader="none" w:pos="4780" w:val="left"/>
          <w:tab w:leader="none" w:pos="5600" w:val="left"/>
        </w:tabs>
        <w:rPr>
          <w:sz w:val="20"/>
          <w:szCs w:val="20"/>
          <w:color w:val="auto"/>
        </w:rPr>
      </w:pPr>
      <w:r>
        <w:rPr>
          <w:rFonts w:ascii="Arial" w:cs="Arial" w:eastAsia="Arial" w:hAnsi="Arial"/>
          <w:sz w:val="18"/>
          <w:szCs w:val="18"/>
          <w:color w:val="auto"/>
        </w:rPr>
        <w:t>Date: June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11430</wp:posOffset>
            </wp:positionV>
            <wp:extent cx="1953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32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Nati Somekh Gilboa</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725360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0740"/>
          </w:cols>
          <w:pgMar w:left="240" w:top="506" w:right="919" w:bottom="1440" w:gutter="0" w:footer="0" w:header="0"/>
        </w:sectPr>
      </w:pPr>
    </w:p>
    <w:bookmarkStart w:id="3" w:name="page4"/>
    <w:bookmarkEnd w:id="3"/>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1801495" cy="791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1495" cy="791210"/>
                    </a:xfrm>
                    <a:prstGeom prst="rect">
                      <a:avLst/>
                    </a:prstGeom>
                    <a:noFill/>
                  </pic:spPr>
                </pic:pic>
              </a:graphicData>
            </a:graphic>
          </wp:anchor>
        </w:drawing>
      </w:r>
    </w:p>
    <w:p>
      <w:pPr>
        <w:spacing w:after="0"/>
        <w:tabs>
          <w:tab w:leader="none" w:pos="9120" w:val="left"/>
        </w:tabs>
        <w:rPr>
          <w:sz w:val="20"/>
          <w:szCs w:val="20"/>
          <w:color w:val="auto"/>
        </w:rPr>
      </w:pPr>
      <w:r>
        <w:rPr>
          <w:rFonts w:ascii="Arial" w:cs="Arial" w:eastAsia="Arial" w:hAnsi="Arial"/>
          <w:sz w:val="23"/>
          <w:szCs w:val="23"/>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TowerJazz and Toppan Technical Design Center Announce Strategic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Increases TowerJazz market penetration opportunity in Japan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Foundry services market in Japan expected to grow to $1.3B in 2012</w:t>
      </w:r>
    </w:p>
    <w:p>
      <w:pPr>
        <w:spacing w:after="0" w:line="239"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MIGDAL HAEMEK, Israel, June 17, 2010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TowerJazz</w:t>
      </w:r>
      <w:r>
        <w:rPr>
          <w:rFonts w:ascii="Arial" w:cs="Arial" w:eastAsia="Arial" w:hAnsi="Arial"/>
          <w:sz w:val="15"/>
          <w:szCs w:val="15"/>
          <w:color w:val="auto"/>
        </w:rPr>
        <w:t>, the global specialty foundry leader, today announced it was selected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Toppan Technical Design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Center Co., Ltd.</w:t>
      </w:r>
      <w:r>
        <w:rPr>
          <w:rFonts w:ascii="Arial" w:cs="Arial" w:eastAsia="Arial" w:hAnsi="Arial"/>
          <w:sz w:val="15"/>
          <w:szCs w:val="15"/>
          <w:color w:val="auto"/>
        </w:rPr>
        <w:t xml:space="preserve"> (TDC) as its preferred specialty foundry supplier. TowerJazz has successfully engaged in multiple specialty design projects in Japan with TDC in the area of Silicon Germanium (SiGe) BiCMOS technologies used for high speed RF applications. This partnership enables TowerJazz to strengthen its penetration in the Japanese market particularly TDC’s customers targeting RF, high speed analog, power management, high voltage, CMOS image sensors and MEMS. According to Gartner, the market for foundry services in Japan is expected to grow to $1.3 Billion in 2012.</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TDC was selected by TowerJazz as an official design center partner in Japan. This distinction applies to companies that achieve the highest standards of knowledge and experience on at least one TowerJazz specialty process technology and associated design enablement models and tools as well as deliver successful designs with high levels of customer satisfaction. This agreement enables TDC’s diverse customer base greater access to TowerJazz's specialty process technologies, its technical support, and manufacturing capacity.</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very pleased with the depth and breadth of the TowerJazz specialty process technologies and accuracy of their design enablement models and tools,” said Kaname Arai, TDC President &amp; CEO. “This agreement strengthens our relationship and enables improved specialty technology solutions for the Japanese market.”</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are thrilled to expand our relationship with TDC,” said Ori Galzur Vice President, VLSI Design Center at TowerJazz. “Combining their design expertise and experience with our leading specialty technologies will allow us to jointly increase our market opportunity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Toppan Technical Design Center Co., Ltd.</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Toppan Technical Design Center Co., Ltd. (TDC) a group company of Toppan Printing Co., Ltd., is a total service provider for the development of LSIs utilizing various LSI technology including digital, mixed-signal, analog, memory, etc.</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SOC design business began over 30 years ago, as part of Toppan Printing's photomask production business. Its expertise grew over time, and now its technical capability includes large scale system LSI design utilizing world-class IP such as ARM CPU cores and wide variety of ICs across broad range of analog technology. In recent years, the demand for such full service operation - LSI design through to volume production - has grown dramatically, and this Device OEM Business is now on course to become one of our main business lines.</w:t>
      </w:r>
    </w:p>
    <w:p>
      <w:pPr>
        <w:spacing w:after="0" w:line="1"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u w:val="single" w:color="auto"/>
          <w:color w:val="auto"/>
        </w:rPr>
        <w:t>http://www.toptdc.com/</w:t>
      </w:r>
      <w:r>
        <w:rPr>
          <w:sz w:val="20"/>
          <w:szCs w:val="20"/>
          <w:color w:val="auto"/>
        </w:rPr>
        <w:tab/>
      </w:r>
      <w:r>
        <w:rPr>
          <w:rFonts w:ascii="Arial" w:cs="Arial" w:eastAsia="Arial" w:hAnsi="Arial"/>
          <w:sz w:val="15"/>
          <w:szCs w:val="15"/>
          <w:u w:val="single" w:color="auto"/>
          <w:color w:val="auto"/>
        </w:rPr>
        <w:t>http://www.toptdc.com/en/index.html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 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60" w:type="dxa"/>
            <w:vAlign w:val="bottom"/>
            <w:gridSpan w:val="2"/>
          </w:tcPr>
          <w:p>
            <w:pPr>
              <w:jc w:val="right"/>
              <w:ind w:right="1752"/>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9"/>
                <w:szCs w:val="19"/>
                <w:color w:val="auto"/>
              </w:rPr>
            </w:pPr>
          </w:p>
        </w:tc>
      </w:tr>
      <w:tr>
        <w:trPr>
          <w:trHeight w:val="439"/>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7500" w:type="dxa"/>
            <w:vAlign w:val="bottom"/>
            <w:gridSpan w:val="3"/>
          </w:tcPr>
          <w:p>
            <w:pPr>
              <w:ind w:left="1800"/>
              <w:spacing w:after="0"/>
              <w:rPr>
                <w:sz w:val="20"/>
                <w:szCs w:val="20"/>
                <w:color w:val="auto"/>
              </w:rPr>
            </w:pPr>
            <w:r>
              <w:rPr>
                <w:rFonts w:ascii="Arial" w:cs="Arial" w:eastAsia="Arial" w:hAnsi="Arial"/>
                <w:sz w:val="18"/>
                <w:szCs w:val="18"/>
                <w:b w:val="1"/>
                <w:bCs w:val="1"/>
                <w:color w:val="auto"/>
              </w:rPr>
              <w:t>Media Contact:</w:t>
            </w: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7500" w:type="dxa"/>
            <w:vAlign w:val="bottom"/>
            <w:gridSpan w:val="3"/>
          </w:tcPr>
          <w:p>
            <w:pPr>
              <w:ind w:left="1800"/>
              <w:spacing w:after="0"/>
              <w:rPr>
                <w:sz w:val="20"/>
                <w:szCs w:val="20"/>
                <w:color w:val="auto"/>
              </w:rPr>
            </w:pPr>
            <w:r>
              <w:rPr>
                <w:rFonts w:ascii="Arial" w:cs="Arial" w:eastAsia="Arial" w:hAnsi="Arial"/>
                <w:sz w:val="18"/>
                <w:szCs w:val="18"/>
                <w:color w:val="auto"/>
              </w:rPr>
              <w:t>Lauri Julian</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60" w:type="dxa"/>
            <w:vAlign w:val="bottom"/>
            <w:gridSpan w:val="2"/>
          </w:tcPr>
          <w:p>
            <w:pPr>
              <w:ind w:left="1800"/>
              <w:spacing w:after="0"/>
              <w:rPr>
                <w:sz w:val="20"/>
                <w:szCs w:val="20"/>
                <w:color w:val="auto"/>
              </w:rPr>
            </w:pPr>
            <w:r>
              <w:rPr>
                <w:rFonts w:ascii="Arial" w:cs="Arial" w:eastAsia="Arial" w:hAnsi="Arial"/>
                <w:sz w:val="18"/>
                <w:szCs w:val="18"/>
                <w:color w:val="auto"/>
              </w:rPr>
              <w:t>949/715-3049</w:t>
            </w:r>
          </w:p>
        </w:tc>
        <w:tc>
          <w:tcPr>
            <w:tcW w:w="3740" w:type="dxa"/>
            <w:vAlign w:val="bottom"/>
          </w:tcPr>
          <w:p>
            <w:pPr>
              <w:spacing w:after="0"/>
              <w:rPr>
                <w:sz w:val="18"/>
                <w:szCs w:val="18"/>
                <w:color w:val="auto"/>
              </w:rPr>
            </w:pPr>
          </w:p>
        </w:tc>
      </w:tr>
      <w:tr>
        <w:trPr>
          <w:trHeight w:val="185"/>
        </w:trPr>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2"/>
          </w:tcPr>
          <w:p>
            <w:pPr>
              <w:spacing w:after="0" w:line="185" w:lineRule="exact"/>
              <w:rPr>
                <w:sz w:val="20"/>
                <w:szCs w:val="20"/>
                <w:color w:val="auto"/>
              </w:rPr>
            </w:pPr>
            <w:r>
              <w:rPr>
                <w:rFonts w:ascii="Arial" w:cs="Arial" w:eastAsia="Arial" w:hAnsi="Arial"/>
                <w:sz w:val="18"/>
                <w:szCs w:val="18"/>
                <w:color w:val="auto"/>
              </w:rPr>
              <w:t>lauri.julian@towerjazz.com</w:t>
            </w:r>
          </w:p>
        </w:tc>
      </w:tr>
      <w:tr>
        <w:trPr>
          <w:trHeight w:val="432"/>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Investor Relations Contact: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noit.levi@towerjazz.com</w:t>
            </w:r>
          </w:p>
        </w:tc>
        <w:tc>
          <w:tcPr>
            <w:tcW w:w="1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587"/>
        </w:trPr>
        <w:tc>
          <w:tcPr>
            <w:tcW w:w="1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37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2019-12-10T12:56:20Z</dcterms:created>
  <dcterms:modified xsi:type="dcterms:W3CDTF">2019-12-10T12:56:20Z</dcterms:modified>
</cp:coreProperties>
</file>