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ind w:left="1120"/>
        <w:spacing w:after="0"/>
        <w:rPr>
          <w:sz w:val="20"/>
          <w:szCs w:val="20"/>
          <w:color w:val="auto"/>
        </w:rPr>
      </w:pPr>
      <w:r>
        <w:rPr>
          <w:rFonts w:ascii="Courier New" w:cs="Courier New" w:eastAsia="Courier New" w:hAnsi="Courier New"/>
          <w:sz w:val="12"/>
          <w:szCs w:val="12"/>
          <w:color w:val="auto"/>
        </w:rPr>
        <w:t>UNITED STATES SECURITIES AND EXCHANGE COMMISSION</w:t>
      </w:r>
    </w:p>
    <w:tbl>
      <w:tblPr>
        <w:tblLayout w:type="fixed"/>
        <w:tblInd w:w="60" w:type="dxa"/>
        <w:tblCellMar>
          <w:top w:w="0" w:type="dxa"/>
          <w:left w:w="0" w:type="dxa"/>
          <w:bottom w:w="0" w:type="dxa"/>
          <w:right w:w="0" w:type="dxa"/>
        </w:tblCellMar>
      </w:tblPr>
      <w:tr>
        <w:trPr>
          <w:trHeight w:val="135"/>
        </w:trPr>
        <w:tc>
          <w:tcPr>
            <w:tcW w:w="3120" w:type="dxa"/>
            <w:vAlign w:val="bottom"/>
          </w:tcPr>
          <w:p>
            <w:pPr>
              <w:jc w:val="right"/>
              <w:spacing w:after="0"/>
              <w:rPr>
                <w:sz w:val="20"/>
                <w:szCs w:val="20"/>
                <w:color w:val="auto"/>
              </w:rPr>
            </w:pPr>
            <w:r>
              <w:rPr>
                <w:rFonts w:ascii="Courier New" w:cs="Courier New" w:eastAsia="Courier New" w:hAnsi="Courier New"/>
                <w:sz w:val="12"/>
                <w:szCs w:val="12"/>
                <w:color w:val="auto"/>
              </w:rPr>
              <w:t>WASHINGTON, D.C.</w:t>
            </w:r>
          </w:p>
        </w:tc>
        <w:tc>
          <w:tcPr>
            <w:tcW w:w="2360" w:type="dxa"/>
            <w:vAlign w:val="bottom"/>
          </w:tcPr>
          <w:p>
            <w:pPr>
              <w:ind w:left="40"/>
              <w:spacing w:after="0"/>
              <w:rPr>
                <w:sz w:val="20"/>
                <w:szCs w:val="20"/>
                <w:color w:val="auto"/>
              </w:rPr>
            </w:pPr>
            <w:r>
              <w:rPr>
                <w:rFonts w:ascii="Courier New" w:cs="Courier New" w:eastAsia="Courier New" w:hAnsi="Courier New"/>
                <w:sz w:val="12"/>
                <w:szCs w:val="12"/>
                <w:color w:val="auto"/>
              </w:rPr>
              <w:t>20549</w:t>
            </w:r>
          </w:p>
        </w:tc>
      </w:tr>
      <w:tr>
        <w:trPr>
          <w:trHeight w:val="270"/>
        </w:trPr>
        <w:tc>
          <w:tcPr>
            <w:tcW w:w="3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360" w:type="dxa"/>
            <w:vAlign w:val="bottom"/>
          </w:tcPr>
          <w:p>
            <w:pPr>
              <w:spacing w:after="0"/>
              <w:rPr>
                <w:sz w:val="23"/>
                <w:szCs w:val="23"/>
                <w:color w:val="auto"/>
              </w:rPr>
            </w:pPr>
          </w:p>
        </w:tc>
      </w:tr>
      <w:tr>
        <w:trPr>
          <w:trHeight w:val="135"/>
        </w:trPr>
        <w:tc>
          <w:tcPr>
            <w:tcW w:w="3120" w:type="dxa"/>
            <w:vAlign w:val="bottom"/>
          </w:tcPr>
          <w:p>
            <w:pPr>
              <w:jc w:val="right"/>
              <w:spacing w:after="0"/>
              <w:rPr>
                <w:sz w:val="20"/>
                <w:szCs w:val="20"/>
                <w:color w:val="auto"/>
              </w:rPr>
            </w:pPr>
            <w:r>
              <w:rPr>
                <w:rFonts w:ascii="Courier New" w:cs="Courier New" w:eastAsia="Courier New" w:hAnsi="Courier New"/>
                <w:sz w:val="12"/>
                <w:szCs w:val="12"/>
                <w:color w:val="auto"/>
              </w:rPr>
              <w:t>FORM 20-F</w:t>
            </w:r>
          </w:p>
        </w:tc>
        <w:tc>
          <w:tcPr>
            <w:tcW w:w="2360" w:type="dxa"/>
            <w:vAlign w:val="bottom"/>
          </w:tcPr>
          <w:p>
            <w:pPr>
              <w:spacing w:after="0"/>
              <w:rPr>
                <w:sz w:val="11"/>
                <w:szCs w:val="11"/>
                <w:color w:val="auto"/>
              </w:rPr>
            </w:pPr>
          </w:p>
        </w:tc>
      </w:tr>
      <w:tr>
        <w:trPr>
          <w:trHeight w:val="135"/>
        </w:trPr>
        <w:tc>
          <w:tcPr>
            <w:tcW w:w="31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2360" w:type="dxa"/>
            <w:vAlign w:val="bottom"/>
          </w:tcPr>
          <w:p>
            <w:pPr>
              <w:spacing w:after="0"/>
              <w:rPr>
                <w:sz w:val="11"/>
                <w:szCs w:val="11"/>
                <w:color w:val="auto"/>
              </w:rPr>
            </w:pPr>
          </w:p>
        </w:tc>
      </w:tr>
      <w:tr>
        <w:trPr>
          <w:trHeight w:val="270"/>
        </w:trPr>
        <w:tc>
          <w:tcPr>
            <w:tcW w:w="3120" w:type="dxa"/>
            <w:vAlign w:val="bottom"/>
          </w:tcPr>
          <w:p>
            <w:pPr>
              <w:jc w:val="right"/>
              <w:spacing w:after="0"/>
              <w:rPr>
                <w:sz w:val="20"/>
                <w:szCs w:val="20"/>
                <w:color w:val="auto"/>
              </w:rPr>
            </w:pPr>
            <w:r>
              <w:rPr>
                <w:rFonts w:ascii="Courier New" w:cs="Courier New" w:eastAsia="Courier New" w:hAnsi="Courier New"/>
                <w:sz w:val="12"/>
                <w:szCs w:val="12"/>
                <w:color w:val="auto"/>
              </w:rPr>
              <w:t>ANNUAL REPORT PURSUANT TO SECTION 13</w:t>
            </w:r>
          </w:p>
        </w:tc>
        <w:tc>
          <w:tcPr>
            <w:tcW w:w="2360" w:type="dxa"/>
            <w:vAlign w:val="bottom"/>
          </w:tcPr>
          <w:p>
            <w:pPr>
              <w:ind w:left="40"/>
              <w:spacing w:after="0"/>
              <w:rPr>
                <w:sz w:val="20"/>
                <w:szCs w:val="20"/>
                <w:color w:val="auto"/>
              </w:rPr>
            </w:pPr>
            <w:r>
              <w:rPr>
                <w:rFonts w:ascii="Courier New" w:cs="Courier New" w:eastAsia="Courier New" w:hAnsi="Courier New"/>
                <w:sz w:val="12"/>
                <w:szCs w:val="12"/>
                <w:color w:val="auto"/>
              </w:rPr>
              <w:t>OR 15(D) OF THE SECURITIES</w:t>
            </w:r>
          </w:p>
        </w:tc>
      </w:tr>
      <w:tr>
        <w:trPr>
          <w:trHeight w:val="135"/>
        </w:trPr>
        <w:tc>
          <w:tcPr>
            <w:tcW w:w="3120" w:type="dxa"/>
            <w:vAlign w:val="bottom"/>
          </w:tcPr>
          <w:p>
            <w:pPr>
              <w:jc w:val="right"/>
              <w:spacing w:after="0"/>
              <w:rPr>
                <w:sz w:val="20"/>
                <w:szCs w:val="20"/>
                <w:color w:val="auto"/>
              </w:rPr>
            </w:pPr>
            <w:r>
              <w:rPr>
                <w:rFonts w:ascii="Courier New" w:cs="Courier New" w:eastAsia="Courier New" w:hAnsi="Courier New"/>
                <w:sz w:val="12"/>
                <w:szCs w:val="12"/>
                <w:color w:val="auto"/>
              </w:rPr>
              <w:t>EXCHANGE ACT OF</w:t>
            </w:r>
          </w:p>
        </w:tc>
        <w:tc>
          <w:tcPr>
            <w:tcW w:w="2360" w:type="dxa"/>
            <w:vAlign w:val="bottom"/>
          </w:tcPr>
          <w:p>
            <w:pPr>
              <w:ind w:left="40"/>
              <w:spacing w:after="0"/>
              <w:rPr>
                <w:sz w:val="20"/>
                <w:szCs w:val="20"/>
                <w:color w:val="auto"/>
              </w:rPr>
            </w:pPr>
            <w:r>
              <w:rPr>
                <w:rFonts w:ascii="Courier New" w:cs="Courier New" w:eastAsia="Courier New" w:hAnsi="Courier New"/>
                <w:sz w:val="12"/>
                <w:szCs w:val="12"/>
                <w:color w:val="auto"/>
              </w:rPr>
              <w:t>1934</w:t>
            </w:r>
          </w:p>
        </w:tc>
      </w:tr>
      <w:tr>
        <w:trPr>
          <w:trHeight w:val="270"/>
        </w:trPr>
        <w:tc>
          <w:tcPr>
            <w:tcW w:w="312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6"/>
              </w:rPr>
              <w:t>FOR THE FISCAL YEAR ENDED DECEMBER 31, 2007</w:t>
            </w:r>
          </w:p>
        </w:tc>
        <w:tc>
          <w:tcPr>
            <w:tcW w:w="2360" w:type="dxa"/>
            <w:vAlign w:val="bottom"/>
          </w:tcPr>
          <w:p>
            <w:pPr>
              <w:ind w:left="180"/>
              <w:spacing w:after="0"/>
              <w:rPr>
                <w:sz w:val="20"/>
                <w:szCs w:val="20"/>
                <w:color w:val="auto"/>
              </w:rPr>
            </w:pPr>
            <w:r>
              <w:rPr>
                <w:rFonts w:ascii="Courier New" w:cs="Courier New" w:eastAsia="Courier New" w:hAnsi="Courier New"/>
                <w:sz w:val="12"/>
                <w:szCs w:val="12"/>
                <w:color w:val="auto"/>
                <w:w w:val="96"/>
              </w:rPr>
              <w:t>COMMISSION FILE NUMBER: 0-24790</w:t>
            </w:r>
          </w:p>
        </w:tc>
      </w:tr>
    </w:tbl>
    <w:p>
      <w:pPr>
        <w:spacing w:after="0" w:line="134" w:lineRule="exact"/>
        <w:rPr>
          <w:sz w:val="24"/>
          <w:szCs w:val="24"/>
          <w:color w:val="auto"/>
        </w:rPr>
      </w:pPr>
    </w:p>
    <w:p>
      <w:pPr>
        <w:ind w:left="1180"/>
        <w:spacing w:after="0"/>
        <w:rPr>
          <w:sz w:val="20"/>
          <w:szCs w:val="20"/>
          <w:color w:val="auto"/>
        </w:rPr>
      </w:pPr>
      <w:r>
        <w:rPr>
          <w:rFonts w:ascii="Courier New" w:cs="Courier New" w:eastAsia="Courier New" w:hAnsi="Courier New"/>
          <w:sz w:val="12"/>
          <w:szCs w:val="12"/>
          <w:color w:val="auto"/>
        </w:rPr>
        <w:t>-----------------------------------------------</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TOWER SEMICONDUCTOR LTD.</w:t>
      </w:r>
    </w:p>
    <w:p>
      <w:pPr>
        <w:jc w:val="center"/>
        <w:ind w:right="4619"/>
        <w:spacing w:after="0"/>
        <w:rPr>
          <w:sz w:val="20"/>
          <w:szCs w:val="20"/>
          <w:color w:val="auto"/>
        </w:rPr>
      </w:pPr>
      <w:r>
        <w:rPr>
          <w:rFonts w:ascii="Courier New" w:cs="Courier New" w:eastAsia="Courier New" w:hAnsi="Courier New"/>
          <w:sz w:val="12"/>
          <w:szCs w:val="12"/>
          <w:color w:val="auto"/>
        </w:rPr>
        <w:t>(Exact name of registrant as specified in its charter and translation of</w:t>
      </w:r>
    </w:p>
    <w:p>
      <w:pPr>
        <w:jc w:val="center"/>
        <w:ind w:right="4559"/>
        <w:spacing w:after="0" w:line="237" w:lineRule="auto"/>
        <w:rPr>
          <w:sz w:val="20"/>
          <w:szCs w:val="20"/>
          <w:color w:val="auto"/>
        </w:rPr>
      </w:pPr>
      <w:r>
        <w:rPr>
          <w:rFonts w:ascii="Courier New" w:cs="Courier New" w:eastAsia="Courier New" w:hAnsi="Courier New"/>
          <w:sz w:val="12"/>
          <w:szCs w:val="12"/>
          <w:color w:val="auto"/>
        </w:rPr>
        <w:t>registrant's name into English)</w:t>
      </w:r>
    </w:p>
    <w:p>
      <w:pPr>
        <w:spacing w:after="0" w:line="139"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 --------------------------------------------------------------------------------</w:t>
      </w:r>
    </w:p>
    <w:p>
      <w:pPr>
        <w:spacing w:after="0" w:line="6"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ISRAEL</w:t>
      </w:r>
    </w:p>
    <w:p>
      <w:pPr>
        <w:jc w:val="center"/>
        <w:ind w:right="4559"/>
        <w:spacing w:after="0"/>
        <w:rPr>
          <w:sz w:val="20"/>
          <w:szCs w:val="20"/>
          <w:color w:val="auto"/>
        </w:rPr>
      </w:pPr>
      <w:r>
        <w:rPr>
          <w:rFonts w:ascii="Courier New" w:cs="Courier New" w:eastAsia="Courier New" w:hAnsi="Courier New"/>
          <w:sz w:val="12"/>
          <w:szCs w:val="12"/>
          <w:color w:val="auto"/>
        </w:rPr>
        <w:t>(Jurisdiction of incorporation or organization)</w:t>
      </w:r>
    </w:p>
    <w:p>
      <w:pPr>
        <w:spacing w:after="0" w:line="133" w:lineRule="exact"/>
        <w:rPr>
          <w:sz w:val="24"/>
          <w:szCs w:val="24"/>
          <w:color w:val="auto"/>
        </w:rPr>
      </w:pPr>
    </w:p>
    <w:p>
      <w:pPr>
        <w:jc w:val="center"/>
        <w:ind w:right="4559"/>
        <w:spacing w:after="0"/>
        <w:rPr>
          <w:sz w:val="20"/>
          <w:szCs w:val="20"/>
          <w:color w:val="auto"/>
        </w:rPr>
      </w:pPr>
      <w:r>
        <w:rPr>
          <w:rFonts w:ascii="Courier New" w:cs="Courier New" w:eastAsia="Courier New" w:hAnsi="Courier New"/>
          <w:sz w:val="12"/>
          <w:szCs w:val="12"/>
          <w:color w:val="auto"/>
        </w:rPr>
        <w:t>RAMAT GAVRIEL INDUSTRIAL PARK</w:t>
      </w:r>
    </w:p>
    <w:p>
      <w:pPr>
        <w:ind w:left="1400"/>
        <w:spacing w:after="0"/>
        <w:rPr>
          <w:sz w:val="20"/>
          <w:szCs w:val="20"/>
          <w:color w:val="auto"/>
        </w:rPr>
      </w:pPr>
      <w:r>
        <w:rPr>
          <w:rFonts w:ascii="Courier New" w:cs="Courier New" w:eastAsia="Courier New" w:hAnsi="Courier New"/>
          <w:sz w:val="12"/>
          <w:szCs w:val="12"/>
          <w:color w:val="auto"/>
        </w:rPr>
        <w:t>P.O. BOX 619, MIGDAL HAEMEK, ISRAEL 23105</w:t>
      </w:r>
    </w:p>
    <w:p>
      <w:pPr>
        <w:ind w:left="1400"/>
        <w:spacing w:after="0" w:line="237" w:lineRule="auto"/>
        <w:rPr>
          <w:sz w:val="20"/>
          <w:szCs w:val="20"/>
          <w:color w:val="auto"/>
        </w:rPr>
      </w:pPr>
      <w:r>
        <w:rPr>
          <w:rFonts w:ascii="Courier New" w:cs="Courier New" w:eastAsia="Courier New" w:hAnsi="Courier New"/>
          <w:sz w:val="12"/>
          <w:szCs w:val="12"/>
          <w:color w:val="auto"/>
        </w:rPr>
        <w:t>(Address of principal executive offices)</w:t>
      </w:r>
    </w:p>
    <w:p>
      <w:pPr>
        <w:spacing w:after="0" w:line="134" w:lineRule="exact"/>
        <w:rPr>
          <w:sz w:val="24"/>
          <w:szCs w:val="24"/>
          <w:color w:val="auto"/>
        </w:rPr>
      </w:pPr>
    </w:p>
    <w:p>
      <w:pPr>
        <w:ind w:left="1320"/>
        <w:spacing w:after="0"/>
        <w:rPr>
          <w:sz w:val="20"/>
          <w:szCs w:val="20"/>
          <w:color w:val="auto"/>
        </w:rPr>
      </w:pPr>
      <w:r>
        <w:rPr>
          <w:rFonts w:ascii="Courier New" w:cs="Courier New" w:eastAsia="Courier New" w:hAnsi="Courier New"/>
          <w:sz w:val="12"/>
          <w:szCs w:val="12"/>
          <w:color w:val="auto"/>
        </w:rPr>
        <w:t>-------------------------------------------</w:t>
      </w:r>
    </w:p>
    <w:p>
      <w:pPr>
        <w:spacing w:after="0" w:line="134" w:lineRule="exact"/>
        <w:rPr>
          <w:sz w:val="24"/>
          <w:szCs w:val="24"/>
          <w:color w:val="auto"/>
        </w:rPr>
      </w:pPr>
    </w:p>
    <w:p>
      <w:pPr>
        <w:ind w:left="60"/>
        <w:spacing w:after="0"/>
        <w:rPr>
          <w:sz w:val="20"/>
          <w:szCs w:val="20"/>
          <w:color w:val="auto"/>
        </w:rPr>
      </w:pPr>
      <w:r>
        <w:rPr>
          <w:rFonts w:ascii="Courier New" w:cs="Courier New" w:eastAsia="Courier New" w:hAnsi="Courier New"/>
          <w:sz w:val="12"/>
          <w:szCs w:val="12"/>
          <w:color w:val="auto"/>
        </w:rPr>
        <w:t>SECURITIES REGISTERED OR TO BE REGISTERED PURSUANT TO SECTION 12(B) OF THE ACT:</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136"/>
        </w:trPr>
        <w:tc>
          <w:tcPr>
            <w:tcW w:w="2700" w:type="dxa"/>
            <w:vAlign w:val="bottom"/>
          </w:tcPr>
          <w:p>
            <w:pPr>
              <w:ind w:left="620"/>
              <w:spacing w:after="0"/>
              <w:rPr>
                <w:sz w:val="20"/>
                <w:szCs w:val="20"/>
                <w:color w:val="auto"/>
              </w:rPr>
            </w:pPr>
            <w:r>
              <w:rPr>
                <w:rFonts w:ascii="Courier New" w:cs="Courier New" w:eastAsia="Courier New" w:hAnsi="Courier New"/>
                <w:sz w:val="12"/>
                <w:szCs w:val="12"/>
                <w:color w:val="auto"/>
              </w:rPr>
              <w:t>TITLE OF EACH CLASS</w:t>
            </w:r>
          </w:p>
        </w:tc>
        <w:tc>
          <w:tcPr>
            <w:tcW w:w="1760" w:type="dxa"/>
            <w:vAlign w:val="bottom"/>
          </w:tcPr>
          <w:p>
            <w:pPr>
              <w:jc w:val="right"/>
              <w:spacing w:after="0"/>
              <w:rPr>
                <w:sz w:val="20"/>
                <w:szCs w:val="20"/>
                <w:color w:val="auto"/>
              </w:rPr>
            </w:pPr>
            <w:r>
              <w:rPr>
                <w:rFonts w:ascii="Courier New" w:cs="Courier New" w:eastAsia="Courier New" w:hAnsi="Courier New"/>
                <w:sz w:val="12"/>
                <w:szCs w:val="12"/>
                <w:color w:val="auto"/>
                <w:w w:val="98"/>
              </w:rPr>
              <w:t>NAME OF EACH EXCHANGE ON</w:t>
            </w:r>
          </w:p>
        </w:tc>
        <w:tc>
          <w:tcPr>
            <w:tcW w:w="1160" w:type="dxa"/>
            <w:vAlign w:val="bottom"/>
          </w:tcPr>
          <w:p>
            <w:pPr>
              <w:ind w:left="20"/>
              <w:spacing w:after="0"/>
              <w:rPr>
                <w:sz w:val="20"/>
                <w:szCs w:val="20"/>
                <w:color w:val="auto"/>
              </w:rPr>
            </w:pPr>
            <w:r>
              <w:rPr>
                <w:rFonts w:ascii="Courier New" w:cs="Courier New" w:eastAsia="Courier New" w:hAnsi="Courier New"/>
                <w:sz w:val="12"/>
                <w:szCs w:val="12"/>
                <w:color w:val="auto"/>
                <w:w w:val="97"/>
              </w:rPr>
              <w:t>WHICH REGISTERED</w:t>
            </w:r>
          </w:p>
        </w:tc>
      </w:tr>
      <w:tr>
        <w:trPr>
          <w:trHeight w:val="135"/>
        </w:trPr>
        <w:tc>
          <w:tcPr>
            <w:tcW w:w="2700" w:type="dxa"/>
            <w:vAlign w:val="bottom"/>
          </w:tcPr>
          <w:p>
            <w:pPr>
              <w:spacing w:after="0"/>
              <w:rPr>
                <w:sz w:val="20"/>
                <w:szCs w:val="20"/>
                <w:color w:val="auto"/>
              </w:rPr>
            </w:pPr>
            <w:r>
              <w:rPr>
                <w:rFonts w:ascii="Courier New" w:cs="Courier New" w:eastAsia="Courier New" w:hAnsi="Courier New"/>
                <w:sz w:val="12"/>
                <w:szCs w:val="12"/>
                <w:color w:val="auto"/>
                <w:w w:val="97"/>
              </w:rPr>
              <w:t>Ordinary Shares, par value New Israeli</w:t>
            </w:r>
          </w:p>
        </w:tc>
        <w:tc>
          <w:tcPr>
            <w:tcW w:w="1760" w:type="dxa"/>
            <w:vAlign w:val="bottom"/>
          </w:tcPr>
          <w:p>
            <w:pPr>
              <w:jc w:val="right"/>
              <w:spacing w:after="0"/>
              <w:rPr>
                <w:sz w:val="20"/>
                <w:szCs w:val="20"/>
                <w:color w:val="auto"/>
              </w:rPr>
            </w:pPr>
            <w:r>
              <w:rPr>
                <w:rFonts w:ascii="Courier New" w:cs="Courier New" w:eastAsia="Courier New" w:hAnsi="Courier New"/>
                <w:sz w:val="12"/>
                <w:szCs w:val="12"/>
                <w:color w:val="auto"/>
              </w:rPr>
              <w:t>NASDAQ Global</w:t>
            </w:r>
          </w:p>
        </w:tc>
        <w:tc>
          <w:tcPr>
            <w:tcW w:w="1160" w:type="dxa"/>
            <w:vAlign w:val="bottom"/>
          </w:tcPr>
          <w:p>
            <w:pPr>
              <w:ind w:left="20"/>
              <w:spacing w:after="0"/>
              <w:rPr>
                <w:sz w:val="20"/>
                <w:szCs w:val="20"/>
                <w:color w:val="auto"/>
              </w:rPr>
            </w:pPr>
            <w:r>
              <w:rPr>
                <w:rFonts w:ascii="Courier New" w:cs="Courier New" w:eastAsia="Courier New" w:hAnsi="Courier New"/>
                <w:sz w:val="12"/>
                <w:szCs w:val="12"/>
                <w:color w:val="auto"/>
              </w:rPr>
              <w:t>Market</w:t>
            </w:r>
          </w:p>
        </w:tc>
      </w:tr>
      <w:tr>
        <w:trPr>
          <w:trHeight w:val="135"/>
        </w:trPr>
        <w:tc>
          <w:tcPr>
            <w:tcW w:w="2700" w:type="dxa"/>
            <w:vAlign w:val="bottom"/>
          </w:tcPr>
          <w:p>
            <w:pPr>
              <w:ind w:left="480"/>
              <w:spacing w:after="0"/>
              <w:rPr>
                <w:sz w:val="20"/>
                <w:szCs w:val="20"/>
                <w:color w:val="auto"/>
              </w:rPr>
            </w:pPr>
            <w:r>
              <w:rPr>
                <w:rFonts w:ascii="Courier New" w:cs="Courier New" w:eastAsia="Courier New" w:hAnsi="Courier New"/>
                <w:sz w:val="12"/>
                <w:szCs w:val="12"/>
                <w:color w:val="auto"/>
              </w:rPr>
              <w:t>Shekels 1.00 per share</w:t>
            </w:r>
          </w:p>
        </w:tc>
        <w:tc>
          <w:tcPr>
            <w:tcW w:w="17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270"/>
        </w:trPr>
        <w:tc>
          <w:tcPr>
            <w:tcW w:w="2700" w:type="dxa"/>
            <w:vAlign w:val="bottom"/>
          </w:tcPr>
          <w:p>
            <w:pPr>
              <w:ind w:left="340"/>
              <w:spacing w:after="0"/>
              <w:rPr>
                <w:sz w:val="20"/>
                <w:szCs w:val="20"/>
                <w:color w:val="auto"/>
              </w:rPr>
            </w:pPr>
            <w:r>
              <w:rPr>
                <w:rFonts w:ascii="Courier New" w:cs="Courier New" w:eastAsia="Courier New" w:hAnsi="Courier New"/>
                <w:sz w:val="12"/>
                <w:szCs w:val="12"/>
                <w:color w:val="auto"/>
              </w:rPr>
              <w:t>Convertible Debentures</w:t>
            </w:r>
          </w:p>
        </w:tc>
        <w:tc>
          <w:tcPr>
            <w:tcW w:w="1760" w:type="dxa"/>
            <w:vAlign w:val="bottom"/>
          </w:tcPr>
          <w:p>
            <w:pPr>
              <w:jc w:val="right"/>
              <w:spacing w:after="0"/>
              <w:rPr>
                <w:sz w:val="20"/>
                <w:szCs w:val="20"/>
                <w:color w:val="auto"/>
              </w:rPr>
            </w:pPr>
            <w:r>
              <w:rPr>
                <w:rFonts w:ascii="Courier New" w:cs="Courier New" w:eastAsia="Courier New" w:hAnsi="Courier New"/>
                <w:sz w:val="12"/>
                <w:szCs w:val="12"/>
                <w:color w:val="auto"/>
              </w:rPr>
              <w:t>NASDAQ Capital</w:t>
            </w:r>
          </w:p>
        </w:tc>
        <w:tc>
          <w:tcPr>
            <w:tcW w:w="1160" w:type="dxa"/>
            <w:vAlign w:val="bottom"/>
          </w:tcPr>
          <w:p>
            <w:pPr>
              <w:ind w:left="20"/>
              <w:spacing w:after="0"/>
              <w:rPr>
                <w:sz w:val="20"/>
                <w:szCs w:val="20"/>
                <w:color w:val="auto"/>
              </w:rPr>
            </w:pPr>
            <w:r>
              <w:rPr>
                <w:rFonts w:ascii="Courier New" w:cs="Courier New" w:eastAsia="Courier New" w:hAnsi="Courier New"/>
                <w:sz w:val="12"/>
                <w:szCs w:val="12"/>
                <w:color w:val="auto"/>
              </w:rPr>
              <w:t>Market</w:t>
            </w:r>
          </w:p>
        </w:tc>
      </w:tr>
    </w:tbl>
    <w:p>
      <w:pPr>
        <w:spacing w:after="0" w:line="139" w:lineRule="exact"/>
        <w:rPr>
          <w:sz w:val="24"/>
          <w:szCs w:val="24"/>
          <w:color w:val="auto"/>
        </w:rPr>
      </w:pPr>
    </w:p>
    <w:p>
      <w:pPr>
        <w:jc w:val="center"/>
        <w:ind w:right="4559"/>
        <w:spacing w:after="0"/>
        <w:rPr>
          <w:sz w:val="20"/>
          <w:szCs w:val="20"/>
          <w:color w:val="auto"/>
        </w:rPr>
      </w:pPr>
      <w:r>
        <w:rPr>
          <w:rFonts w:ascii="Courier New" w:cs="Courier New" w:eastAsia="Courier New" w:hAnsi="Courier New"/>
          <w:sz w:val="11"/>
          <w:szCs w:val="11"/>
          <w:color w:val="auto"/>
        </w:rPr>
        <w:t>SECURITIES REGISTERED OR TO BE REGISTERED PURSUANT TO SECTION 12(G) OF THE ACT:</w:t>
      </w:r>
    </w:p>
    <w:p>
      <w:pPr>
        <w:spacing w:after="0" w:line="6"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None</w:t>
      </w:r>
    </w:p>
    <w:p>
      <w:pPr>
        <w:spacing w:after="0" w:line="134" w:lineRule="exact"/>
        <w:rPr>
          <w:sz w:val="24"/>
          <w:szCs w:val="24"/>
          <w:color w:val="auto"/>
        </w:rPr>
      </w:pPr>
    </w:p>
    <w:p>
      <w:pPr>
        <w:jc w:val="center"/>
        <w:ind w:right="4619"/>
        <w:spacing w:after="0"/>
        <w:rPr>
          <w:sz w:val="20"/>
          <w:szCs w:val="20"/>
          <w:color w:val="auto"/>
        </w:rPr>
      </w:pPr>
      <w:r>
        <w:rPr>
          <w:rFonts w:ascii="Courier New" w:cs="Courier New" w:eastAsia="Courier New" w:hAnsi="Courier New"/>
          <w:sz w:val="12"/>
          <w:szCs w:val="12"/>
          <w:color w:val="auto"/>
        </w:rPr>
        <w:t>SECURITIES FOR WHICH THERE IS A REPORTING OBLIGATION PURSUANT TO SECTION 15(D)</w:t>
      </w:r>
    </w:p>
    <w:p>
      <w:pPr>
        <w:jc w:val="center"/>
        <w:ind w:right="4619"/>
        <w:spacing w:after="0"/>
        <w:rPr>
          <w:sz w:val="20"/>
          <w:szCs w:val="20"/>
          <w:color w:val="auto"/>
        </w:rPr>
      </w:pPr>
      <w:r>
        <w:rPr>
          <w:rFonts w:ascii="Courier New" w:cs="Courier New" w:eastAsia="Courier New" w:hAnsi="Courier New"/>
          <w:sz w:val="12"/>
          <w:szCs w:val="12"/>
          <w:color w:val="auto"/>
        </w:rPr>
        <w:t>OF THE ACT: None</w:t>
      </w:r>
    </w:p>
    <w:p>
      <w:pPr>
        <w:spacing w:after="0" w:line="138" w:lineRule="exact"/>
        <w:rPr>
          <w:sz w:val="24"/>
          <w:szCs w:val="24"/>
          <w:color w:val="auto"/>
        </w:rPr>
      </w:pPr>
    </w:p>
    <w:p>
      <w:pPr>
        <w:jc w:val="both"/>
        <w:ind w:right="4759" w:firstLine="351"/>
        <w:spacing w:after="0" w:line="236" w:lineRule="auto"/>
        <w:rPr>
          <w:sz w:val="20"/>
          <w:szCs w:val="20"/>
          <w:color w:val="auto"/>
        </w:rPr>
      </w:pPr>
      <w:r>
        <w:rPr>
          <w:rFonts w:ascii="Courier New" w:cs="Courier New" w:eastAsia="Courier New" w:hAnsi="Courier New"/>
          <w:sz w:val="12"/>
          <w:szCs w:val="12"/>
          <w:color w:val="auto"/>
        </w:rPr>
        <w:t>Indicate the number of outstanding shares of each of the issuer's classes of capital or common stock as of the close of the period covered by the annual report: 124,226,116 Ordinary Shares</w:t>
      </w:r>
    </w:p>
    <w:p>
      <w:pPr>
        <w:spacing w:after="0" w:line="139" w:lineRule="exact"/>
        <w:rPr>
          <w:sz w:val="24"/>
          <w:szCs w:val="24"/>
          <w:color w:val="auto"/>
        </w:rPr>
      </w:pPr>
    </w:p>
    <w:p>
      <w:pPr>
        <w:jc w:val="both"/>
        <w:ind w:right="4759" w:firstLine="351"/>
        <w:spacing w:after="0" w:line="235" w:lineRule="auto"/>
        <w:rPr>
          <w:sz w:val="20"/>
          <w:szCs w:val="20"/>
          <w:color w:val="auto"/>
        </w:rPr>
      </w:pPr>
      <w:r>
        <w:rPr>
          <w:rFonts w:ascii="Courier New" w:cs="Courier New" w:eastAsia="Courier New" w:hAnsi="Courier New"/>
          <w:sz w:val="12"/>
          <w:szCs w:val="12"/>
          <w:color w:val="auto"/>
        </w:rPr>
        <w:t>Indicate by check mark if the registrant is a well-known seasoned issuer, as defined in Rule 405 of the Securities Act.</w:t>
      </w:r>
    </w:p>
    <w:p>
      <w:pPr>
        <w:spacing w:after="0" w:line="135" w:lineRule="exact"/>
        <w:rPr>
          <w:sz w:val="24"/>
          <w:szCs w:val="24"/>
          <w:color w:val="auto"/>
        </w:rPr>
      </w:pPr>
    </w:p>
    <w:p>
      <w:pPr>
        <w:ind w:left="2180"/>
        <w:spacing w:after="0"/>
        <w:tabs>
          <w:tab w:leader="none" w:pos="300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139" w:lineRule="exact"/>
        <w:rPr>
          <w:sz w:val="24"/>
          <w:szCs w:val="24"/>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If this report is an annual or transition report, indicate by check mark if the registrant is not required to file reports pursuant to Section 13 or 15(d) of the Securities Exchange Act of 1934.</w:t>
      </w:r>
    </w:p>
    <w:p>
      <w:pPr>
        <w:spacing w:after="0" w:line="135" w:lineRule="exact"/>
        <w:rPr>
          <w:sz w:val="24"/>
          <w:szCs w:val="24"/>
          <w:color w:val="auto"/>
        </w:rPr>
      </w:pPr>
    </w:p>
    <w:p>
      <w:pPr>
        <w:ind w:left="2180"/>
        <w:spacing w:after="0"/>
        <w:tabs>
          <w:tab w:leader="none" w:pos="300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139" w:lineRule="exact"/>
        <w:rPr>
          <w:sz w:val="24"/>
          <w:szCs w:val="24"/>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2180"/>
        <w:spacing w:after="0"/>
        <w:tabs>
          <w:tab w:leader="none" w:pos="3000" w:val="left"/>
        </w:tabs>
        <w:rPr>
          <w:sz w:val="20"/>
          <w:szCs w:val="20"/>
          <w:color w:val="auto"/>
        </w:rPr>
      </w:pPr>
      <w:r>
        <w:rPr>
          <w:rFonts w:ascii="Courier New" w:cs="Courier New" w:eastAsia="Courier New" w:hAnsi="Courier New"/>
          <w:sz w:val="12"/>
          <w:szCs w:val="12"/>
          <w:color w:val="auto"/>
        </w:rPr>
        <w:t>Yes [X]</w:t>
      </w:r>
      <w:r>
        <w:rPr>
          <w:sz w:val="20"/>
          <w:szCs w:val="20"/>
          <w:color w:val="auto"/>
        </w:rPr>
        <w:tab/>
      </w:r>
      <w:r>
        <w:rPr>
          <w:rFonts w:ascii="Courier New" w:cs="Courier New" w:eastAsia="Courier New" w:hAnsi="Courier New"/>
          <w:sz w:val="11"/>
          <w:szCs w:val="11"/>
          <w:color w:val="auto"/>
        </w:rPr>
        <w:t>No [_]</w:t>
      </w:r>
    </w:p>
    <w:p>
      <w:pPr>
        <w:spacing w:after="0" w:line="139" w:lineRule="exact"/>
        <w:rPr>
          <w:sz w:val="24"/>
          <w:szCs w:val="24"/>
          <w:color w:val="auto"/>
        </w:rPr>
      </w:pPr>
    </w:p>
    <w:p>
      <w:pPr>
        <w:jc w:val="both"/>
        <w:ind w:right="4619" w:firstLine="351"/>
        <w:spacing w:after="0" w:line="266" w:lineRule="auto"/>
        <w:rPr>
          <w:sz w:val="20"/>
          <w:szCs w:val="20"/>
          <w:color w:val="auto"/>
        </w:rPr>
      </w:pPr>
      <w:r>
        <w:rPr>
          <w:rFonts w:ascii="Courier New" w:cs="Courier New" w:eastAsia="Courier New" w:hAnsi="Courier New"/>
          <w:sz w:val="11"/>
          <w:szCs w:val="1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22" w:lineRule="exact"/>
        <w:rPr>
          <w:sz w:val="24"/>
          <w:szCs w:val="24"/>
          <w:color w:val="auto"/>
        </w:rPr>
      </w:pPr>
    </w:p>
    <w:p>
      <w:pPr>
        <w:ind w:left="60"/>
        <w:spacing w:after="0"/>
        <w:tabs>
          <w:tab w:leader="none" w:pos="2160" w:val="left"/>
          <w:tab w:leader="none" w:pos="3840" w:val="left"/>
        </w:tabs>
        <w:rPr>
          <w:sz w:val="20"/>
          <w:szCs w:val="20"/>
          <w:color w:val="auto"/>
        </w:rPr>
      </w:pPr>
      <w:r>
        <w:rPr>
          <w:rFonts w:ascii="Courier New" w:cs="Courier New" w:eastAsia="Courier New" w:hAnsi="Courier New"/>
          <w:sz w:val="12"/>
          <w:szCs w:val="12"/>
          <w:color w:val="auto"/>
        </w:rPr>
        <w:t>Large accelerated filer [_]</w:t>
      </w:r>
      <w:r>
        <w:rPr>
          <w:sz w:val="20"/>
          <w:szCs w:val="20"/>
          <w:color w:val="auto"/>
        </w:rPr>
        <w:tab/>
      </w:r>
      <w:r>
        <w:rPr>
          <w:rFonts w:ascii="Courier New" w:cs="Courier New" w:eastAsia="Courier New" w:hAnsi="Courier New"/>
          <w:sz w:val="12"/>
          <w:szCs w:val="12"/>
          <w:color w:val="auto"/>
        </w:rPr>
        <w:t>Accelerated filer [_]</w:t>
      </w:r>
      <w:r>
        <w:rPr>
          <w:sz w:val="20"/>
          <w:szCs w:val="20"/>
          <w:color w:val="auto"/>
        </w:rPr>
        <w:tab/>
      </w:r>
      <w:r>
        <w:rPr>
          <w:rFonts w:ascii="Courier New" w:cs="Courier New" w:eastAsia="Courier New" w:hAnsi="Courier New"/>
          <w:sz w:val="11"/>
          <w:szCs w:val="11"/>
          <w:color w:val="auto"/>
        </w:rPr>
        <w:t>Non-accelerated filer [X]</w:t>
      </w:r>
    </w:p>
    <w:p>
      <w:pPr>
        <w:spacing w:after="0" w:line="139" w:lineRule="exact"/>
        <w:rPr>
          <w:sz w:val="24"/>
          <w:szCs w:val="24"/>
          <w:color w:val="auto"/>
        </w:rPr>
      </w:pPr>
    </w:p>
    <w:p>
      <w:pPr>
        <w:jc w:val="both"/>
        <w:ind w:right="4619" w:firstLine="351"/>
        <w:spacing w:after="0" w:line="235" w:lineRule="auto"/>
        <w:rPr>
          <w:sz w:val="20"/>
          <w:szCs w:val="20"/>
          <w:color w:val="auto"/>
        </w:rPr>
      </w:pPr>
      <w:r>
        <w:rPr>
          <w:rFonts w:ascii="Courier New" w:cs="Courier New" w:eastAsia="Courier New" w:hAnsi="Courier New"/>
          <w:sz w:val="12"/>
          <w:szCs w:val="12"/>
          <w:color w:val="auto"/>
        </w:rPr>
        <w:t>Indicate by check mark which basis of accounting the registrant has used to prepare the financial statements included in this filing:</w:t>
      </w:r>
    </w:p>
    <w:p>
      <w:pPr>
        <w:sectPr>
          <w:pgSz w:w="11900" w:h="16867" w:orient="portrait"/>
          <w:cols w:equalWidth="0" w:num="1">
            <w:col w:w="10239"/>
          </w:cols>
          <w:pgMar w:left="220" w:top="47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 -------------------</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US GAAP [X]</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1"/>
          <w:szCs w:val="11"/>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140"/>
        <w:spacing w:after="0"/>
        <w:rPr>
          <w:sz w:val="20"/>
          <w:szCs w:val="20"/>
          <w:color w:val="auto"/>
        </w:rPr>
      </w:pPr>
      <w:r>
        <w:rPr>
          <w:rFonts w:ascii="Courier New" w:cs="Courier New" w:eastAsia="Courier New" w:hAnsi="Courier New"/>
          <w:sz w:val="11"/>
          <w:szCs w:val="11"/>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International Financial Reporting</w:t>
      </w:r>
    </w:p>
    <w:p>
      <w:pPr>
        <w:spacing w:after="0"/>
        <w:rPr>
          <w:sz w:val="20"/>
          <w:szCs w:val="20"/>
          <w:color w:val="auto"/>
        </w:rPr>
      </w:pPr>
      <w:r>
        <w:rPr>
          <w:rFonts w:ascii="Courier New" w:cs="Courier New" w:eastAsia="Courier New" w:hAnsi="Courier New"/>
          <w:sz w:val="12"/>
          <w:szCs w:val="12"/>
          <w:color w:val="auto"/>
        </w:rPr>
        <w:t>Standards as issued by the</w:t>
      </w:r>
    </w:p>
    <w:p>
      <w:pPr>
        <w:spacing w:after="0" w:line="237" w:lineRule="auto"/>
        <w:rPr>
          <w:sz w:val="20"/>
          <w:szCs w:val="20"/>
          <w:color w:val="auto"/>
        </w:rPr>
      </w:pPr>
      <w:r>
        <w:rPr>
          <w:rFonts w:ascii="Courier New" w:cs="Courier New" w:eastAsia="Courier New" w:hAnsi="Courier New"/>
          <w:sz w:val="12"/>
          <w:szCs w:val="12"/>
          <w:color w:val="auto"/>
        </w:rPr>
        <w:t>International Accounting Standards</w:t>
      </w:r>
    </w:p>
    <w:p>
      <w:pPr>
        <w:spacing w:after="0"/>
        <w:tabs>
          <w:tab w:leader="none" w:pos="480" w:val="left"/>
        </w:tabs>
        <w:rPr>
          <w:sz w:val="20"/>
          <w:szCs w:val="20"/>
          <w:color w:val="auto"/>
        </w:rPr>
      </w:pPr>
      <w:r>
        <w:rPr>
          <w:rFonts w:ascii="Courier New" w:cs="Courier New" w:eastAsia="Courier New" w:hAnsi="Courier New"/>
          <w:sz w:val="12"/>
          <w:szCs w:val="12"/>
          <w:color w:val="auto"/>
        </w:rPr>
        <w:t>Board</w:t>
        <w:tab/>
        <w:t>[_]</w:t>
      </w:r>
    </w:p>
    <w:p>
      <w:pPr>
        <w:spacing w:after="0" w:line="3" w:lineRule="exact"/>
        <w:rPr>
          <w:sz w:val="24"/>
          <w:szCs w:val="24"/>
          <w:color w:val="auto"/>
        </w:rPr>
      </w:pPr>
    </w:p>
    <w:p>
      <w:pPr>
        <w:ind w:left="140"/>
        <w:spacing w:after="0"/>
        <w:rPr>
          <w:sz w:val="20"/>
          <w:szCs w:val="20"/>
          <w:color w:val="auto"/>
        </w:rPr>
      </w:pPr>
      <w:r>
        <w:rPr>
          <w:rFonts w:ascii="Courier New" w:cs="Courier New" w:eastAsia="Courier New" w:hAnsi="Courier New"/>
          <w:sz w:val="11"/>
          <w:szCs w:val="11"/>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140"/>
        <w:spacing w:after="0"/>
        <w:rPr>
          <w:sz w:val="20"/>
          <w:szCs w:val="20"/>
          <w:color w:val="auto"/>
        </w:rPr>
      </w:pPr>
      <w:r>
        <w:rPr>
          <w:rFonts w:ascii="Courier New" w:cs="Courier New" w:eastAsia="Courier New" w:hAnsi="Courier New"/>
          <w:sz w:val="11"/>
          <w:szCs w:val="11"/>
          <w:color w:val="auto"/>
        </w:rPr>
        <w:t>-------------------</w:t>
      </w:r>
    </w:p>
    <w:p>
      <w:pPr>
        <w:spacing w:after="0" w:line="6" w:lineRule="exact"/>
        <w:rPr>
          <w:sz w:val="24"/>
          <w:szCs w:val="24"/>
          <w:color w:val="auto"/>
        </w:rPr>
      </w:pPr>
    </w:p>
    <w:p>
      <w:pPr>
        <w:spacing w:after="0"/>
        <w:tabs>
          <w:tab w:leader="none" w:pos="460" w:val="left"/>
        </w:tabs>
        <w:rPr>
          <w:sz w:val="20"/>
          <w:szCs w:val="20"/>
          <w:color w:val="auto"/>
        </w:rPr>
      </w:pPr>
      <w:r>
        <w:rPr>
          <w:rFonts w:ascii="Courier New" w:cs="Courier New" w:eastAsia="Courier New" w:hAnsi="Courier New"/>
          <w:sz w:val="12"/>
          <w:szCs w:val="12"/>
          <w:color w:val="auto"/>
        </w:rPr>
        <w:t>Other</w:t>
        <w:tab/>
        <w:t>[_]</w:t>
      </w:r>
    </w:p>
    <w:p>
      <w:pPr>
        <w:spacing w:after="0" w:line="200" w:lineRule="exact"/>
        <w:rPr>
          <w:sz w:val="24"/>
          <w:szCs w:val="24"/>
          <w:color w:val="auto"/>
        </w:rPr>
      </w:pPr>
    </w:p>
    <w:p>
      <w:pPr>
        <w:spacing w:after="0" w:line="209" w:lineRule="exact"/>
        <w:rPr>
          <w:sz w:val="24"/>
          <w:szCs w:val="24"/>
          <w:color w:val="auto"/>
        </w:rPr>
      </w:pPr>
    </w:p>
    <w:p>
      <w:pPr>
        <w:ind w:left="140"/>
        <w:spacing w:after="0"/>
        <w:rPr>
          <w:sz w:val="20"/>
          <w:szCs w:val="20"/>
          <w:color w:val="auto"/>
        </w:rPr>
      </w:pPr>
      <w:r>
        <w:rPr>
          <w:rFonts w:ascii="Courier New" w:cs="Courier New" w:eastAsia="Courier New" w:hAnsi="Courier New"/>
          <w:sz w:val="11"/>
          <w:szCs w:val="11"/>
          <w:color w:val="auto"/>
        </w:rPr>
        <w:t>-------------------</w:t>
      </w:r>
    </w:p>
    <w:p>
      <w:pPr>
        <w:spacing w:after="0" w:line="141" w:lineRule="exact"/>
        <w:rPr>
          <w:sz w:val="24"/>
          <w:szCs w:val="24"/>
          <w:color w:val="auto"/>
        </w:rPr>
      </w:pPr>
    </w:p>
    <w:p>
      <w:pPr>
        <w:sectPr>
          <w:pgSz w:w="11900" w:h="16867" w:orient="portrait"/>
          <w:cols w:equalWidth="0" w:num="3">
            <w:col w:w="1460" w:space="0"/>
            <w:col w:w="2820" w:space="0"/>
            <w:col w:w="5959"/>
          </w:cols>
          <w:pgMar w:left="220" w:top="479" w:right="1440" w:bottom="0" w:gutter="0" w:footer="0" w:header="0"/>
          <w:type w:val="continuous"/>
        </w:sectPr>
      </w:pPr>
    </w:p>
    <w:p>
      <w:pPr>
        <w:spacing w:after="0"/>
        <w:rPr>
          <w:sz w:val="20"/>
          <w:szCs w:val="20"/>
          <w:color w:val="auto"/>
        </w:rPr>
      </w:pPr>
      <w:r>
        <w:rPr>
          <w:rFonts w:ascii="Courier New" w:cs="Courier New" w:eastAsia="Courier New" w:hAnsi="Courier New"/>
          <w:sz w:val="12"/>
          <w:szCs w:val="12"/>
          <w:color w:val="auto"/>
        </w:rPr>
        <w:t>If "Other" has been checked in response to the previous question,</w:t>
      </w:r>
    </w:p>
    <w:p>
      <w:pPr>
        <w:spacing w:after="0" w:line="139" w:lineRule="exact"/>
        <w:rPr>
          <w:sz w:val="24"/>
          <w:szCs w:val="24"/>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Indicate by check mark which financial statement item the registrant has elected to follow.</w:t>
      </w:r>
    </w:p>
    <w:p>
      <w:pPr>
        <w:spacing w:after="0" w:line="135" w:lineRule="exact"/>
        <w:rPr>
          <w:sz w:val="24"/>
          <w:szCs w:val="24"/>
          <w:color w:val="auto"/>
        </w:rPr>
      </w:pPr>
    </w:p>
    <w:p>
      <w:pPr>
        <w:ind w:left="1880"/>
        <w:spacing w:after="0"/>
        <w:tabs>
          <w:tab w:leader="none" w:pos="3000" w:val="left"/>
        </w:tabs>
        <w:rPr>
          <w:sz w:val="20"/>
          <w:szCs w:val="20"/>
          <w:color w:val="auto"/>
        </w:rPr>
      </w:pPr>
      <w:r>
        <w:rPr>
          <w:rFonts w:ascii="Courier New" w:cs="Courier New" w:eastAsia="Courier New" w:hAnsi="Courier New"/>
          <w:sz w:val="12"/>
          <w:szCs w:val="12"/>
          <w:color w:val="auto"/>
        </w:rPr>
        <w:t>Item 17 [_]</w:t>
      </w:r>
      <w:r>
        <w:rPr>
          <w:sz w:val="20"/>
          <w:szCs w:val="20"/>
          <w:color w:val="auto"/>
        </w:rPr>
        <w:tab/>
      </w:r>
      <w:r>
        <w:rPr>
          <w:rFonts w:ascii="Courier New" w:cs="Courier New" w:eastAsia="Courier New" w:hAnsi="Courier New"/>
          <w:sz w:val="11"/>
          <w:szCs w:val="11"/>
          <w:color w:val="auto"/>
        </w:rPr>
        <w:t>Item 18 [X]</w:t>
      </w:r>
    </w:p>
    <w:p>
      <w:pPr>
        <w:spacing w:after="0" w:line="139" w:lineRule="exact"/>
        <w:rPr>
          <w:sz w:val="24"/>
          <w:szCs w:val="24"/>
          <w:color w:val="auto"/>
        </w:rPr>
      </w:pPr>
    </w:p>
    <w:p>
      <w:pPr>
        <w:ind w:right="4699" w:firstLine="351"/>
        <w:spacing w:after="0" w:line="273" w:lineRule="auto"/>
        <w:rPr>
          <w:sz w:val="20"/>
          <w:szCs w:val="20"/>
          <w:color w:val="auto"/>
        </w:rPr>
      </w:pPr>
      <w:r>
        <w:rPr>
          <w:rFonts w:ascii="Courier New" w:cs="Courier New" w:eastAsia="Courier New" w:hAnsi="Courier New"/>
          <w:sz w:val="11"/>
          <w:szCs w:val="11"/>
          <w:color w:val="auto"/>
        </w:rPr>
        <w:t>If this is an annual report, indicate by check mark whether the registrant is a shell company (as defined in Rule 12b-2 of the Exchange Act).</w:t>
      </w:r>
    </w:p>
    <w:p>
      <w:pPr>
        <w:spacing w:after="0" w:line="117" w:lineRule="exact"/>
        <w:rPr>
          <w:sz w:val="24"/>
          <w:szCs w:val="24"/>
          <w:color w:val="auto"/>
        </w:rPr>
      </w:pPr>
    </w:p>
    <w:p>
      <w:pPr>
        <w:ind w:left="2180"/>
        <w:spacing w:after="0"/>
        <w:tabs>
          <w:tab w:leader="none" w:pos="3000" w:val="left"/>
        </w:tabs>
        <w:rPr>
          <w:sz w:val="20"/>
          <w:szCs w:val="20"/>
          <w:color w:val="auto"/>
        </w:rPr>
      </w:pPr>
      <w:r>
        <w:rPr>
          <w:rFonts w:ascii="Courier New" w:cs="Courier New" w:eastAsia="Courier New" w:hAnsi="Courier New"/>
          <w:sz w:val="12"/>
          <w:szCs w:val="12"/>
          <w:color w:val="auto"/>
        </w:rPr>
        <w:t>Yes [_]</w:t>
      </w:r>
      <w:r>
        <w:rPr>
          <w:sz w:val="20"/>
          <w:szCs w:val="20"/>
          <w:color w:val="auto"/>
        </w:rPr>
        <w:tab/>
      </w:r>
      <w:r>
        <w:rPr>
          <w:rFonts w:ascii="Courier New" w:cs="Courier New" w:eastAsia="Courier New" w:hAnsi="Courier New"/>
          <w:sz w:val="11"/>
          <w:szCs w:val="11"/>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at "Item 3. Key Information-Risk Factors".</w:t>
      </w:r>
    </w:p>
    <w:p>
      <w:pPr>
        <w:spacing w:after="0" w:line="139" w:lineRule="exact"/>
        <w:rPr>
          <w:sz w:val="24"/>
          <w:szCs w:val="24"/>
          <w:color w:val="auto"/>
        </w:rPr>
      </w:pPr>
    </w:p>
    <w:p>
      <w:pPr>
        <w:ind w:left="2380"/>
        <w:spacing w:after="0"/>
        <w:rPr>
          <w:sz w:val="20"/>
          <w:szCs w:val="20"/>
          <w:color w:val="auto"/>
        </w:rPr>
      </w:pPr>
      <w:r>
        <w:rPr>
          <w:rFonts w:ascii="Courier New" w:cs="Courier New" w:eastAsia="Courier New" w:hAnsi="Courier New"/>
          <w:sz w:val="12"/>
          <w:szCs w:val="12"/>
          <w:color w:val="auto"/>
        </w:rPr>
        <w:t>------------</w:t>
      </w:r>
    </w:p>
    <w:p>
      <w:pPr>
        <w:spacing w:after="0" w:line="139" w:lineRule="exact"/>
        <w:rPr>
          <w:sz w:val="24"/>
          <w:szCs w:val="24"/>
          <w:color w:val="auto"/>
        </w:rPr>
      </w:pPr>
    </w:p>
    <w:p>
      <w:pPr>
        <w:ind w:right="4699" w:firstLine="351"/>
        <w:spacing w:after="0" w:line="262" w:lineRule="auto"/>
        <w:rPr>
          <w:sz w:val="20"/>
          <w:szCs w:val="20"/>
          <w:color w:val="auto"/>
        </w:rPr>
      </w:pPr>
      <w:r>
        <w:rPr>
          <w:rFonts w:ascii="Courier New" w:cs="Courier New" w:eastAsia="Courier New" w:hAnsi="Courier New"/>
          <w:sz w:val="11"/>
          <w:szCs w:val="11"/>
          <w:color w:val="auto"/>
        </w:rPr>
        <w:t>Beginning with the fourth quarter of 2007, we prepare our consolidated financial statements in United States dollars and in accordance with accounting principles generally accepted in the United States of America ("US GAAP"). We recast the comparative amounts included in our financial statements and in this report to US GAAP. Prior to the fourth quarter of 2007, we prepared our financial reports in United States dollars and in accordance with generally accepted accounting principles in Israel ("Israeli GAAP") and provided</w:t>
      </w:r>
    </w:p>
    <w:p>
      <w:pPr>
        <w:sectPr>
          <w:pgSz w:w="11900" w:h="16867" w:orient="portrait"/>
          <w:cols w:equalWidth="0" w:num="1">
            <w:col w:w="10239"/>
          </w:cols>
          <w:pgMar w:left="220" w:top="47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reconciliation to US GAAP in the notes to the financial statements.</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The transition to US GAAP was made as a result of Israel Accounting Standard 29, which stipulates that Israeli public companies that previously reported their financial results based on Israeli GAAP must begin reporting their financial results in accordance with International Financial Reporting Standards ("IFRS") for periods beginning on or after January 1, 2008. However, Israeli public companies that are also listed on NASDAQ are allowed to report utilizing US GAAP rather than IFRS. We elected to use US GAAP to increase transparency and comparability of our financial reports and facilitate research and analysis by shareholders, analysts and other participants in the U.S. capital markets.</w:t>
      </w:r>
    </w:p>
    <w:p>
      <w:pPr>
        <w:spacing w:after="0" w:line="144" w:lineRule="exact"/>
        <w:rPr>
          <w:sz w:val="20"/>
          <w:szCs w:val="20"/>
          <w:color w:val="auto"/>
        </w:rPr>
      </w:pPr>
    </w:p>
    <w:p>
      <w:pPr>
        <w:ind w:right="4619" w:firstLine="351"/>
        <w:spacing w:after="0" w:line="235" w:lineRule="auto"/>
        <w:rPr>
          <w:sz w:val="20"/>
          <w:szCs w:val="20"/>
          <w:color w:val="auto"/>
        </w:rPr>
      </w:pPr>
      <w:r>
        <w:rPr>
          <w:rFonts w:ascii="Courier New" w:cs="Courier New" w:eastAsia="Courier New" w:hAnsi="Courier New"/>
          <w:sz w:val="12"/>
          <w:szCs w:val="12"/>
          <w:color w:val="auto"/>
        </w:rPr>
        <w:t>All references herein to "dollars" or "$" are to United States dollars, and all references to "Shekels" or "NIS" are to New Israeli Shekels.</w:t>
      </w:r>
    </w:p>
    <w:p>
      <w:pPr>
        <w:spacing w:after="0" w:line="135" w:lineRule="exact"/>
        <w:rPr>
          <w:sz w:val="20"/>
          <w:szCs w:val="20"/>
          <w:color w:val="auto"/>
        </w:rPr>
      </w:pPr>
    </w:p>
    <w:p>
      <w:pPr>
        <w:ind w:left="2380"/>
        <w:spacing w:after="0"/>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27" w:lineRule="exact"/>
        <w:rPr>
          <w:sz w:val="20"/>
          <w:szCs w:val="20"/>
          <w:color w:val="auto"/>
        </w:rPr>
      </w:pPr>
    </w:p>
    <w:p>
      <w:pPr>
        <w:ind w:left="2380"/>
        <w:spacing w:after="0"/>
        <w:rPr>
          <w:sz w:val="20"/>
          <w:szCs w:val="20"/>
          <w:color w:val="auto"/>
        </w:rPr>
      </w:pPr>
      <w:r>
        <w:rPr>
          <w:rFonts w:ascii="Courier New" w:cs="Courier New" w:eastAsia="Courier New" w:hAnsi="Courier New"/>
          <w:sz w:val="12"/>
          <w:szCs w:val="12"/>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88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MICROFLASH(R) is a registered trademark of Tower</w:t>
            </w:r>
          </w:p>
        </w:tc>
        <w:tc>
          <w:tcPr>
            <w:tcW w:w="280" w:type="dxa"/>
            <w:vAlign w:val="bottom"/>
          </w:tcPr>
          <w:p>
            <w:pPr>
              <w:spacing w:after="0"/>
              <w:rPr>
                <w:sz w:val="11"/>
                <w:szCs w:val="11"/>
                <w:color w:val="auto"/>
              </w:rPr>
            </w:pPr>
          </w:p>
        </w:tc>
      </w:tr>
      <w:tr>
        <w:trPr>
          <w:trHeight w:val="405"/>
        </w:trPr>
        <w:tc>
          <w:tcPr>
            <w:tcW w:w="1320" w:type="dxa"/>
            <w:vAlign w:val="bottom"/>
          </w:tcPr>
          <w:p>
            <w:pPr>
              <w:spacing w:after="0"/>
              <w:rPr>
                <w:sz w:val="24"/>
                <w:szCs w:val="24"/>
                <w:color w:val="auto"/>
              </w:rPr>
            </w:pPr>
          </w:p>
        </w:tc>
        <w:tc>
          <w:tcPr>
            <w:tcW w:w="5560" w:type="dxa"/>
            <w:vAlign w:val="bottom"/>
          </w:tcPr>
          <w:p>
            <w:pPr>
              <w:ind w:left="1340"/>
              <w:spacing w:after="0"/>
              <w:rPr>
                <w:sz w:val="20"/>
                <w:szCs w:val="20"/>
                <w:color w:val="auto"/>
              </w:rPr>
            </w:pPr>
            <w:r>
              <w:rPr>
                <w:rFonts w:ascii="Courier New" w:cs="Courier New" w:eastAsia="Courier New" w:hAnsi="Courier New"/>
                <w:sz w:val="12"/>
                <w:szCs w:val="12"/>
                <w:color w:val="auto"/>
              </w:rPr>
              <w:t>(i)</w:t>
            </w:r>
          </w:p>
        </w:tc>
        <w:tc>
          <w:tcPr>
            <w:tcW w:w="280" w:type="dxa"/>
            <w:vAlign w:val="bottom"/>
          </w:tcPr>
          <w:p>
            <w:pPr>
              <w:spacing w:after="0"/>
              <w:rPr>
                <w:sz w:val="24"/>
                <w:szCs w:val="24"/>
                <w:color w:val="auto"/>
              </w:rPr>
            </w:pPr>
          </w:p>
        </w:tc>
      </w:tr>
      <w:tr>
        <w:trPr>
          <w:trHeight w:val="522"/>
        </w:trPr>
        <w:tc>
          <w:tcPr>
            <w:tcW w:w="1320" w:type="dxa"/>
            <w:vAlign w:val="bottom"/>
          </w:tcPr>
          <w:p>
            <w:pPr>
              <w:spacing w:after="0"/>
              <w:rPr>
                <w:sz w:val="24"/>
                <w:szCs w:val="24"/>
                <w:color w:val="auto"/>
              </w:rPr>
            </w:pPr>
          </w:p>
        </w:tc>
        <w:tc>
          <w:tcPr>
            <w:tcW w:w="5560" w:type="dxa"/>
            <w:vAlign w:val="bottom"/>
          </w:tcPr>
          <w:p>
            <w:pPr>
              <w:ind w:left="920"/>
              <w:spacing w:after="0"/>
              <w:rPr>
                <w:sz w:val="20"/>
                <w:szCs w:val="20"/>
                <w:color w:val="auto"/>
              </w:rPr>
            </w:pPr>
            <w:r>
              <w:rPr>
                <w:rFonts w:ascii="Courier New" w:cs="Courier New" w:eastAsia="Courier New" w:hAnsi="Courier New"/>
                <w:sz w:val="12"/>
                <w:szCs w:val="12"/>
                <w:color w:val="auto"/>
              </w:rPr>
              <w:t>TABLE OF CONTENTS</w:t>
            </w:r>
          </w:p>
        </w:tc>
        <w:tc>
          <w:tcPr>
            <w:tcW w:w="280" w:type="dxa"/>
            <w:vAlign w:val="bottom"/>
          </w:tcPr>
          <w:p>
            <w:pPr>
              <w:spacing w:after="0"/>
              <w:rPr>
                <w:sz w:val="24"/>
                <w:szCs w:val="24"/>
                <w:color w:val="auto"/>
              </w:rPr>
            </w:pPr>
          </w:p>
        </w:tc>
      </w:tr>
      <w:tr>
        <w:trPr>
          <w:trHeight w:val="270"/>
        </w:trPr>
        <w:tc>
          <w:tcPr>
            <w:tcW w:w="1320" w:type="dxa"/>
            <w:vAlign w:val="bottom"/>
          </w:tcPr>
          <w:p>
            <w:pPr>
              <w:spacing w:after="0"/>
              <w:rPr>
                <w:sz w:val="20"/>
                <w:szCs w:val="20"/>
                <w:color w:val="auto"/>
              </w:rPr>
            </w:pPr>
            <w:r>
              <w:rPr>
                <w:rFonts w:ascii="Courier New" w:cs="Courier New" w:eastAsia="Courier New" w:hAnsi="Courier New"/>
                <w:sz w:val="12"/>
                <w:szCs w:val="12"/>
                <w:color w:val="auto"/>
              </w:rPr>
              <w:t>PART I</w:t>
            </w:r>
          </w:p>
        </w:tc>
        <w:tc>
          <w:tcPr>
            <w:tcW w:w="556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IDENTITY OF DIRECTORS, SENIOR MANAGEMENT AND ADVISORS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2.</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OFFER STATISTICS AND EXPECTED TIMETABLE</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3.</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KEY INFORMATION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1</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4.</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INFORMATION ON THE COMPANY</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19</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4A.</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UNRESOLVED STAFF COMMENTS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32</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5.</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OPERATING AND FINANCIAL REVIEW AND PROSPECTS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32</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6.</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DIRECTORS, SENIOR MANAGEMENT AND EMPLOYEES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49</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7.</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MAJOR SHAREHOLDERS AND RELATED PARTY TRANSACTIONS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58</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8.</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FINANCIAL INFORMATION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60</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9.</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THE OFFER AND LISTING</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60</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10.</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ADDITIONAL INFORMATION</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61</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11.</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QUANTITATIVE AND QUALITATIVE DISCLOSURES ABOUT MARKET RISK</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70</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12.</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DESCRIPTION OF SECURITIES OTHER THAN EQUITY SECURITIES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73</w:t>
            </w:r>
          </w:p>
        </w:tc>
      </w:tr>
      <w:tr>
        <w:trPr>
          <w:trHeight w:val="270"/>
        </w:trPr>
        <w:tc>
          <w:tcPr>
            <w:tcW w:w="1320" w:type="dxa"/>
            <w:vAlign w:val="bottom"/>
          </w:tcPr>
          <w:p>
            <w:pPr>
              <w:spacing w:after="0"/>
              <w:rPr>
                <w:sz w:val="20"/>
                <w:szCs w:val="20"/>
                <w:color w:val="auto"/>
              </w:rPr>
            </w:pPr>
            <w:r>
              <w:rPr>
                <w:rFonts w:ascii="Courier New" w:cs="Courier New" w:eastAsia="Courier New" w:hAnsi="Courier New"/>
                <w:sz w:val="12"/>
                <w:szCs w:val="12"/>
                <w:color w:val="auto"/>
              </w:rPr>
              <w:t>PART II</w:t>
            </w:r>
          </w:p>
        </w:tc>
        <w:tc>
          <w:tcPr>
            <w:tcW w:w="556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14.</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w w:val="99"/>
              </w:rPr>
              <w:t>MATERIAL MODIFICATIONS TO THE RIGHTS OF SECURITY HOLDERS AND USE OF PROCEEDS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15.</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CONTROLS AND PROCEDURES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74</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16.</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[RESERVED]</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16A.</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AUDIT COMMITTEE FINANCIAL EXPERT</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16B.</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CODE OF ETHICS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75</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16C.</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PRINCIPAL ACCOUNTANT FEES AND SERVICES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76</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16D.</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EXEMPTIONS FROM THE LISTING STANDARDS FOR AUDIT COMMITTEES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76</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16E.</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PURCHASES OF EQUITY SECURITIES BY THE ISSUER AND AFFILIATED PURCHASERS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76</w:t>
            </w:r>
          </w:p>
        </w:tc>
      </w:tr>
      <w:tr>
        <w:trPr>
          <w:trHeight w:val="270"/>
        </w:trPr>
        <w:tc>
          <w:tcPr>
            <w:tcW w:w="1320" w:type="dxa"/>
            <w:vAlign w:val="bottom"/>
          </w:tcPr>
          <w:p>
            <w:pPr>
              <w:spacing w:after="0"/>
              <w:rPr>
                <w:sz w:val="20"/>
                <w:szCs w:val="20"/>
                <w:color w:val="auto"/>
              </w:rPr>
            </w:pPr>
            <w:r>
              <w:rPr>
                <w:rFonts w:ascii="Courier New" w:cs="Courier New" w:eastAsia="Courier New" w:hAnsi="Courier New"/>
                <w:sz w:val="12"/>
                <w:szCs w:val="12"/>
                <w:color w:val="auto"/>
              </w:rPr>
              <w:t>PART III</w:t>
            </w:r>
          </w:p>
        </w:tc>
        <w:tc>
          <w:tcPr>
            <w:tcW w:w="556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76</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17.</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FINANCIAL STATEMENTS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76</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18.</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FINANCIAL STATEMENTS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76</w:t>
            </w:r>
          </w:p>
        </w:tc>
      </w:tr>
      <w:tr>
        <w:trPr>
          <w:trHeight w:val="270"/>
        </w:trPr>
        <w:tc>
          <w:tcPr>
            <w:tcW w:w="1320" w:type="dxa"/>
            <w:vAlign w:val="bottom"/>
          </w:tcPr>
          <w:p>
            <w:pPr>
              <w:ind w:left="620"/>
              <w:spacing w:after="0"/>
              <w:rPr>
                <w:sz w:val="20"/>
                <w:szCs w:val="20"/>
                <w:color w:val="auto"/>
              </w:rPr>
            </w:pPr>
            <w:r>
              <w:rPr>
                <w:rFonts w:ascii="Courier New" w:cs="Courier New" w:eastAsia="Courier New" w:hAnsi="Courier New"/>
                <w:sz w:val="12"/>
                <w:szCs w:val="12"/>
                <w:color w:val="auto"/>
              </w:rPr>
              <w:t>ITEM 19.</w:t>
            </w:r>
          </w:p>
        </w:tc>
        <w:tc>
          <w:tcPr>
            <w:tcW w:w="5560" w:type="dxa"/>
            <w:vAlign w:val="bottom"/>
          </w:tcPr>
          <w:p>
            <w:pPr>
              <w:ind w:left="80"/>
              <w:spacing w:after="0"/>
              <w:rPr>
                <w:sz w:val="20"/>
                <w:szCs w:val="20"/>
                <w:color w:val="auto"/>
              </w:rPr>
            </w:pPr>
            <w:r>
              <w:rPr>
                <w:rFonts w:ascii="Courier New" w:cs="Courier New" w:eastAsia="Courier New" w:hAnsi="Courier New"/>
                <w:sz w:val="12"/>
                <w:szCs w:val="12"/>
                <w:color w:val="auto"/>
              </w:rPr>
              <w:t>EXHIBITS</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76</w:t>
            </w:r>
          </w:p>
        </w:tc>
      </w:tr>
    </w:tbl>
    <w:p>
      <w:pPr>
        <w:spacing w:after="0" w:line="269" w:lineRule="exact"/>
        <w:rPr>
          <w:sz w:val="20"/>
          <w:szCs w:val="20"/>
          <w:color w:val="auto"/>
        </w:rPr>
      </w:pPr>
    </w:p>
    <w:p>
      <w:pPr>
        <w:ind w:left="2660"/>
        <w:spacing w:after="0"/>
        <w:rPr>
          <w:sz w:val="20"/>
          <w:szCs w:val="20"/>
          <w:color w:val="auto"/>
        </w:rPr>
      </w:pPr>
      <w:r>
        <w:rPr>
          <w:rFonts w:ascii="Courier New" w:cs="Courier New" w:eastAsia="Courier New" w:hAnsi="Courier New"/>
          <w:sz w:val="12"/>
          <w:szCs w:val="12"/>
          <w:color w:val="auto"/>
        </w:rPr>
        <w:t>(ii)</w:t>
      </w:r>
    </w:p>
    <w:p>
      <w:pPr>
        <w:spacing w:after="0" w:line="386"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PART I</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 IDENTITY OF DIRECTORS, SENIOR MANAGEMENT AND ADVISORS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2. OFFER STATISTICS AND EXPECTED TIMETABLE</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3. KEY INFORMATION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SELECTED FINANCIAL DATA</w:t>
      </w:r>
    </w:p>
    <w:p>
      <w:pPr>
        <w:spacing w:after="0" w:line="139" w:lineRule="exact"/>
        <w:rPr>
          <w:sz w:val="20"/>
          <w:szCs w:val="20"/>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This section presents our selected historical financial data. You should carefully read the financial statements included in this annual report, including the notes to the financial statements. The selected data in this section is not intended to replace the financial statements.</w:t>
      </w:r>
    </w:p>
    <w:p>
      <w:pPr>
        <w:spacing w:after="0" w:line="141" w:lineRule="exact"/>
        <w:rPr>
          <w:sz w:val="20"/>
          <w:szCs w:val="20"/>
          <w:color w:val="auto"/>
        </w:rPr>
      </w:pPr>
    </w:p>
    <w:p>
      <w:pPr>
        <w:ind w:right="4699" w:firstLine="351"/>
        <w:spacing w:after="0" w:line="263" w:lineRule="auto"/>
        <w:rPr>
          <w:sz w:val="20"/>
          <w:szCs w:val="20"/>
          <w:color w:val="auto"/>
        </w:rPr>
      </w:pPr>
      <w:r>
        <w:rPr>
          <w:rFonts w:ascii="Courier New" w:cs="Courier New" w:eastAsia="Courier New" w:hAnsi="Courier New"/>
          <w:sz w:val="11"/>
          <w:szCs w:val="11"/>
          <w:color w:val="auto"/>
        </w:rPr>
        <w:t>We derived the selected statement of operations data and other financial data for the years ended December 31, 2007, 2006 and 2005, and selected balance sheet data as of December 31, 2007 and 2006 from the audited financial statements in this annual report. Those financial statements were audited by Brightman Almagor &amp; Co., a member firm of Deloitte Touche Tohmatsu, independent</w:t>
      </w:r>
    </w:p>
    <w:p>
      <w:pPr>
        <w:sectPr>
          <w:pgSz w:w="11900" w:h="16838" w:orient="portrait"/>
          <w:cols w:equalWidth="0" w:num="1">
            <w:col w:w="10239"/>
          </w:cols>
          <w:pgMar w:left="220" w:top="137" w:right="1440" w:bottom="0" w:gutter="0" w:footer="0" w:header="0"/>
        </w:sectPr>
      </w:pPr>
    </w:p>
    <w:bookmarkStart w:id="2" w:name="page3"/>
    <w:bookmarkEnd w:id="2"/>
    <w:p>
      <w:pPr>
        <w:ind w:right="4619"/>
        <w:spacing w:after="0" w:line="237" w:lineRule="auto"/>
        <w:rPr>
          <w:sz w:val="20"/>
          <w:szCs w:val="20"/>
          <w:color w:val="auto"/>
        </w:rPr>
      </w:pPr>
      <w:r>
        <w:rPr>
          <w:rFonts w:ascii="Courier New" w:cs="Courier New" w:eastAsia="Courier New" w:hAnsi="Courier New"/>
          <w:sz w:val="12"/>
          <w:szCs w:val="12"/>
          <w:color w:val="auto"/>
        </w:rPr>
        <w:t>registered public accounting firm. We derived the selected statement of operations data and other financial data for the years ended December 31, 2004 and 2003 and the selected balance sheet data as of December 31, 2005, 2004 and 2003 from our audited financial statements that are not included in this annual report, which were recast to US GAAP. Our management believes that the financial statements contain all adjustments needed to present fairly the information included therein.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7"/>
              </w:rPr>
              <w:t>YEAR ENDED DECEMBER 31,</w:t>
            </w: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11"/>
                <w:szCs w:val="11"/>
                <w:color w:val="auto"/>
              </w:rPr>
            </w:pPr>
          </w:p>
        </w:tc>
        <w:tc>
          <w:tcPr>
            <w:tcW w:w="6380" w:type="dxa"/>
            <w:vAlign w:val="bottom"/>
            <w:gridSpan w:val="10"/>
          </w:tcPr>
          <w:p>
            <w:pPr>
              <w:jc w:val="right"/>
              <w:ind w:right="1"/>
              <w:spacing w:after="0"/>
              <w:rPr>
                <w:sz w:val="20"/>
                <w:szCs w:val="20"/>
                <w:color w:val="auto"/>
              </w:rPr>
            </w:pPr>
            <w:r>
              <w:rPr>
                <w:rFonts w:ascii="Courier New" w:cs="Courier New" w:eastAsia="Courier New" w:hAnsi="Courier New"/>
                <w:sz w:val="12"/>
                <w:szCs w:val="12"/>
                <w:color w:val="auto"/>
                <w:w w:val="98"/>
              </w:rPr>
              <w:t>-----------------------------------------------------------------------------------------</w:t>
            </w:r>
          </w:p>
        </w:tc>
      </w:tr>
      <w:tr>
        <w:trPr>
          <w:trHeight w:val="135"/>
        </w:trPr>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2007</w:t>
            </w:r>
          </w:p>
        </w:tc>
        <w:tc>
          <w:tcPr>
            <w:tcW w:w="38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2006</w:t>
            </w:r>
          </w:p>
        </w:tc>
        <w:tc>
          <w:tcPr>
            <w:tcW w:w="700" w:type="dxa"/>
            <w:vAlign w:val="bottom"/>
          </w:tcPr>
          <w:p>
            <w:pPr>
              <w:spacing w:after="0"/>
              <w:rPr>
                <w:sz w:val="11"/>
                <w:szCs w:val="11"/>
                <w:color w:val="auto"/>
              </w:rPr>
            </w:pPr>
          </w:p>
        </w:tc>
        <w:tc>
          <w:tcPr>
            <w:tcW w:w="1080" w:type="dxa"/>
            <w:vAlign w:val="bottom"/>
          </w:tcPr>
          <w:p>
            <w:pPr>
              <w:jc w:val="right"/>
              <w:ind w:right="601"/>
              <w:spacing w:after="0"/>
              <w:rPr>
                <w:sz w:val="20"/>
                <w:szCs w:val="20"/>
                <w:color w:val="auto"/>
              </w:rPr>
            </w:pPr>
            <w:r>
              <w:rPr>
                <w:rFonts w:ascii="Courier New" w:cs="Courier New" w:eastAsia="Courier New" w:hAnsi="Courier New"/>
                <w:sz w:val="12"/>
                <w:szCs w:val="12"/>
                <w:color w:val="auto"/>
              </w:rPr>
              <w:t>2005</w:t>
            </w:r>
          </w:p>
        </w:tc>
        <w:tc>
          <w:tcPr>
            <w:tcW w:w="1380" w:type="dxa"/>
            <w:vAlign w:val="bottom"/>
            <w:gridSpan w:val="2"/>
          </w:tcPr>
          <w:p>
            <w:pPr>
              <w:jc w:val="right"/>
              <w:ind w:right="581"/>
              <w:spacing w:after="0"/>
              <w:rPr>
                <w:sz w:val="20"/>
                <w:szCs w:val="20"/>
                <w:color w:val="auto"/>
              </w:rPr>
            </w:pPr>
            <w:r>
              <w:rPr>
                <w:rFonts w:ascii="Courier New" w:cs="Courier New" w:eastAsia="Courier New" w:hAnsi="Courier New"/>
                <w:sz w:val="12"/>
                <w:szCs w:val="12"/>
                <w:color w:val="auto"/>
              </w:rPr>
              <w:t>2004</w:t>
            </w:r>
          </w:p>
        </w:tc>
        <w:tc>
          <w:tcPr>
            <w:tcW w:w="420" w:type="dxa"/>
            <w:vAlign w:val="bottom"/>
          </w:tcPr>
          <w:p>
            <w:pPr>
              <w:spacing w:after="0"/>
              <w:rPr>
                <w:sz w:val="11"/>
                <w:szCs w:val="11"/>
                <w:color w:val="auto"/>
              </w:rPr>
            </w:pPr>
          </w:p>
        </w:tc>
        <w:tc>
          <w:tcPr>
            <w:tcW w:w="6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2003</w:t>
            </w:r>
          </w:p>
        </w:tc>
      </w:tr>
      <w:tr>
        <w:trPr>
          <w:trHeight w:val="135"/>
        </w:trPr>
        <w:tc>
          <w:tcPr>
            <w:tcW w:w="2880" w:type="dxa"/>
            <w:vAlign w:val="bottom"/>
          </w:tcPr>
          <w:p>
            <w:pPr>
              <w:spacing w:after="0"/>
              <w:rPr>
                <w:sz w:val="11"/>
                <w:szCs w:val="11"/>
                <w:color w:val="auto"/>
              </w:rPr>
            </w:pPr>
          </w:p>
        </w:tc>
        <w:tc>
          <w:tcPr>
            <w:tcW w:w="11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92"/>
              </w:rPr>
              <w:t>---------</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20" w:type="dxa"/>
            <w:vAlign w:val="bottom"/>
            <w:gridSpan w:val="4"/>
          </w:tcPr>
          <w:p>
            <w:pPr>
              <w:ind w:left="340"/>
              <w:spacing w:after="0"/>
              <w:rPr>
                <w:sz w:val="20"/>
                <w:szCs w:val="20"/>
                <w:color w:val="auto"/>
              </w:rPr>
            </w:pPr>
            <w:r>
              <w:rPr>
                <w:rFonts w:ascii="Courier New" w:cs="Courier New" w:eastAsia="Courier New" w:hAnsi="Courier New"/>
                <w:sz w:val="12"/>
                <w:szCs w:val="12"/>
                <w:color w:val="auto"/>
                <w:w w:val="99"/>
              </w:rPr>
              <w:t>(IN THOUSANDS, EXCEPT PER SHARE DATA)</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70"/>
        </w:trPr>
        <w:tc>
          <w:tcPr>
            <w:tcW w:w="2880" w:type="dxa"/>
            <w:vAlign w:val="bottom"/>
          </w:tcPr>
          <w:p>
            <w:pPr>
              <w:spacing w:after="0"/>
              <w:rPr>
                <w:sz w:val="20"/>
                <w:szCs w:val="20"/>
                <w:color w:val="auto"/>
              </w:rPr>
            </w:pPr>
            <w:r>
              <w:rPr>
                <w:rFonts w:ascii="Courier New" w:cs="Courier New" w:eastAsia="Courier New" w:hAnsi="Courier New"/>
                <w:sz w:val="12"/>
                <w:szCs w:val="12"/>
                <w:color w:val="auto"/>
              </w:rPr>
              <w:t>STATEMENT OF OPERATIONS:</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Revenues</w:t>
            </w:r>
          </w:p>
        </w:tc>
        <w:tc>
          <w:tcPr>
            <w:tcW w:w="11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$ 230,853</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$ 187,438</w:t>
            </w:r>
          </w:p>
        </w:tc>
        <w:tc>
          <w:tcPr>
            <w:tcW w:w="70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92"/>
              </w:rPr>
              <w:t>$ 101,991</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$ 126,055</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61,368</w:t>
            </w: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200" w:type="dxa"/>
            <w:vAlign w:val="bottom"/>
          </w:tcPr>
          <w:p>
            <w:pPr>
              <w:spacing w:after="0"/>
              <w:rPr>
                <w:sz w:val="11"/>
                <w:szCs w:val="11"/>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95"/>
              </w:rPr>
              <w:t>284,771</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267,520</w:t>
            </w:r>
          </w:p>
        </w:tc>
        <w:tc>
          <w:tcPr>
            <w:tcW w:w="70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238,358</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228,410</w:t>
            </w:r>
          </w:p>
        </w:tc>
        <w:tc>
          <w:tcPr>
            <w:tcW w:w="42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122,395</w:t>
            </w:r>
          </w:p>
        </w:tc>
      </w:tr>
      <w:tr>
        <w:trPr>
          <w:trHeight w:val="135"/>
        </w:trPr>
        <w:tc>
          <w:tcPr>
            <w:tcW w:w="2880" w:type="dxa"/>
            <w:vAlign w:val="bottom"/>
          </w:tcPr>
          <w:p>
            <w:pPr>
              <w:spacing w:after="0"/>
              <w:rPr>
                <w:sz w:val="11"/>
                <w:szCs w:val="11"/>
                <w:color w:val="auto"/>
              </w:rPr>
            </w:pPr>
          </w:p>
        </w:tc>
        <w:tc>
          <w:tcPr>
            <w:tcW w:w="11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92"/>
              </w:rPr>
              <w:t>---------</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Gross loss</w:t>
            </w:r>
          </w:p>
        </w:tc>
        <w:tc>
          <w:tcPr>
            <w:tcW w:w="200" w:type="dxa"/>
            <w:vAlign w:val="bottom"/>
          </w:tcPr>
          <w:p>
            <w:pPr>
              <w:spacing w:after="0"/>
              <w:rPr>
                <w:sz w:val="11"/>
                <w:szCs w:val="11"/>
                <w:color w:val="auto"/>
              </w:rPr>
            </w:pPr>
          </w:p>
        </w:tc>
        <w:tc>
          <w:tcPr>
            <w:tcW w:w="960" w:type="dxa"/>
            <w:vAlign w:val="bottom"/>
          </w:tcPr>
          <w:p>
            <w:pPr>
              <w:jc w:val="right"/>
              <w:ind w:right="341"/>
              <w:spacing w:after="0"/>
              <w:rPr>
                <w:sz w:val="20"/>
                <w:szCs w:val="20"/>
                <w:color w:val="auto"/>
              </w:rPr>
            </w:pPr>
            <w:r>
              <w:rPr>
                <w:rFonts w:ascii="Courier New" w:cs="Courier New" w:eastAsia="Courier New" w:hAnsi="Courier New"/>
                <w:sz w:val="12"/>
                <w:szCs w:val="12"/>
                <w:color w:val="auto"/>
                <w:w w:val="93"/>
              </w:rPr>
              <w:t>(53,918)</w:t>
            </w:r>
          </w:p>
        </w:tc>
        <w:tc>
          <w:tcPr>
            <w:tcW w:w="3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(80,082)</w:t>
            </w:r>
          </w:p>
        </w:tc>
        <w:tc>
          <w:tcPr>
            <w:tcW w:w="700" w:type="dxa"/>
            <w:vAlign w:val="bottom"/>
          </w:tcPr>
          <w:p>
            <w:pPr>
              <w:spacing w:after="0"/>
              <w:rPr>
                <w:sz w:val="11"/>
                <w:szCs w:val="11"/>
                <w:color w:val="auto"/>
              </w:rPr>
            </w:pPr>
          </w:p>
        </w:tc>
        <w:tc>
          <w:tcPr>
            <w:tcW w:w="10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(136,367)</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(102,355)</w:t>
            </w:r>
          </w:p>
        </w:tc>
        <w:tc>
          <w:tcPr>
            <w:tcW w:w="4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(61,027)</w:t>
            </w: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Research and development</w:t>
            </w:r>
          </w:p>
        </w:tc>
        <w:tc>
          <w:tcPr>
            <w:tcW w:w="200" w:type="dxa"/>
            <w:vAlign w:val="bottom"/>
          </w:tcPr>
          <w:p>
            <w:pPr>
              <w:spacing w:after="0"/>
              <w:rPr>
                <w:sz w:val="11"/>
                <w:szCs w:val="11"/>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13,790</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15,048</w:t>
            </w:r>
          </w:p>
        </w:tc>
        <w:tc>
          <w:tcPr>
            <w:tcW w:w="70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16,029</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17,053</w:t>
            </w:r>
          </w:p>
        </w:tc>
        <w:tc>
          <w:tcPr>
            <w:tcW w:w="42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20,709</w:t>
            </w: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Marketing, general and administrative</w:t>
            </w:r>
          </w:p>
        </w:tc>
        <w:tc>
          <w:tcPr>
            <w:tcW w:w="200" w:type="dxa"/>
            <w:vAlign w:val="bottom"/>
          </w:tcPr>
          <w:p>
            <w:pPr>
              <w:spacing w:after="0"/>
              <w:rPr>
                <w:sz w:val="11"/>
                <w:szCs w:val="11"/>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31,604</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25,831</w:t>
            </w:r>
          </w:p>
        </w:tc>
        <w:tc>
          <w:tcPr>
            <w:tcW w:w="70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17,418</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21,297</w:t>
            </w:r>
          </w:p>
        </w:tc>
        <w:tc>
          <w:tcPr>
            <w:tcW w:w="420" w:type="dxa"/>
            <w:vAlign w:val="bottom"/>
          </w:tcPr>
          <w:p>
            <w:pPr>
              <w:spacing w:after="0"/>
              <w:rPr>
                <w:sz w:val="11"/>
                <w:szCs w:val="11"/>
                <w:color w:val="auto"/>
              </w:rPr>
            </w:pP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22,615</w:t>
            </w:r>
          </w:p>
        </w:tc>
      </w:tr>
      <w:tr>
        <w:trPr>
          <w:trHeight w:val="135"/>
        </w:trPr>
        <w:tc>
          <w:tcPr>
            <w:tcW w:w="2880" w:type="dxa"/>
            <w:vAlign w:val="bottom"/>
          </w:tcPr>
          <w:p>
            <w:pPr>
              <w:spacing w:after="0"/>
              <w:rPr>
                <w:sz w:val="11"/>
                <w:szCs w:val="11"/>
                <w:color w:val="auto"/>
              </w:rPr>
            </w:pPr>
          </w:p>
        </w:tc>
        <w:tc>
          <w:tcPr>
            <w:tcW w:w="11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92"/>
              </w:rPr>
              <w:t>---------</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Operating loss</w:t>
            </w:r>
          </w:p>
        </w:tc>
        <w:tc>
          <w:tcPr>
            <w:tcW w:w="200" w:type="dxa"/>
            <w:vAlign w:val="bottom"/>
          </w:tcPr>
          <w:p>
            <w:pPr>
              <w:spacing w:after="0"/>
              <w:rPr>
                <w:sz w:val="11"/>
                <w:szCs w:val="11"/>
                <w:color w:val="auto"/>
              </w:rPr>
            </w:pPr>
          </w:p>
        </w:tc>
        <w:tc>
          <w:tcPr>
            <w:tcW w:w="960" w:type="dxa"/>
            <w:vAlign w:val="bottom"/>
          </w:tcPr>
          <w:p>
            <w:pPr>
              <w:jc w:val="right"/>
              <w:ind w:right="341"/>
              <w:spacing w:after="0"/>
              <w:rPr>
                <w:sz w:val="20"/>
                <w:szCs w:val="20"/>
                <w:color w:val="auto"/>
              </w:rPr>
            </w:pPr>
            <w:r>
              <w:rPr>
                <w:rFonts w:ascii="Courier New" w:cs="Courier New" w:eastAsia="Courier New" w:hAnsi="Courier New"/>
                <w:sz w:val="12"/>
                <w:szCs w:val="12"/>
                <w:color w:val="auto"/>
                <w:w w:val="93"/>
              </w:rPr>
              <w:t>(99,312)</w:t>
            </w:r>
          </w:p>
        </w:tc>
        <w:tc>
          <w:tcPr>
            <w:tcW w:w="3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(120,961)</w:t>
            </w:r>
          </w:p>
        </w:tc>
        <w:tc>
          <w:tcPr>
            <w:tcW w:w="700" w:type="dxa"/>
            <w:vAlign w:val="bottom"/>
          </w:tcPr>
          <w:p>
            <w:pPr>
              <w:spacing w:after="0"/>
              <w:rPr>
                <w:sz w:val="11"/>
                <w:szCs w:val="11"/>
                <w:color w:val="auto"/>
              </w:rPr>
            </w:pPr>
          </w:p>
        </w:tc>
        <w:tc>
          <w:tcPr>
            <w:tcW w:w="10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(169,814)</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(140,705)</w:t>
            </w:r>
          </w:p>
        </w:tc>
        <w:tc>
          <w:tcPr>
            <w:tcW w:w="4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w w:val="92"/>
              </w:rPr>
              <w:t>(104,351)</w:t>
            </w: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200" w:type="dxa"/>
            <w:vAlign w:val="bottom"/>
          </w:tcPr>
          <w:p>
            <w:pPr>
              <w:spacing w:after="0"/>
              <w:rPr>
                <w:sz w:val="11"/>
                <w:szCs w:val="11"/>
                <w:color w:val="auto"/>
              </w:rPr>
            </w:pPr>
          </w:p>
        </w:tc>
        <w:tc>
          <w:tcPr>
            <w:tcW w:w="960" w:type="dxa"/>
            <w:vAlign w:val="bottom"/>
          </w:tcPr>
          <w:p>
            <w:pPr>
              <w:jc w:val="right"/>
              <w:ind w:right="341"/>
              <w:spacing w:after="0"/>
              <w:rPr>
                <w:sz w:val="20"/>
                <w:szCs w:val="20"/>
                <w:color w:val="auto"/>
              </w:rPr>
            </w:pPr>
            <w:r>
              <w:rPr>
                <w:rFonts w:ascii="Courier New" w:cs="Courier New" w:eastAsia="Courier New" w:hAnsi="Courier New"/>
                <w:sz w:val="12"/>
                <w:szCs w:val="12"/>
                <w:color w:val="auto"/>
                <w:w w:val="93"/>
              </w:rPr>
              <w:t>(34,976)</w:t>
            </w:r>
          </w:p>
        </w:tc>
        <w:tc>
          <w:tcPr>
            <w:tcW w:w="3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(47,563)</w:t>
            </w:r>
          </w:p>
        </w:tc>
        <w:tc>
          <w:tcPr>
            <w:tcW w:w="700" w:type="dxa"/>
            <w:vAlign w:val="bottom"/>
          </w:tcPr>
          <w:p>
            <w:pPr>
              <w:spacing w:after="0"/>
              <w:rPr>
                <w:sz w:val="11"/>
                <w:szCs w:val="11"/>
                <w:color w:val="auto"/>
              </w:rPr>
            </w:pPr>
          </w:p>
        </w:tc>
        <w:tc>
          <w:tcPr>
            <w:tcW w:w="10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(35,651)</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(29,745)</w:t>
            </w:r>
          </w:p>
        </w:tc>
        <w:tc>
          <w:tcPr>
            <w:tcW w:w="4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(9,826)</w:t>
            </w:r>
          </w:p>
        </w:tc>
      </w:tr>
      <w:tr>
        <w:trPr>
          <w:trHeight w:val="135"/>
        </w:trPr>
        <w:tc>
          <w:tcPr>
            <w:tcW w:w="2880" w:type="dxa"/>
            <w:vAlign w:val="bottom"/>
          </w:tcPr>
          <w:p>
            <w:pPr>
              <w:spacing w:after="0"/>
              <w:rPr>
                <w:sz w:val="11"/>
                <w:szCs w:val="11"/>
                <w:color w:val="auto"/>
              </w:rPr>
            </w:pPr>
          </w:p>
        </w:tc>
        <w:tc>
          <w:tcPr>
            <w:tcW w:w="11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92"/>
              </w:rPr>
              <w:t>---------</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Other income (expense), net</w:t>
            </w:r>
          </w:p>
        </w:tc>
        <w:tc>
          <w:tcPr>
            <w:tcW w:w="200" w:type="dxa"/>
            <w:vAlign w:val="bottom"/>
          </w:tcPr>
          <w:p>
            <w:pPr>
              <w:spacing w:after="0"/>
              <w:rPr>
                <w:sz w:val="11"/>
                <w:szCs w:val="11"/>
                <w:color w:val="auto"/>
              </w:rPr>
            </w:pPr>
          </w:p>
        </w:tc>
        <w:tc>
          <w:tcPr>
            <w:tcW w:w="96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92</w:t>
            </w:r>
          </w:p>
        </w:tc>
        <w:tc>
          <w:tcPr>
            <w:tcW w:w="38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597</w:t>
            </w:r>
          </w:p>
        </w:tc>
        <w:tc>
          <w:tcPr>
            <w:tcW w:w="70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2,383</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32,682</w:t>
            </w:r>
          </w:p>
        </w:tc>
        <w:tc>
          <w:tcPr>
            <w:tcW w:w="4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(84)</w:t>
            </w:r>
          </w:p>
        </w:tc>
      </w:tr>
      <w:tr>
        <w:trPr>
          <w:trHeight w:val="135"/>
        </w:trPr>
        <w:tc>
          <w:tcPr>
            <w:tcW w:w="2880" w:type="dxa"/>
            <w:vAlign w:val="bottom"/>
          </w:tcPr>
          <w:p>
            <w:pPr>
              <w:spacing w:after="0"/>
              <w:rPr>
                <w:sz w:val="11"/>
                <w:szCs w:val="11"/>
                <w:color w:val="auto"/>
              </w:rPr>
            </w:pPr>
          </w:p>
        </w:tc>
        <w:tc>
          <w:tcPr>
            <w:tcW w:w="11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92"/>
              </w:rPr>
              <w:t>---------</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116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rPr>
              <w:t>$(134,196)</w:t>
            </w:r>
          </w:p>
        </w:tc>
        <w:tc>
          <w:tcPr>
            <w:tcW w:w="10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$(167,927)</w:t>
            </w:r>
          </w:p>
        </w:tc>
        <w:tc>
          <w:tcPr>
            <w:tcW w:w="700" w:type="dxa"/>
            <w:vAlign w:val="bottom"/>
          </w:tcPr>
          <w:p>
            <w:pPr>
              <w:spacing w:after="0"/>
              <w:rPr>
                <w:sz w:val="11"/>
                <w:szCs w:val="11"/>
                <w:color w:val="auto"/>
              </w:rPr>
            </w:pPr>
          </w:p>
        </w:tc>
        <w:tc>
          <w:tcPr>
            <w:tcW w:w="10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(203,082)</w:t>
            </w:r>
          </w:p>
        </w:tc>
        <w:tc>
          <w:tcPr>
            <w:tcW w:w="138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$(137,768)</w:t>
            </w:r>
          </w:p>
        </w:tc>
        <w:tc>
          <w:tcPr>
            <w:tcW w:w="10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$(114,261)</w:t>
            </w:r>
          </w:p>
        </w:tc>
      </w:tr>
      <w:tr>
        <w:trPr>
          <w:trHeight w:val="135"/>
        </w:trPr>
        <w:tc>
          <w:tcPr>
            <w:tcW w:w="2880" w:type="dxa"/>
            <w:vAlign w:val="bottom"/>
          </w:tcPr>
          <w:p>
            <w:pPr>
              <w:spacing w:after="0"/>
              <w:rPr>
                <w:sz w:val="11"/>
                <w:szCs w:val="11"/>
                <w:color w:val="auto"/>
              </w:rPr>
            </w:pPr>
          </w:p>
        </w:tc>
        <w:tc>
          <w:tcPr>
            <w:tcW w:w="11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92"/>
              </w:rPr>
              <w:t>=========</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Basic loss per ordinary share</w:t>
            </w:r>
          </w:p>
        </w:tc>
        <w:tc>
          <w:tcPr>
            <w:tcW w:w="2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341"/>
              <w:spacing w:after="0"/>
              <w:rPr>
                <w:sz w:val="20"/>
                <w:szCs w:val="20"/>
                <w:color w:val="auto"/>
              </w:rPr>
            </w:pPr>
            <w:r>
              <w:rPr>
                <w:rFonts w:ascii="Courier New" w:cs="Courier New" w:eastAsia="Courier New" w:hAnsi="Courier New"/>
                <w:sz w:val="12"/>
                <w:szCs w:val="12"/>
                <w:color w:val="auto"/>
              </w:rPr>
              <w:t>(1.13)</w:t>
            </w:r>
          </w:p>
        </w:tc>
        <w:tc>
          <w:tcPr>
            <w:tcW w:w="3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(2.03)</w:t>
            </w:r>
          </w:p>
        </w:tc>
        <w:tc>
          <w:tcPr>
            <w:tcW w:w="700" w:type="dxa"/>
            <w:vAlign w:val="bottom"/>
          </w:tcPr>
          <w:p>
            <w:pPr>
              <w:spacing w:after="0"/>
              <w:rPr>
                <w:sz w:val="11"/>
                <w:szCs w:val="11"/>
                <w:color w:val="auto"/>
              </w:rPr>
            </w:pPr>
          </w:p>
        </w:tc>
        <w:tc>
          <w:tcPr>
            <w:tcW w:w="10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(3.06)</w:t>
            </w:r>
          </w:p>
        </w:tc>
        <w:tc>
          <w:tcPr>
            <w:tcW w:w="6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92"/>
              </w:rPr>
              <w:t>(2.13)</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(2.45)</w:t>
            </w:r>
          </w:p>
        </w:tc>
      </w:tr>
      <w:tr>
        <w:trPr>
          <w:trHeight w:val="135"/>
        </w:trPr>
        <w:tc>
          <w:tcPr>
            <w:tcW w:w="2880" w:type="dxa"/>
            <w:vAlign w:val="bottom"/>
          </w:tcPr>
          <w:p>
            <w:pPr>
              <w:spacing w:after="0"/>
              <w:rPr>
                <w:sz w:val="11"/>
                <w:szCs w:val="11"/>
                <w:color w:val="auto"/>
              </w:rPr>
            </w:pPr>
          </w:p>
        </w:tc>
        <w:tc>
          <w:tcPr>
            <w:tcW w:w="11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w w:val="92"/>
              </w:rPr>
              <w:t>=========</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OTHER FINANCIAL DATA:</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Depreciation and amortization</w:t>
            </w:r>
          </w:p>
        </w:tc>
        <w:tc>
          <w:tcPr>
            <w:tcW w:w="1160" w:type="dxa"/>
            <w:vAlign w:val="bottom"/>
            <w:gridSpan w:val="2"/>
          </w:tcPr>
          <w:p>
            <w:pPr>
              <w:jc w:val="right"/>
              <w:ind w:right="401"/>
              <w:spacing w:after="0"/>
              <w:rPr>
                <w:sz w:val="20"/>
                <w:szCs w:val="20"/>
                <w:color w:val="auto"/>
              </w:rPr>
            </w:pPr>
            <w:r>
              <w:rPr>
                <w:rFonts w:ascii="Courier New" w:cs="Courier New" w:eastAsia="Courier New" w:hAnsi="Courier New"/>
                <w:sz w:val="12"/>
                <w:szCs w:val="12"/>
                <w:color w:val="auto"/>
              </w:rPr>
              <w:t>$ 154,343</w:t>
            </w:r>
          </w:p>
        </w:tc>
        <w:tc>
          <w:tcPr>
            <w:tcW w:w="10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$ 171,743</w:t>
            </w:r>
          </w:p>
        </w:tc>
        <w:tc>
          <w:tcPr>
            <w:tcW w:w="70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153,189</w:t>
            </w:r>
          </w:p>
        </w:tc>
        <w:tc>
          <w:tcPr>
            <w:tcW w:w="1380" w:type="dxa"/>
            <w:vAlign w:val="bottom"/>
            <w:gridSpan w:val="2"/>
          </w:tcPr>
          <w:p>
            <w:pPr>
              <w:jc w:val="right"/>
              <w:ind w:right="361"/>
              <w:spacing w:after="0"/>
              <w:rPr>
                <w:sz w:val="20"/>
                <w:szCs w:val="20"/>
                <w:color w:val="auto"/>
              </w:rPr>
            </w:pPr>
            <w:r>
              <w:rPr>
                <w:rFonts w:ascii="Courier New" w:cs="Courier New" w:eastAsia="Courier New" w:hAnsi="Courier New"/>
                <w:sz w:val="12"/>
                <w:szCs w:val="12"/>
                <w:color w:val="auto"/>
              </w:rPr>
              <w:t>$ 131,576</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59,198</w:t>
            </w:r>
          </w:p>
        </w:tc>
      </w:tr>
      <w:tr>
        <w:trPr>
          <w:trHeight w:val="793"/>
        </w:trPr>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20" w:type="dxa"/>
            <w:vAlign w:val="bottom"/>
            <w:gridSpan w:val="3"/>
          </w:tcPr>
          <w:p>
            <w:pPr>
              <w:jc w:val="right"/>
              <w:ind w:right="601"/>
              <w:spacing w:after="0"/>
              <w:rPr>
                <w:sz w:val="20"/>
                <w:szCs w:val="20"/>
                <w:color w:val="auto"/>
              </w:rPr>
            </w:pPr>
            <w:r>
              <w:rPr>
                <w:rFonts w:ascii="Courier New" w:cs="Courier New" w:eastAsia="Courier New" w:hAnsi="Courier New"/>
                <w:sz w:val="12"/>
                <w:szCs w:val="12"/>
                <w:color w:val="auto"/>
              </w:rPr>
              <w:t>YEAR ENDED DECEMBER 31,</w:t>
            </w: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35"/>
        </w:trPr>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360" w:type="dxa"/>
            <w:vAlign w:val="bottom"/>
            <w:gridSpan w:val="6"/>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2007</w:t>
            </w:r>
          </w:p>
        </w:tc>
        <w:tc>
          <w:tcPr>
            <w:tcW w:w="380" w:type="dxa"/>
            <w:vAlign w:val="bottom"/>
          </w:tcPr>
          <w:p>
            <w:pPr>
              <w:spacing w:after="0"/>
              <w:rPr>
                <w:sz w:val="11"/>
                <w:szCs w:val="11"/>
                <w:color w:val="auto"/>
              </w:rPr>
            </w:pPr>
          </w:p>
        </w:tc>
        <w:tc>
          <w:tcPr>
            <w:tcW w:w="64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90"/>
              </w:rPr>
              <w:t>2006</w:t>
            </w:r>
          </w:p>
        </w:tc>
        <w:tc>
          <w:tcPr>
            <w:tcW w:w="700" w:type="dxa"/>
            <w:vAlign w:val="bottom"/>
          </w:tcPr>
          <w:p>
            <w:pPr>
              <w:ind w:left="140"/>
              <w:spacing w:after="0"/>
              <w:rPr>
                <w:sz w:val="20"/>
                <w:szCs w:val="20"/>
                <w:color w:val="auto"/>
              </w:rPr>
            </w:pPr>
            <w:r>
              <w:rPr>
                <w:rFonts w:ascii="Courier New" w:cs="Courier New" w:eastAsia="Courier New" w:hAnsi="Courier New"/>
                <w:sz w:val="12"/>
                <w:szCs w:val="12"/>
                <w:color w:val="auto"/>
              </w:rPr>
              <w:t>2005</w:t>
            </w:r>
          </w:p>
        </w:tc>
        <w:tc>
          <w:tcPr>
            <w:tcW w:w="1080" w:type="dxa"/>
            <w:vAlign w:val="bottom"/>
          </w:tcPr>
          <w:p>
            <w:pPr>
              <w:jc w:val="right"/>
              <w:ind w:right="401"/>
              <w:spacing w:after="0"/>
              <w:rPr>
                <w:sz w:val="20"/>
                <w:szCs w:val="20"/>
                <w:color w:val="auto"/>
              </w:rPr>
            </w:pPr>
            <w:r>
              <w:rPr>
                <w:rFonts w:ascii="Courier New" w:cs="Courier New" w:eastAsia="Courier New" w:hAnsi="Courier New"/>
                <w:sz w:val="12"/>
                <w:szCs w:val="12"/>
                <w:color w:val="auto"/>
              </w:rPr>
              <w:t>2004</w:t>
            </w: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2003</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2"/>
          </w:tcPr>
          <w:p>
            <w:pPr>
              <w:ind w:left="340"/>
              <w:spacing w:after="0"/>
              <w:rPr>
                <w:sz w:val="20"/>
                <w:szCs w:val="20"/>
                <w:color w:val="auto"/>
              </w:rPr>
            </w:pPr>
            <w:r>
              <w:rPr>
                <w:rFonts w:ascii="Courier New" w:cs="Courier New" w:eastAsia="Courier New" w:hAnsi="Courier New"/>
                <w:sz w:val="12"/>
                <w:szCs w:val="12"/>
                <w:color w:val="auto"/>
                <w:w w:val="97"/>
              </w:rPr>
              <w:t>(IN THOUSANDS)</w:t>
            </w: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70"/>
        </w:trPr>
        <w:tc>
          <w:tcPr>
            <w:tcW w:w="2880" w:type="dxa"/>
            <w:vAlign w:val="bottom"/>
          </w:tcPr>
          <w:p>
            <w:pPr>
              <w:spacing w:after="0"/>
              <w:rPr>
                <w:sz w:val="20"/>
                <w:szCs w:val="20"/>
                <w:color w:val="auto"/>
              </w:rPr>
            </w:pPr>
            <w:r>
              <w:rPr>
                <w:rFonts w:ascii="Courier New" w:cs="Courier New" w:eastAsia="Courier New" w:hAnsi="Courier New"/>
                <w:sz w:val="12"/>
                <w:szCs w:val="12"/>
                <w:color w:val="auto"/>
              </w:rPr>
              <w:t>SELECTED BALANCE SHEET:</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Cash and cash equivalents, including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ind w:left="200"/>
              <w:spacing w:after="0"/>
              <w:rPr>
                <w:sz w:val="20"/>
                <w:szCs w:val="20"/>
                <w:color w:val="auto"/>
              </w:rPr>
            </w:pPr>
            <w:r>
              <w:rPr>
                <w:rFonts w:ascii="Courier New" w:cs="Courier New" w:eastAsia="Courier New" w:hAnsi="Courier New"/>
                <w:sz w:val="12"/>
                <w:szCs w:val="12"/>
                <w:color w:val="auto"/>
              </w:rPr>
              <w:t>short-term interest-bearing deposits</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ind w:left="200"/>
              <w:spacing w:after="0"/>
              <w:rPr>
                <w:sz w:val="20"/>
                <w:szCs w:val="20"/>
                <w:color w:val="auto"/>
              </w:rPr>
            </w:pPr>
            <w:r>
              <w:rPr>
                <w:rFonts w:ascii="Courier New" w:cs="Courier New" w:eastAsia="Courier New" w:hAnsi="Courier New"/>
                <w:sz w:val="12"/>
                <w:szCs w:val="12"/>
                <w:color w:val="auto"/>
              </w:rPr>
              <w:t>and designated cash</w:t>
            </w:r>
          </w:p>
        </w:tc>
        <w:tc>
          <w:tcPr>
            <w:tcW w:w="20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$ 44,536</w:t>
            </w:r>
          </w:p>
        </w:tc>
        <w:tc>
          <w:tcPr>
            <w:tcW w:w="10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$ 40,940</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3"/>
              </w:rPr>
              <w:t>$ 38,998</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$ 86,591</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$ 61,338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Working capital</w:t>
            </w:r>
          </w:p>
        </w:tc>
        <w:tc>
          <w:tcPr>
            <w:tcW w:w="20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46,711</w:t>
            </w:r>
          </w:p>
        </w:tc>
        <w:tc>
          <w:tcPr>
            <w:tcW w:w="10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29,973</w:t>
            </w: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(40,725)</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5,848</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3,109</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Total assets</w:t>
            </w:r>
          </w:p>
        </w:tc>
        <w:tc>
          <w:tcPr>
            <w:tcW w:w="20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686,782</w:t>
            </w:r>
          </w:p>
        </w:tc>
        <w:tc>
          <w:tcPr>
            <w:tcW w:w="10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714,132</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690,624</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859,043</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796,799</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w w:val="99"/>
              </w:rPr>
              <w:t>Current maturities of long-term debt and</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ind w:left="200"/>
              <w:spacing w:after="0"/>
              <w:rPr>
                <w:sz w:val="20"/>
                <w:szCs w:val="20"/>
                <w:color w:val="auto"/>
              </w:rPr>
            </w:pPr>
            <w:r>
              <w:rPr>
                <w:rFonts w:ascii="Courier New" w:cs="Courier New" w:eastAsia="Courier New" w:hAnsi="Courier New"/>
                <w:sz w:val="12"/>
                <w:szCs w:val="12"/>
                <w:color w:val="auto"/>
              </w:rPr>
              <w:t>other short-term debt</w:t>
            </w:r>
          </w:p>
        </w:tc>
        <w:tc>
          <w:tcPr>
            <w:tcW w:w="20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380" w:type="dxa"/>
            <w:vAlign w:val="bottom"/>
          </w:tcPr>
          <w:p>
            <w:pPr>
              <w:spacing w:after="0"/>
              <w:rPr>
                <w:sz w:val="11"/>
                <w:szCs w:val="11"/>
                <w:color w:val="auto"/>
              </w:rPr>
            </w:pPr>
          </w:p>
        </w:tc>
        <w:tc>
          <w:tcPr>
            <w:tcW w:w="64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21,103</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Current maturities of convertible</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ind w:left="200"/>
              <w:spacing w:after="0"/>
              <w:rPr>
                <w:sz w:val="20"/>
                <w:szCs w:val="20"/>
                <w:color w:val="auto"/>
              </w:rPr>
            </w:pPr>
            <w:r>
              <w:rPr>
                <w:rFonts w:ascii="Courier New" w:cs="Courier New" w:eastAsia="Courier New" w:hAnsi="Courier New"/>
                <w:sz w:val="12"/>
                <w:szCs w:val="12"/>
                <w:color w:val="auto"/>
              </w:rPr>
              <w:t>debentures</w:t>
            </w:r>
          </w:p>
        </w:tc>
        <w:tc>
          <w:tcPr>
            <w:tcW w:w="20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7,887</w:t>
            </w:r>
          </w:p>
        </w:tc>
        <w:tc>
          <w:tcPr>
            <w:tcW w:w="380" w:type="dxa"/>
            <w:vAlign w:val="bottom"/>
          </w:tcPr>
          <w:p>
            <w:pPr>
              <w:spacing w:after="0"/>
              <w:rPr>
                <w:sz w:val="11"/>
                <w:szCs w:val="11"/>
                <w:color w:val="auto"/>
              </w:rPr>
            </w:pPr>
          </w:p>
        </w:tc>
        <w:tc>
          <w:tcPr>
            <w:tcW w:w="640" w:type="dxa"/>
            <w:vAlign w:val="bottom"/>
          </w:tcPr>
          <w:p>
            <w:pPr>
              <w:jc w:val="right"/>
              <w:ind w:right="241"/>
              <w:spacing w:after="0"/>
              <w:rPr>
                <w:sz w:val="20"/>
                <w:szCs w:val="20"/>
                <w:color w:val="auto"/>
              </w:rPr>
            </w:pPr>
            <w:r>
              <w:rPr>
                <w:rFonts w:ascii="Courier New" w:cs="Courier New" w:eastAsia="Courier New" w:hAnsi="Courier New"/>
                <w:sz w:val="12"/>
                <w:szCs w:val="12"/>
                <w:color w:val="auto"/>
                <w:w w:val="88"/>
              </w:rPr>
              <w:t>6,902</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5,813</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Long-term debt from banks</w:t>
            </w:r>
          </w:p>
        </w:tc>
        <w:tc>
          <w:tcPr>
            <w:tcW w:w="20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379,314</w:t>
            </w:r>
          </w:p>
        </w:tc>
        <w:tc>
          <w:tcPr>
            <w:tcW w:w="10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432,430</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497,000</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497,000</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431,000</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Convertible debentures</w:t>
            </w:r>
          </w:p>
        </w:tc>
        <w:tc>
          <w:tcPr>
            <w:tcW w:w="20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117,460</w:t>
            </w:r>
          </w:p>
        </w:tc>
        <w:tc>
          <w:tcPr>
            <w:tcW w:w="10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83,863</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42,932</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24,092</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23,224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Long-term liabilities in respect of</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ind w:left="200"/>
              <w:spacing w:after="0"/>
              <w:rPr>
                <w:sz w:val="20"/>
                <w:szCs w:val="20"/>
                <w:color w:val="auto"/>
              </w:rPr>
            </w:pPr>
            <w:r>
              <w:rPr>
                <w:rFonts w:ascii="Courier New" w:cs="Courier New" w:eastAsia="Courier New" w:hAnsi="Courier New"/>
                <w:sz w:val="12"/>
                <w:szCs w:val="12"/>
                <w:color w:val="auto"/>
              </w:rPr>
              <w:t>customers' advances</w:t>
            </w:r>
          </w:p>
        </w:tc>
        <w:tc>
          <w:tcPr>
            <w:tcW w:w="20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27,983</w:t>
            </w:r>
          </w:p>
        </w:tc>
        <w:tc>
          <w:tcPr>
            <w:tcW w:w="10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46,042</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59,621</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64,428</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46,347</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Shareholders' equity (deficit)</w:t>
            </w:r>
          </w:p>
        </w:tc>
        <w:tc>
          <w:tcPr>
            <w:tcW w:w="20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44,709</w:t>
            </w:r>
          </w:p>
        </w:tc>
        <w:tc>
          <w:tcPr>
            <w:tcW w:w="10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39,516</w:t>
            </w:r>
          </w:p>
        </w:tc>
        <w:tc>
          <w:tcPr>
            <w:tcW w:w="7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(29,228)</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163,318</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199,525</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spacing w:after="0"/>
              <w:rPr>
                <w:sz w:val="20"/>
                <w:szCs w:val="20"/>
                <w:color w:val="auto"/>
              </w:rPr>
            </w:pPr>
            <w:r>
              <w:rPr>
                <w:rFonts w:ascii="Courier New" w:cs="Courier New" w:eastAsia="Courier New" w:hAnsi="Courier New"/>
                <w:sz w:val="12"/>
                <w:szCs w:val="12"/>
                <w:color w:val="auto"/>
              </w:rPr>
              <w:t>Weighted average number of ordinary</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80" w:type="dxa"/>
            <w:vAlign w:val="bottom"/>
          </w:tcPr>
          <w:p>
            <w:pPr>
              <w:ind w:left="200"/>
              <w:spacing w:after="0"/>
              <w:rPr>
                <w:sz w:val="20"/>
                <w:szCs w:val="20"/>
                <w:color w:val="auto"/>
              </w:rPr>
            </w:pPr>
            <w:r>
              <w:rPr>
                <w:rFonts w:ascii="Courier New" w:cs="Courier New" w:eastAsia="Courier New" w:hAnsi="Courier New"/>
                <w:sz w:val="12"/>
                <w:szCs w:val="12"/>
                <w:color w:val="auto"/>
              </w:rPr>
              <w:t>shares outstanding (*)</w:t>
            </w:r>
          </w:p>
        </w:tc>
        <w:tc>
          <w:tcPr>
            <w:tcW w:w="200" w:type="dxa"/>
            <w:vAlign w:val="bottom"/>
          </w:tcPr>
          <w:p>
            <w:pPr>
              <w:spacing w:after="0"/>
              <w:rPr>
                <w:sz w:val="11"/>
                <w:szCs w:val="11"/>
                <w:color w:val="auto"/>
              </w:rPr>
            </w:pP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118,857</w:t>
            </w:r>
          </w:p>
        </w:tc>
        <w:tc>
          <w:tcPr>
            <w:tcW w:w="10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82,581</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66,371</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64,633</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46,710</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80" w:type="dxa"/>
            <w:vAlign w:val="bottom"/>
            <w:gridSpan w:val="2"/>
          </w:tcPr>
          <w:p>
            <w:pPr>
              <w:spacing w:after="0"/>
              <w:rPr>
                <w:sz w:val="20"/>
                <w:szCs w:val="20"/>
                <w:color w:val="auto"/>
              </w:rPr>
            </w:pPr>
            <w:r>
              <w:rPr>
                <w:rFonts w:ascii="Courier New" w:cs="Courier New" w:eastAsia="Courier New" w:hAnsi="Courier New"/>
                <w:sz w:val="12"/>
                <w:szCs w:val="12"/>
                <w:color w:val="auto"/>
                <w:w w:val="98"/>
              </w:rPr>
              <w:t>Number of shares issued and outstanding (*)</w:t>
            </w:r>
          </w:p>
        </w:tc>
        <w:tc>
          <w:tcPr>
            <w:tcW w:w="9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124,226</w:t>
            </w:r>
          </w:p>
        </w:tc>
        <w:tc>
          <w:tcPr>
            <w:tcW w:w="1020" w:type="dxa"/>
            <w:vAlign w:val="bottom"/>
            <w:gridSpan w:val="2"/>
          </w:tcPr>
          <w:p>
            <w:pPr>
              <w:jc w:val="right"/>
              <w:ind w:right="241"/>
              <w:spacing w:after="0"/>
              <w:rPr>
                <w:sz w:val="20"/>
                <w:szCs w:val="20"/>
                <w:color w:val="auto"/>
              </w:rPr>
            </w:pPr>
            <w:r>
              <w:rPr>
                <w:rFonts w:ascii="Courier New" w:cs="Courier New" w:eastAsia="Courier New" w:hAnsi="Courier New"/>
                <w:sz w:val="12"/>
                <w:szCs w:val="12"/>
                <w:color w:val="auto"/>
              </w:rPr>
              <w:t>100,752</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66,932</w:t>
            </w: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65,700</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51,696</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134"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2"/>
          <w:szCs w:val="12"/>
          <w:color w:val="auto"/>
        </w:rPr>
        <w:t>(*)</w:t>
        <w:tab/>
        <w:t>Net of 1,300,000 treasury shares.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RISK FACTORS</w:t>
      </w:r>
    </w:p>
    <w:p>
      <w:pPr>
        <w:spacing w:after="0" w:line="139" w:lineRule="exact"/>
        <w:rPr>
          <w:sz w:val="20"/>
          <w:szCs w:val="20"/>
          <w:color w:val="auto"/>
        </w:rPr>
      </w:pPr>
    </w:p>
    <w:p>
      <w:pPr>
        <w:ind w:right="4839" w:firstLine="351"/>
        <w:spacing w:after="0" w:line="237" w:lineRule="auto"/>
        <w:rPr>
          <w:sz w:val="20"/>
          <w:szCs w:val="20"/>
          <w:color w:val="auto"/>
        </w:rPr>
      </w:pPr>
      <w:r>
        <w:rPr>
          <w:rFonts w:ascii="Courier New" w:cs="Courier New" w:eastAsia="Courier New" w:hAnsi="Courier New"/>
          <w:sz w:val="12"/>
          <w:szCs w:val="12"/>
          <w:color w:val="auto"/>
        </w:rPr>
        <w:t>This annual report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RISKS AFFECTING OUR BUSINESS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IF THE INVESTMENT CENTER WILL NOT APPROVE OUR REQUEST FOR AN EXPANSION PROGRAM, WE WOULD BE REQUIRED TO SEEK ALTERNATIVE FINANCING SOURCES TO CONTINUE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WOULD LIKELY BE UNABLE TO FUND OUR ON-GOING OPERATIONS.</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- 2 -</w:t>
      </w:r>
    </w:p>
    <w:p>
      <w:pPr>
        <w:spacing w:after="0" w:line="391"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equal to 20% of up to $1.25 billion invested in Fab 2 plant and equipment, or an aggregate of up to $250 million. As of May 31, 2008, we received a cumulative amount of approximately $165 million in grants from the Investment Center in relation to Fab 2. Our eligibility to receive grants was with respect to investments in Fab 2 plant and equipment made by the end of 2005. Any failure by us to meet the conditions of our grants may result in the cancellation of all or a portion of the grants and tax benefits and in the Investment Center requiring us to repay all or a portion of grants already received. In 2007, we submitted the final report in relation to the investments made through 2005 totaling $825 million out of the entire investment plan of $1.25 billion. The investment plan has been spread over additional years and was not completed through 2005 primarily due to the external economic conditions of worldwide markets during 2001 through 2004 and the semiconductor industry in particular following the September 11, 2001 terrorist attack as well as the outbreak of the Second Intifada (Israeli-Palestinian conflict) in September 2000 which lasted until 2003. Under Israeli law, our not completing investments in an amount of $1.25 billion by the end of 2005 could result in a request from the Investment Center to repay all or a portion of grants already received, which has not been made. Israeli law limits the ability of the Investment Center to extend this time limitation, unless approved through an expansion plan. We have therefore been holding discussions with the Investment Center to achieve satisfactory arrangements to approve an expansion plan to commence as of January 1, 2006. On numerous occasions, we have received assurances and commitments from governmental authorities that such an expansion plan will be approved pending positive recommendation of an economical audit by the Industrial Bank of the Investment Center. In 2005, at the Investment Center's request, we submitted a revised business plan to the Investment Center and its Industrial Bank for the period</w:t>
      </w:r>
    </w:p>
    <w:p>
      <w:pPr>
        <w:sectPr>
          <w:pgSz w:w="11900" w:h="16838" w:orient="portrait"/>
          <w:cols w:equalWidth="0" w:num="1">
            <w:col w:w="10239"/>
          </w:cols>
          <w:pgMar w:left="220" w:top="141" w:right="1440" w:bottom="0" w:gutter="0" w:footer="0" w:header="0"/>
        </w:sectPr>
      </w:pPr>
    </w:p>
    <w:bookmarkStart w:id="3" w:name="page4"/>
    <w:bookmarkEnd w:id="3"/>
    <w:p>
      <w:pPr>
        <w:ind w:right="4619"/>
        <w:spacing w:after="0" w:line="238" w:lineRule="auto"/>
        <w:rPr>
          <w:sz w:val="20"/>
          <w:szCs w:val="20"/>
          <w:color w:val="auto"/>
        </w:rPr>
      </w:pPr>
      <w:r>
        <w:rPr>
          <w:rFonts w:ascii="Courier New" w:cs="Courier New" w:eastAsia="Courier New" w:hAnsi="Courier New"/>
          <w:sz w:val="12"/>
          <w:szCs w:val="12"/>
          <w:color w:val="auto"/>
        </w:rPr>
        <w:t>commencing January 1, 2006. While the Industrial Bank of the Investment Center gave a positive recommendation, the governmental approval process has been protracted and as a result, in May 2008, we filed a petition with the Israeli High Court of Justice asking the Court to order that our expansion plan be brought before the relevant Israeli governmental bodies for their respective approvals without delay. During the period from January 1, 2006 through May 31, 2008, we invested approximately $230 million in Fab 2 plant and equipment. Currently, we cannot estimate when we will receive a formal response to our request for an expansion plan to commence as of January 1, 2006 or if the Investment Center will approve our request. If the Investment Center does not approve our request for an expansion plan, we would likely be required to obtain alternative financing sources, which may not be available, in order to successfully continue the ramp-up of Fab 2. While there can be no assurance that we will obtain the Investment Center's approval for the expansion plan, we believe that the likelihood that the Investment Center would demand that we repay all or a portion of grants already received due to our not completing investments in an amount of $1.25 billion by the end of 2005 is remote. If we would have to repay the Investment Center all or a portion of the grants already received, we would need to seek financing sources to refund the grants we received and if we do not succeed in finding such financing sources, we would likely be unable to fund our on-going operations.</w:t>
      </w:r>
    </w:p>
    <w:p>
      <w:pPr>
        <w:spacing w:after="0" w:line="141"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IF WE DO NOT OBTAIN INVESTMENT CENTER APPROVAL FOR OUR EXPANSION PLAN OR OUR FUTURE OPERATIONS DO NOT IMPROVE OR WE DO NOT GENERATE INCREASED LEVELS OF CASH FROM OPERATIONS OR WE DO NOT RAISE ADDITIONAL FUNDING OR WE DO NOT OBTAIN FUNDS FROM OTHER SOURCES OR MARKET CONDITIONS DO NOT IMPROVE SIGNIFICANTLY, WE WOULD LIKELY BE UNABLE TO FUND OUR ON-GOING OPERATIONS.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There is no assurance that we will obtain Investment Center approval for our expansion plan (see "Risk Factors" - "If the Investment Center will not approve our request for an expansion program, we would be required to seek alternative financing sources...") or that our future operations will improve significantly or that we will generate increased levels of cash from operations or that we will succeed in raising additional funding or that we will obtain funds from other sources (including, for example, funds from a sale and lease-back of a portion of our real estate assets and/or a sale of other assets) or that market conditions (including our product prices) will improve significantly. If a portion of the above does not occur sufficiently and in a timely manner, we would likely be unable to continue the ramp up of Fab 2, and/or fund our on-going operations and/or repay our short-term and long-term debt and other liabilities, which consist mainly of banks debt, debentures, trade accounts payable and other payables. Furthermore, we can not assure you that the mitigation actions we are taking, such as cost reductions, employee layoffs and price and payment term negotiations with suppliers, will be satisfactory to overcome this position.</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- 3 -</w:t>
      </w:r>
    </w:p>
    <w:p>
      <w:pPr>
        <w:spacing w:after="0" w:line="391" w:lineRule="exact"/>
        <w:rPr>
          <w:sz w:val="20"/>
          <w:szCs w:val="20"/>
          <w:color w:val="auto"/>
        </w:rPr>
      </w:pPr>
    </w:p>
    <w:p>
      <w:pPr>
        <w:ind w:right="4839"/>
        <w:spacing w:after="0" w:line="263" w:lineRule="auto"/>
        <w:rPr>
          <w:sz w:val="20"/>
          <w:szCs w:val="20"/>
          <w:color w:val="auto"/>
        </w:rPr>
      </w:pPr>
      <w:r>
        <w:rPr>
          <w:rFonts w:ascii="Courier New" w:cs="Courier New" w:eastAsia="Courier New" w:hAnsi="Courier New"/>
          <w:sz w:val="11"/>
          <w:szCs w:val="11"/>
          <w:color w:val="auto"/>
        </w:rPr>
        <w:t>IF WE WILL NOT BE IN COMPLIANCE WITH THE REPAYMENT SCHEDULE UNDER THE AMENDED FACILITY AGREEMENT AND WE ARE UNSUCCESSFUL IN NEGOTIATING A REVISED REPAYMENT SCHEDULE, OR IF WE FAIL TO MEET ANY OF THE COVENANTS AND FINANCIAL RATIOS STIPULATED IN OUR AMENDED FACILITY AGREEMENT AND OUR BANKS DO NOT WAIVE OUR NONCOMPLIANCE, WE WOULD LIKELY BE UNABLE TO FUND OUR ON-GOING OPERATIONS.</w:t>
      </w:r>
    </w:p>
    <w:p>
      <w:pPr>
        <w:spacing w:after="0" w:line="128" w:lineRule="exact"/>
        <w:rPr>
          <w:sz w:val="20"/>
          <w:szCs w:val="20"/>
          <w:color w:val="auto"/>
        </w:rPr>
      </w:pPr>
    </w:p>
    <w:p>
      <w:pPr>
        <w:ind w:right="4619"/>
        <w:spacing w:after="0" w:line="238" w:lineRule="auto"/>
        <w:rPr>
          <w:sz w:val="20"/>
          <w:szCs w:val="20"/>
          <w:color w:val="auto"/>
        </w:rPr>
      </w:pPr>
      <w:r>
        <w:rPr>
          <w:rFonts w:ascii="Courier New" w:cs="Courier New" w:eastAsia="Courier New" w:hAnsi="Courier New"/>
          <w:sz w:val="12"/>
          <w:szCs w:val="12"/>
          <w:color w:val="auto"/>
        </w:rPr>
        <w:t>Under our amended facility agreement with Bank Hapoalim B.M. and Bank Leumi Le-Israel B.M., our banks, in the event that we will not be in compliance with the repayment schedule and we are unsuccessful in negotiating a revised repayment schedule, or if we fail to meet any of the covenants and financial ratios stipulated in our amended facility agreement and our banks do not waive our noncompliance, our banks may require us to immediately repay all loans made by them to us, plus penalties, and they would be entitled to exercise the remedies available to them under our amended credit facility, including enforcement of their lien against our assets. There is no assurance that our future operations will improve significantly or that we will generate increased levels of cash from operations or that we will succeed in raising additional funding or that we will obtain funds from other sources (including, for example, funds from a sale and lease-back of a portion of our real estate assets and/or a sale of other assets) or that market conditions (including our product prices) will improve significantly. If a portion of the above does not occur sufficiently and in a timely manner, we would likely be unable to comply with the repayment schedule under the amended facility agreement and we would likely fail to meet covenants and financial ratios stipulated in it. This would have a material adverse effect on our company and we would likely be unable to fund our on-going operations unless the banks agree to a revised repayment schedule or to waive our non- compliance.</w:t>
      </w:r>
    </w:p>
    <w:p>
      <w:pPr>
        <w:spacing w:after="0" w:line="141" w:lineRule="exact"/>
        <w:rPr>
          <w:sz w:val="20"/>
          <w:szCs w:val="20"/>
          <w:color w:val="auto"/>
        </w:rPr>
      </w:pPr>
    </w:p>
    <w:p>
      <w:pPr>
        <w:ind w:right="4759"/>
        <w:spacing w:after="0" w:line="236" w:lineRule="auto"/>
        <w:rPr>
          <w:sz w:val="20"/>
          <w:szCs w:val="20"/>
          <w:color w:val="auto"/>
        </w:rPr>
      </w:pPr>
      <w:r>
        <w:rPr>
          <w:rFonts w:ascii="Courier New" w:cs="Courier New" w:eastAsia="Courier New" w:hAnsi="Courier New"/>
          <w:sz w:val="12"/>
          <w:szCs w:val="12"/>
          <w:color w:val="auto"/>
        </w:rPr>
        <w:t>IF WE DO NOT FULLY EQUIP FAB 2 AND COMPLETE THE EQUIPMENT INSTALLATION, AND RAMP-UP OF PRODUCTION IN FAB 2 TO ITS FULL CAPACITY, WE WILL NOT FULLY UTILIZE THE SUBSTANTIAL INVESTMENT MADE IN THE CONSTRUCTION OF FAB 2.</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Fab 2 production capacity as of December 31, 2007 was approximately 24,000 wafers per month. During 2008, we are implementing a capacity increase plan targeting to reach up to approximately 30,000 wafers per month, which has not yet been completed. Depending on the process technology and product mix, when fully ramped-up, we estimate that Fab 2 will be able to achieve capacity levels of approximately 44,000 wafers per month. Our determination as to the timing of the implementation of the ramp-up of Fab 2 and the increase in Fab 2's production levels is dependent on prevailing and forecasted market conditions and our ability to fund these increases. There can be no assurance as to the timing or our ability to achieve Fab 2 capacity levels of approximately 44,000 wafers per month. The ramp-up of Fab 2 is a substantial and complex project. If we cannot fund the further ramp-up of Fab 2 or otherwise successfully complete the ramp-up of Fab 2, we may be unable to meet our customers' production demands and as a result we may lose customers and may not attract new ones. In addition, if we do not acquire and install the equipment necessary to successfully complete the ramp-up of Fab 2, we will not fully utilize the substantial investment made in constructing Fab 2, which will adversely affect our financial results. In order to fully ramp-up Fab 2, we will need to continue to develop new process technologies in order to suit our customers' needs. In addition,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add to its cost and result in us not fully utilizing the substantial investment made in the construction of Fab 2, which would adversely affect our future financial results.</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- 4 -</w:t>
      </w:r>
    </w:p>
    <w:p>
      <w:pPr>
        <w:spacing w:after="0" w:line="391" w:lineRule="exact"/>
        <w:rPr>
          <w:sz w:val="20"/>
          <w:szCs w:val="20"/>
          <w:color w:val="auto"/>
        </w:rPr>
      </w:pPr>
    </w:p>
    <w:p>
      <w:pPr>
        <w:jc w:val="both"/>
        <w:ind w:right="4839"/>
        <w:spacing w:after="0" w:line="266" w:lineRule="auto"/>
        <w:rPr>
          <w:sz w:val="20"/>
          <w:szCs w:val="20"/>
          <w:color w:val="auto"/>
        </w:rPr>
      </w:pPr>
      <w:r>
        <w:rPr>
          <w:rFonts w:ascii="Courier New" w:cs="Courier New" w:eastAsia="Courier New" w:hAnsi="Courier New"/>
          <w:sz w:val="11"/>
          <w:szCs w:val="1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26" w:lineRule="exact"/>
        <w:rPr>
          <w:sz w:val="20"/>
          <w:szCs w:val="20"/>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The semiconductor industry has historically been highly cyclical. Historically, companies in the semiconductor industry have expanded aggressively during periods of increased demand. This expansion has frequently resulted in</w:t>
      </w:r>
    </w:p>
    <w:p>
      <w:pPr>
        <w:sectPr>
          <w:pgSz w:w="11900" w:h="16838" w:orient="portrait"/>
          <w:cols w:equalWidth="0" w:num="1">
            <w:col w:w="10239"/>
          </w:cols>
          <w:pgMar w:left="220" w:top="141" w:right="1440" w:bottom="0" w:gutter="0" w:footer="0" w:header="0"/>
        </w:sectPr>
      </w:pPr>
    </w:p>
    <w:bookmarkStart w:id="4" w:name="page5"/>
    <w:bookmarkEnd w:id="4"/>
    <w:p>
      <w:pPr>
        <w:ind w:right="4699"/>
        <w:spacing w:after="0" w:line="263" w:lineRule="auto"/>
        <w:rPr>
          <w:sz w:val="20"/>
          <w:szCs w:val="20"/>
          <w:color w:val="auto"/>
        </w:rPr>
      </w:pPr>
      <w:r>
        <w:rPr>
          <w:rFonts w:ascii="Courier New" w:cs="Courier New" w:eastAsia="Courier New" w:hAnsi="Courier New"/>
          <w:sz w:val="11"/>
          <w:szCs w:val="11"/>
          <w:color w:val="auto"/>
        </w:rPr>
        <w:t>overcapacity and excess inventories, leading to rapid erosion of average sale prices. We expect this pattern to repeat itself in the future. The overcapacity and downward price pressure characteristic of a prolonged downturn in the semiconductor market may not allow us to operate at a profit, even at full utilization, and could seriously harm our financial results and business.</w:t>
      </w:r>
    </w:p>
    <w:p>
      <w:pPr>
        <w:spacing w:after="0" w:line="128"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color w:val="auto"/>
        </w:rPr>
        <w:t>OUR OPERATING RESULTS FLUCTUATE FROM QUARTER TO QUARTER WHICH MAKES IT DIFFICULT TO PREDICT OUR FUTURE PERFORMANCE.</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41" w:lineRule="exact"/>
        <w:rPr>
          <w:sz w:val="20"/>
          <w:szCs w:val="20"/>
          <w:color w:val="auto"/>
        </w:rPr>
      </w:pPr>
    </w:p>
    <w:p>
      <w:pPr>
        <w:ind w:left="700" w:right="4619" w:hanging="357"/>
        <w:spacing w:after="0" w:line="235" w:lineRule="auto"/>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cyclical nature of both the semiconductor industry and the markets served by our customers;</w:t>
      </w:r>
    </w:p>
    <w:p>
      <w:pPr>
        <w:spacing w:after="0" w:line="139"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the economic conditions of geographical regions where our customers and their markets are located;</w:t>
      </w:r>
    </w:p>
    <w:p>
      <w:pPr>
        <w:spacing w:after="0" w:line="139" w:lineRule="exact"/>
        <w:rPr>
          <w:rFonts w:ascii="Courier New" w:cs="Courier New" w:eastAsia="Courier New" w:hAnsi="Courier New"/>
          <w:sz w:val="12"/>
          <w:szCs w:val="12"/>
          <w:color w:val="auto"/>
        </w:rPr>
      </w:pPr>
    </w:p>
    <w:p>
      <w:pPr>
        <w:ind w:left="700" w:right="4619" w:hanging="357"/>
        <w:spacing w:after="0" w:line="235" w:lineRule="auto"/>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Shifts by integrated device manufacturers (IDMs) and customers between internal and outsourced production;</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Inventory and supply chain management of our customers;</w:t>
      </w:r>
    </w:p>
    <w:p>
      <w:pPr>
        <w:spacing w:after="0" w:line="138" w:lineRule="exact"/>
        <w:rPr>
          <w:rFonts w:ascii="Courier New" w:cs="Courier New" w:eastAsia="Courier New" w:hAnsi="Courier New"/>
          <w:sz w:val="12"/>
          <w:szCs w:val="12"/>
          <w:color w:val="auto"/>
        </w:rPr>
      </w:pPr>
    </w:p>
    <w:p>
      <w:pPr>
        <w:ind w:left="700" w:right="5119" w:hanging="357"/>
        <w:spacing w:after="0" w:line="273" w:lineRule="auto"/>
        <w:tabs>
          <w:tab w:leader="none" w:pos="700" w:val="left"/>
        </w:tabs>
        <w:numPr>
          <w:ilvl w:val="0"/>
          <w:numId w:val="1"/>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loss of a key customer, postponement of an order from a key customer. The rescheduling or cancellation of large orders</w:t>
      </w:r>
    </w:p>
    <w:p>
      <w:pPr>
        <w:spacing w:after="0" w:line="121" w:lineRule="exact"/>
        <w:rPr>
          <w:rFonts w:ascii="Courier New" w:cs="Courier New" w:eastAsia="Courier New" w:hAnsi="Courier New"/>
          <w:sz w:val="11"/>
          <w:szCs w:val="11"/>
          <w:color w:val="auto"/>
        </w:rPr>
      </w:pPr>
    </w:p>
    <w:p>
      <w:pPr>
        <w:ind w:left="700" w:right="4839" w:hanging="357"/>
        <w:spacing w:after="0" w:line="236" w:lineRule="auto"/>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occurrence of accounts receivables write-offs, failure of a key customer to pay accounts receivables in a timely manner or the financial condition of our customers;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rescheduling or cancellation of planned capital expenditures;</w:t>
      </w:r>
    </w:p>
    <w:p>
      <w:pPr>
        <w:spacing w:after="0" w:line="138" w:lineRule="exact"/>
        <w:rPr>
          <w:rFonts w:ascii="Courier New" w:cs="Courier New" w:eastAsia="Courier New" w:hAnsi="Courier New"/>
          <w:sz w:val="12"/>
          <w:szCs w:val="12"/>
          <w:color w:val="auto"/>
        </w:rPr>
      </w:pPr>
    </w:p>
    <w:p>
      <w:pPr>
        <w:ind w:left="700" w:right="4839" w:hanging="357"/>
        <w:spacing w:after="0" w:line="235" w:lineRule="auto"/>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ability to satisfy our customers' demand for quality and timely production;</w:t>
      </w:r>
    </w:p>
    <w:p>
      <w:pPr>
        <w:spacing w:after="0" w:line="139"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timing and volume of orders relative to our available production capacity;</w:t>
      </w:r>
    </w:p>
    <w:p>
      <w:pPr>
        <w:spacing w:after="0" w:line="139" w:lineRule="exact"/>
        <w:rPr>
          <w:rFonts w:ascii="Courier New" w:cs="Courier New" w:eastAsia="Courier New" w:hAnsi="Courier New"/>
          <w:sz w:val="12"/>
          <w:szCs w:val="12"/>
          <w:color w:val="auto"/>
        </w:rPr>
      </w:pPr>
    </w:p>
    <w:p>
      <w:pPr>
        <w:ind w:left="700" w:right="4979" w:hanging="357"/>
        <w:spacing w:after="0" w:line="235" w:lineRule="auto"/>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ability to obtain raw materials and equipment on a timely and cost-effective basis;</w:t>
      </w:r>
    </w:p>
    <w:p>
      <w:pPr>
        <w:spacing w:after="0" w:line="139" w:lineRule="exact"/>
        <w:rPr>
          <w:rFonts w:ascii="Courier New" w:cs="Courier New" w:eastAsia="Courier New" w:hAnsi="Courier New"/>
          <w:sz w:val="12"/>
          <w:szCs w:val="12"/>
          <w:color w:val="auto"/>
        </w:rPr>
      </w:pPr>
    </w:p>
    <w:p>
      <w:pPr>
        <w:ind w:left="700" w:right="5259" w:hanging="357"/>
        <w:spacing w:after="0" w:line="235" w:lineRule="auto"/>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Environmental events or industrial accidents such as fires or explosions;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susceptibility to intellectual property rights disputes;</w:t>
      </w:r>
    </w:p>
    <w:p>
      <w:pPr>
        <w:spacing w:after="0" w:line="138" w:lineRule="exact"/>
        <w:rPr>
          <w:rFonts w:ascii="Courier New" w:cs="Courier New" w:eastAsia="Courier New" w:hAnsi="Courier New"/>
          <w:sz w:val="12"/>
          <w:szCs w:val="12"/>
          <w:color w:val="auto"/>
        </w:rPr>
      </w:pPr>
    </w:p>
    <w:p>
      <w:pPr>
        <w:ind w:left="700" w:right="5339" w:hanging="357"/>
        <w:spacing w:after="0" w:line="236" w:lineRule="auto"/>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ability to continue with existing and to enter into new partnerships and technology and supply alliances on mutually beneficial terms;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Actual capital expenditures exceeding planned capital expenditures;</w:t>
      </w:r>
    </w:p>
    <w:p>
      <w:pPr>
        <w:spacing w:after="0" w:line="138"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 price index and currency rate fluctuations that may not be adequately hedged;</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w:t>
      </w:r>
    </w:p>
    <w:p>
      <w:pPr>
        <w:spacing w:after="0" w:line="38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Technological changes and short product life cycles;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Timing for designing and the qualification of new products; and</w:t>
      </w:r>
    </w:p>
    <w:p>
      <w:pPr>
        <w:spacing w:after="0" w:line="138" w:lineRule="exact"/>
        <w:rPr>
          <w:rFonts w:ascii="Courier New" w:cs="Courier New" w:eastAsia="Courier New" w:hAnsi="Courier New"/>
          <w:sz w:val="12"/>
          <w:szCs w:val="12"/>
          <w:color w:val="auto"/>
        </w:rPr>
      </w:pPr>
    </w:p>
    <w:p>
      <w:pPr>
        <w:ind w:left="700" w:right="4839" w:hanging="357"/>
        <w:spacing w:after="0" w:line="235" w:lineRule="auto"/>
        <w:tabs>
          <w:tab w:leader="none" w:pos="700" w:val="left"/>
        </w:tabs>
        <w:numPr>
          <w:ilvl w:val="0"/>
          <w:numId w:val="1"/>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New accounting rules affecting our results including the accounting treatment of our bank debt and convertible debentures.</w:t>
      </w:r>
    </w:p>
    <w:p>
      <w:pPr>
        <w:spacing w:after="0" w:line="139"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Due to the factors noted above and other risks discussed in this section, many of which are beyond our control, investors should not rely on quarter-to-quarter comparisons to predict our future performance. Unfavorable changes in any of the above factors may seriously harm our company, including our operating results, financial condition and ability to maintain our operations.</w:t>
      </w:r>
    </w:p>
    <w:p>
      <w:pPr>
        <w:spacing w:after="0" w:line="140" w:lineRule="exact"/>
        <w:rPr>
          <w:sz w:val="20"/>
          <w:szCs w:val="20"/>
          <w:color w:val="auto"/>
        </w:rPr>
      </w:pPr>
    </w:p>
    <w:p>
      <w:pPr>
        <w:ind w:right="5039"/>
        <w:spacing w:after="0" w:line="236" w:lineRule="auto"/>
        <w:rPr>
          <w:sz w:val="20"/>
          <w:szCs w:val="20"/>
          <w:color w:val="auto"/>
        </w:rPr>
      </w:pPr>
      <w:r>
        <w:rPr>
          <w:rFonts w:ascii="Courier New" w:cs="Courier New" w:eastAsia="Courier New" w:hAnsi="Courier New"/>
          <w:sz w:val="12"/>
          <w:szCs w:val="12"/>
          <w:color w:val="auto"/>
        </w:rPr>
        <w:t>THE LACK OF A SIGNIFICANT BACKLOG RESULTING FROM OUR CUSTOMERS NOT PLACING PURCHASE ORDERS FAR IN ADVANCE MAKES IT DIFFICULT FOR US TO FORECAST OUR REVENUES IN FUTURE PERIODS.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If orders received from our customers differ from our expectations with respect to the product, volume, price or other items, our operating results, financial condition and ability to maintain our operations may be adversely affected.</w:t>
      </w:r>
    </w:p>
    <w:p>
      <w:pPr>
        <w:spacing w:after="0" w:line="139"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WE OCCASIONALLY MANUFACTURE WAFERS BASED ON FORECASTED DEMAND, RATHER THAN ACTUAL ORDERS FROM CUSTOMERS. IF OUR FORECASTED DEMAND EXCEEDS ACTUAL DEMAND IT WE MAY HAVE OBSOLETE INVENTORY, WHICH COULD HAVE A NEGATIVE IMPACT ON OUR RESULTS OF OPERATIONS</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initiate production of a majority of our wafers once we have received an order from a customer. We generally do not manufacture wafers unless we receive a customer purchase order. On occasion, we may produce wafers in excess of customer orders based on forecasted customer demand, because we may forecast future excess or because of future capacity constraints. If we manufacture more wafers than are actually ordered by customers, we may be left with excess inventory that may ultimately become obsolete and must be scrapped when it cannot be sold. Significant amounts of obsolete inventory could have a negative impact on our results of operations.</w:t>
      </w:r>
    </w:p>
    <w:p>
      <w:pPr>
        <w:spacing w:after="0" w:line="143"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WE HAVE A HISTORY OF OPERATING LOSSES AND EXPECT TO OPERATE AT A LOSS FOR THE FORESEEABLE FUTURE; OUR FACILITIES MUST OPERATE AT HIGH UTILIZATION RATES AND WE MUST INCREASE OUR CAPACITY LEVELS IN ORDER TO REDUCE OUR LOSSES.</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We have operated at a loss for the last number of years. Because fixed costs represent a substantial portion of the operating costs of semiconductor manufacturing operations, we must operate our facilities at high utilization rates for us to reduce our losses. In addition, to reduce our losses, we must increase our capacity levels. We began construction of Fab 2 in 2001 and Fab 2 operations began in 2003. Our losses since 2003 are due primarily to significant depreciation and amortization expenses related mainly to Fab 2, as well as financing and operating expenses that have not yet been offset by a sufficient</w:t>
      </w:r>
    </w:p>
    <w:p>
      <w:pPr>
        <w:sectPr>
          <w:pgSz w:w="11900" w:h="16838" w:orient="portrait"/>
          <w:cols w:equalWidth="0" w:num="1">
            <w:col w:w="10239"/>
          </w:cols>
          <w:pgMar w:left="220" w:top="141" w:right="1440" w:bottom="0" w:gutter="0" w:footer="0" w:header="0"/>
        </w:sectPr>
      </w:pPr>
    </w:p>
    <w:bookmarkStart w:id="5" w:name="page6"/>
    <w:bookmarkEnd w:id="5"/>
    <w:p>
      <w:pPr>
        <w:ind w:right="4759"/>
        <w:spacing w:after="0" w:line="236" w:lineRule="auto"/>
        <w:rPr>
          <w:sz w:val="20"/>
          <w:szCs w:val="20"/>
          <w:color w:val="auto"/>
        </w:rPr>
      </w:pPr>
      <w:r>
        <w:rPr>
          <w:rFonts w:ascii="Courier New" w:cs="Courier New" w:eastAsia="Courier New" w:hAnsi="Courier New"/>
          <w:sz w:val="12"/>
          <w:szCs w:val="12"/>
          <w:color w:val="auto"/>
        </w:rPr>
        <w:t>increase in the level of our revenues. If we do not succeed in operating our facilities at high utilization rates and in increasing our capacity levels, we expect to continue to operate at a loss for the foreseeable future, which may adversely affect our business and company.</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OUR SALES CYCLES ARE TYPICALLY LONG AND ORDERS RECEIVED MAY NOT MEET OUR</w:t>
      </w:r>
    </w:p>
    <w:p>
      <w:pPr>
        <w:spacing w:after="0"/>
        <w:rPr>
          <w:sz w:val="20"/>
          <w:szCs w:val="20"/>
          <w:color w:val="auto"/>
        </w:rPr>
      </w:pPr>
      <w:r>
        <w:rPr>
          <w:rFonts w:ascii="Courier New" w:cs="Courier New" w:eastAsia="Courier New" w:hAnsi="Courier New"/>
          <w:sz w:val="12"/>
          <w:szCs w:val="12"/>
          <w:color w:val="auto"/>
        </w:rPr>
        <w:t>EXPECTATIONS, WHICH MAY ADVERSELY AFFECT OUR OPERATING RESULTS.</w:t>
      </w:r>
    </w:p>
    <w:p>
      <w:pPr>
        <w:spacing w:after="0" w:line="138"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Our sales cycles, which we measure from first contact with a customer to first shipment of product ordered by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13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color w:val="auto"/>
        </w:rPr>
        <w:t>DEMAND FOR OUR FOUNDRY SERVICES IS DEPENDENT ON THE DEMAND IN OUR CUSTOMERS' END MARKETS.</w:t>
      </w:r>
    </w:p>
    <w:p>
      <w:pPr>
        <w:spacing w:after="0" w:line="139" w:lineRule="exact"/>
        <w:rPr>
          <w:sz w:val="20"/>
          <w:szCs w:val="20"/>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w:t>
      </w:r>
    </w:p>
    <w:p>
      <w:pPr>
        <w:spacing w:after="0" w:line="131" w:lineRule="exact"/>
        <w:rPr>
          <w:sz w:val="20"/>
          <w:szCs w:val="20"/>
          <w:color w:val="auto"/>
        </w:rPr>
      </w:pPr>
    </w:p>
    <w:p>
      <w:pPr>
        <w:ind w:right="4839"/>
        <w:spacing w:after="0" w:line="235" w:lineRule="auto"/>
        <w:rPr>
          <w:sz w:val="20"/>
          <w:szCs w:val="20"/>
          <w:color w:val="auto"/>
        </w:rPr>
      </w:pPr>
      <w:r>
        <w:rPr>
          <w:rFonts w:ascii="Courier New" w:cs="Courier New" w:eastAsia="Courier New" w:hAnsi="Courier New"/>
          <w:sz w:val="12"/>
          <w:szCs w:val="12"/>
          <w:color w:val="auto"/>
        </w:rPr>
        <w:t>IF WE DO NOT MAINTAIN OUR CURRENT CUSTOMERS AND ATTRACT ADDITIONAL CUSTOMERS, OUR BUSINESS MAY BE ADVERSELY AFFECTED.</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During the three months ended March 31, 2008, approximately 66% of our business was generated by five significant customers that contributed 20%, 18%, 15%, 7% and 6% of our revenue, respectively. We expect to continue to receive a significant portion of our revenue from a limited number of customers for the foreseeable future. Loss or cancellation of business from, or decreases in the sales volume or sales prices to, our significant customers, could seriously harm our financial results, revenue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 in a timely manner, which could harm our financial results.</w:t>
      </w:r>
    </w:p>
    <w:p>
      <w:pPr>
        <w:spacing w:after="0" w:line="129" w:lineRule="exact"/>
        <w:rPr>
          <w:sz w:val="20"/>
          <w:szCs w:val="20"/>
          <w:color w:val="auto"/>
        </w:rPr>
      </w:pPr>
    </w:p>
    <w:p>
      <w:pPr>
        <w:ind w:right="4699"/>
        <w:spacing w:after="0" w:line="235" w:lineRule="auto"/>
        <w:rPr>
          <w:sz w:val="20"/>
          <w:szCs w:val="20"/>
          <w:color w:val="auto"/>
        </w:rPr>
      </w:pPr>
      <w:r>
        <w:rPr>
          <w:rFonts w:ascii="Courier New" w:cs="Courier New" w:eastAsia="Courier New" w:hAnsi="Courier New"/>
          <w:sz w:val="12"/>
          <w:szCs w:val="12"/>
          <w:color w:val="auto"/>
        </w:rPr>
        <w:t>WE DEPEND ON A RELATIVELY SMALL NUMBER OF PRODUCTS FOR A SIGNIFICANT PORTION OF OUR REVENUES.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for the foreseeable future we will continue to be dependent upon a relatively limited number of products for a significant portion of our revenue due to the nature of our business. A decrease in the price of, or demand for, any of these products could negatively impact our financial results.</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IF WE DO NOT RECEIVE ORDERS FROM OUR CUSTOMERS WITH WHOM WE HAVE SIGNED</w:t>
      </w:r>
    </w:p>
    <w:p>
      <w:pPr>
        <w:spacing w:after="0"/>
        <w:rPr>
          <w:sz w:val="20"/>
          <w:szCs w:val="20"/>
          <w:color w:val="auto"/>
        </w:rPr>
      </w:pPr>
      <w:r>
        <w:rPr>
          <w:rFonts w:ascii="Courier New" w:cs="Courier New" w:eastAsia="Courier New" w:hAnsi="Courier New"/>
          <w:sz w:val="12"/>
          <w:szCs w:val="12"/>
          <w:color w:val="auto"/>
        </w:rPr>
        <w:t>LONG-TERM CONTRACTS, WE MAY HAVE EXCESS CAPACITY.</w:t>
      </w:r>
    </w:p>
    <w:p>
      <w:pPr>
        <w:spacing w:after="0" w:line="138"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We have committed a portion of our capacity for future orders to our wafer partners and customers with whom we have signed long-term contracts.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in accordance with their contractual loading and purchase commitments, and if we are unable to fill such unutilized capacity, our financial results may be adversely affected.</w:t>
      </w:r>
    </w:p>
    <w:p>
      <w:pPr>
        <w:spacing w:after="0" w:line="128"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color w:val="auto"/>
        </w:rPr>
        <w:t>IF WE DO NOT MAINTAIN AND DEVELOP OUR TECHNOLOGY PROCESSES AND SERVICES, WE WILL LOSE CUSTOMERS AND MAY NOT BE ABLE TO ATTRACT NEW ONES.</w:t>
      </w:r>
    </w:p>
    <w:p>
      <w:pPr>
        <w:spacing w:after="0" w:line="139" w:lineRule="exact"/>
        <w:rPr>
          <w:sz w:val="20"/>
          <w:szCs w:val="20"/>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The semiconductor market is characterized by rapid change, including the following:</w:t>
      </w:r>
    </w:p>
    <w:p>
      <w:pPr>
        <w:spacing w:after="0" w:line="135" w:lineRule="exact"/>
        <w:rPr>
          <w:sz w:val="20"/>
          <w:szCs w:val="20"/>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rapid technological developments;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evolving industry standards;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changes in customer and product end user requirements;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frequent new product introductions and enhancements; and</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short product life cycles with declining prices as products mature.</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Our ability to maintain our current customer base and attract new customers is dependent in part on our ability to continuously develop and introduce to production advanced specialized manufacturing process technologies. Since the successful development and introduction to production of these processes may not be achieved in a timely manner or at all, we may not be able to maintain our current customer base and may not be able to attract new customers.</w:t>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IF WE DO NOT COMPETE EFFECTIVELY, WE WILL LOSE BUSINESS TO OUR COMPETITORS.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semiconductor foundry industry is highly competitive. We compete with more than ten independent dedicated foundries, the majority of which are located in Asia-Pacific, including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In addition, many of our competitors may have one or more of the following competitive advantages over us:</w:t>
      </w:r>
    </w:p>
    <w:p>
      <w:pPr>
        <w:spacing w:after="0" w:line="139" w:lineRule="exact"/>
        <w:rPr>
          <w:sz w:val="20"/>
          <w:szCs w:val="20"/>
          <w:color w:val="auto"/>
        </w:rPr>
      </w:pPr>
    </w:p>
    <w:p>
      <w:pPr>
        <w:ind w:left="700" w:hanging="357"/>
        <w:spacing w:after="0"/>
        <w:tabs>
          <w:tab w:leader="none" w:pos="70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greater manufacturing capacity;</w:t>
      </w:r>
    </w:p>
    <w:p>
      <w:pPr>
        <w:sectPr>
          <w:pgSz w:w="11900" w:h="16838" w:orient="portrait"/>
          <w:cols w:equalWidth="0" w:num="1">
            <w:col w:w="10239"/>
          </w:cols>
          <w:pgMar w:left="220" w:top="141" w:right="1440" w:bottom="0" w:gutter="0" w:footer="0" w:header="0"/>
        </w:sectPr>
      </w:pPr>
    </w:p>
    <w:bookmarkStart w:id="6" w:name="page7"/>
    <w:bookmarkEnd w:id="6"/>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multiple and more advanced manufacturing facilities;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more advanced technological capabilities;</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8 -</w:t>
      </w:r>
    </w:p>
    <w:p>
      <w:pPr>
        <w:spacing w:after="0" w:line="38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more diverse and established customer base;</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greater financial, marketing, distribution and other resources;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better cost structure; and/or</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better operational performance in cycle time and yields.</w:t>
      </w:r>
    </w:p>
    <w:p>
      <w:pPr>
        <w:spacing w:after="0" w:line="139" w:lineRule="exact"/>
        <w:rPr>
          <w:sz w:val="20"/>
          <w:szCs w:val="20"/>
          <w:color w:val="auto"/>
        </w:rPr>
      </w:pPr>
    </w:p>
    <w:p>
      <w:pPr>
        <w:ind w:right="4699"/>
        <w:spacing w:after="0" w:line="235" w:lineRule="auto"/>
        <w:rPr>
          <w:sz w:val="20"/>
          <w:szCs w:val="20"/>
          <w:color w:val="auto"/>
        </w:rPr>
      </w:pPr>
      <w:r>
        <w:rPr>
          <w:rFonts w:ascii="Courier New" w:cs="Courier New" w:eastAsia="Courier New" w:hAnsi="Courier New"/>
          <w:sz w:val="12"/>
          <w:szCs w:val="12"/>
          <w:color w:val="auto"/>
        </w:rPr>
        <w:t>If we do not compete effectively, our business and results of operations may be adversely affected.</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WE HAVE A LARGE AMOUNT OF DEBT WHICH COULD HAVE SIGNIFICANT NEGATIVE CONSEQUENCES.</w:t>
      </w:r>
    </w:p>
    <w:p>
      <w:pPr>
        <w:spacing w:after="0" w:line="146"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We have a large amount of long-term debt and may incur additional indebtedness, which could have significant negative consequences. As of May 31, 2008, we had (i) approximately $399 million of bank debt under our amended credit facility agreement and September 2007 credit lines with the banks, (ii) $30 million outstanding under the September 2007 credit line with TIC and (iii) approximately $180 million of debt in respect of outstanding convertible and non-convertible debentures, including approximately $10 million short tern convertible debt. Our current and future indebtedness could have significant negative consequences, including:</w:t>
      </w:r>
    </w:p>
    <w:p>
      <w:pPr>
        <w:spacing w:after="0" w:line="143" w:lineRule="exact"/>
        <w:rPr>
          <w:sz w:val="20"/>
          <w:szCs w:val="20"/>
          <w:color w:val="auto"/>
        </w:rPr>
      </w:pPr>
    </w:p>
    <w:p>
      <w:pPr>
        <w:ind w:left="700" w:right="4619" w:hanging="357"/>
        <w:spacing w:after="0" w:line="235" w:lineRule="auto"/>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requiring the dedication of a substantial portion of our expected cash flow from operations to service our indebtedness;</w:t>
      </w:r>
    </w:p>
    <w:p>
      <w:pPr>
        <w:spacing w:after="0" w:line="139" w:lineRule="exact"/>
        <w:rPr>
          <w:rFonts w:ascii="Courier New" w:cs="Courier New" w:eastAsia="Courier New" w:hAnsi="Courier New"/>
          <w:sz w:val="12"/>
          <w:szCs w:val="12"/>
          <w:color w:val="auto"/>
        </w:rPr>
      </w:pPr>
    </w:p>
    <w:p>
      <w:pPr>
        <w:ind w:left="700" w:right="4699" w:hanging="357"/>
        <w:spacing w:after="0" w:line="235" w:lineRule="auto"/>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increasing our vulnerability to general adverse economic and industry conditions;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limiting our ability to obtain additional financing;</w:t>
      </w:r>
    </w:p>
    <w:p>
      <w:pPr>
        <w:spacing w:after="0" w:line="138"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limiting our flexibility in planning for, or reacting to, changes in our business and the industry in which we compete;</w:t>
      </w:r>
    </w:p>
    <w:p>
      <w:pPr>
        <w:spacing w:after="0" w:line="139" w:lineRule="exact"/>
        <w:rPr>
          <w:rFonts w:ascii="Courier New" w:cs="Courier New" w:eastAsia="Courier New" w:hAnsi="Courier New"/>
          <w:sz w:val="12"/>
          <w:szCs w:val="12"/>
          <w:color w:val="auto"/>
        </w:rPr>
      </w:pPr>
    </w:p>
    <w:p>
      <w:pPr>
        <w:ind w:left="700" w:right="4619" w:hanging="357"/>
        <w:spacing w:after="0" w:line="273" w:lineRule="auto"/>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placing us at a competitive disadvantage to less leveraged competitors and competitors that have better access to capital resources; and/or</w:t>
      </w:r>
    </w:p>
    <w:p>
      <w:pPr>
        <w:spacing w:after="0" w:line="121" w:lineRule="exact"/>
        <w:rPr>
          <w:rFonts w:ascii="Courier New" w:cs="Courier New" w:eastAsia="Courier New" w:hAnsi="Courier New"/>
          <w:sz w:val="11"/>
          <w:szCs w:val="11"/>
          <w:color w:val="auto"/>
        </w:rPr>
      </w:pPr>
    </w:p>
    <w:p>
      <w:pPr>
        <w:ind w:left="700" w:right="4899" w:hanging="357"/>
        <w:spacing w:after="0" w:line="235" w:lineRule="auto"/>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affecting our ability to make interest payments and other required debt service on our indebtedness.</w:t>
      </w:r>
    </w:p>
    <w:p>
      <w:pPr>
        <w:spacing w:after="0" w:line="139" w:lineRule="exact"/>
        <w:rPr>
          <w:rFonts w:ascii="Courier New" w:cs="Courier New" w:eastAsia="Courier New" w:hAnsi="Courier New"/>
          <w:sz w:val="12"/>
          <w:szCs w:val="12"/>
          <w:color w:val="auto"/>
        </w:rPr>
      </w:pPr>
    </w:p>
    <w:p>
      <w:pPr>
        <w:ind w:left="700" w:right="4979" w:hanging="357"/>
        <w:spacing w:after="0" w:line="235" w:lineRule="auto"/>
        <w:tabs>
          <w:tab w:leader="none" w:pos="700"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enforcement by the banks of their lien against our assets (in the event of default).</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MAY INCUR ADDITIONAL INDEBTEDNESS.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Although we are limited by the covenants in our amended credit facility agreement with our banks, we could enter into certain transactions that would increase the amount of our outstanding indebtedness. If new indebtedness is added to our current indebtedness levels, the related risks, including the negative consequences associated with our increased level of indebtedness, could intensify.</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- 9 -</w:t>
      </w:r>
    </w:p>
    <w:p>
      <w:pPr>
        <w:spacing w:after="0" w:line="391" w:lineRule="exact"/>
        <w:rPr>
          <w:sz w:val="20"/>
          <w:szCs w:val="20"/>
          <w:color w:val="auto"/>
        </w:rPr>
      </w:pPr>
    </w:p>
    <w:p>
      <w:pPr>
        <w:ind w:right="5039"/>
        <w:spacing w:after="0" w:line="235" w:lineRule="auto"/>
        <w:rPr>
          <w:sz w:val="20"/>
          <w:szCs w:val="20"/>
          <w:color w:val="auto"/>
        </w:rPr>
      </w:pPr>
      <w:r>
        <w:rPr>
          <w:rFonts w:ascii="Courier New" w:cs="Courier New" w:eastAsia="Courier New" w:hAnsi="Courier New"/>
          <w:sz w:val="12"/>
          <w:szCs w:val="12"/>
          <w:color w:val="auto"/>
        </w:rPr>
        <w:t>ISRAELI BANKING LAWS MAY IMPOSE RESTRICTIONS ON THE TOTAL DEBT THAT WE MAY BORROW FROM OUR BANKS.</w:t>
      </w:r>
    </w:p>
    <w:p>
      <w:pPr>
        <w:spacing w:after="0" w:line="139" w:lineRule="exact"/>
        <w:rPr>
          <w:sz w:val="20"/>
          <w:szCs w:val="20"/>
          <w:color w:val="auto"/>
        </w:rPr>
      </w:pPr>
    </w:p>
    <w:p>
      <w:pPr>
        <w:ind w:right="4699" w:firstLine="351"/>
        <w:spacing w:after="0" w:line="238" w:lineRule="auto"/>
        <w:rPr>
          <w:sz w:val="20"/>
          <w:szCs w:val="20"/>
          <w:color w:val="auto"/>
        </w:rPr>
      </w:pPr>
      <w:r>
        <w:rPr>
          <w:rFonts w:ascii="Courier New" w:cs="Courier New" w:eastAsia="Courier New" w:hAnsi="Courier New"/>
          <w:sz w:val="12"/>
          <w:szCs w:val="12"/>
          <w:color w:val="auto"/>
        </w:rPr>
        <w:t>Pursuant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our banks exceed these limitations, they may limit our ability to borrow other money in the future and may require us to return some or all of our outstanding borrowings (which, under our amended credit facility agreement and our September 2007 credit lines with our banks, were approximately $399 million in the aggregate as of May 31, 2008), which may have a material adverse effect on our business, financial condition and results of operations.</w:t>
      </w:r>
    </w:p>
    <w:p>
      <w:pPr>
        <w:spacing w:after="0" w:line="139" w:lineRule="exact"/>
        <w:rPr>
          <w:sz w:val="20"/>
          <w:szCs w:val="20"/>
          <w:color w:val="auto"/>
        </w:rPr>
      </w:pPr>
    </w:p>
    <w:p>
      <w:pPr>
        <w:jc w:val="both"/>
        <w:ind w:right="5039"/>
        <w:spacing w:after="0" w:line="236" w:lineRule="auto"/>
        <w:rPr>
          <w:sz w:val="20"/>
          <w:szCs w:val="20"/>
          <w:color w:val="auto"/>
        </w:rPr>
      </w:pPr>
      <w:r>
        <w:rPr>
          <w:rFonts w:ascii="Courier New" w:cs="Courier New" w:eastAsia="Courier New" w:hAnsi="Courier New"/>
          <w:sz w:val="12"/>
          <w:szCs w:val="12"/>
          <w:color w:val="auto"/>
        </w:rPr>
        <w:t>IF WE EXPERIENCE DIFFICULTY IN ACHIEVING ACCEPTABLE DEVICE YIELDS, PRODUCT PERFORMANCE AND DELIVERY TIMES AS A RESULT OF MANUFACTURING PROBLEMS, OUR BUSINESS WILL BE ADVERSELY AFFECTED.</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139"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IF WE ARE UNABLE TO PURCHASE EQUIPMENT AND RAW MATERIALS, WE MAY NOT BE ABLE TO MANUFACTURE OUR PRODUCTS IN A TIMELY FASHION, WHICH MAY RESULT IN A LOSS OF EXISTING AND POTENTIAL NEW CUSTOMERS.</w:t>
      </w:r>
    </w:p>
    <w:p>
      <w:pPr>
        <w:spacing w:after="0" w:line="139" w:lineRule="exact"/>
        <w:rPr>
          <w:sz w:val="20"/>
          <w:szCs w:val="20"/>
          <w:color w:val="auto"/>
        </w:rPr>
      </w:pPr>
    </w:p>
    <w:p>
      <w:pPr>
        <w:ind w:right="4699" w:firstLine="351"/>
        <w:spacing w:after="0" w:line="238" w:lineRule="auto"/>
        <w:rPr>
          <w:sz w:val="20"/>
          <w:szCs w:val="20"/>
          <w:color w:val="auto"/>
        </w:rPr>
      </w:pPr>
      <w:r>
        <w:rPr>
          <w:rFonts w:ascii="Courier New" w:cs="Courier New" w:eastAsia="Courier New" w:hAnsi="Courier New"/>
          <w:sz w:val="12"/>
          <w:szCs w:val="12"/>
          <w:color w:val="auto"/>
        </w:rPr>
        <w:t>To complete the ramp-up of our Fab 2 facility and to maintain the quality of production in our facilities, we must procure additional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39" w:lineRule="exact"/>
        <w:rPr>
          <w:sz w:val="20"/>
          <w:szCs w:val="20"/>
          <w:color w:val="auto"/>
        </w:rPr>
      </w:pPr>
    </w:p>
    <w:p>
      <w:pPr>
        <w:ind w:right="4759"/>
        <w:spacing w:after="0" w:line="235" w:lineRule="auto"/>
        <w:rPr>
          <w:sz w:val="20"/>
          <w:szCs w:val="20"/>
          <w:color w:val="auto"/>
        </w:rPr>
      </w:pPr>
      <w:r>
        <w:rPr>
          <w:rFonts w:ascii="Courier New" w:cs="Courier New" w:eastAsia="Courier New" w:hAnsi="Courier New"/>
          <w:sz w:val="12"/>
          <w:szCs w:val="12"/>
          <w:color w:val="auto"/>
        </w:rPr>
        <w:t>OUR EXPOSURE TO INFLATION AND CURRENCY EXCHANGE AND INTEREST RATE FLUCTUATIONS MAY INCREASE OUR COST OF OPERATIONS.</w:t>
      </w:r>
    </w:p>
    <w:p>
      <w:pPr>
        <w:sectPr>
          <w:pgSz w:w="11900" w:h="16838" w:orient="portrait"/>
          <w:cols w:equalWidth="0" w:num="1">
            <w:col w:w="10239"/>
          </w:cols>
          <w:pgMar w:left="220" w:top="137" w:right="1440" w:bottom="0" w:gutter="0" w:footer="0" w:header="0"/>
        </w:sectPr>
      </w:pPr>
    </w:p>
    <w:bookmarkStart w:id="7" w:name="page8"/>
    <w:bookmarkEnd w:id="7"/>
    <w:p>
      <w:pPr>
        <w:ind w:right="4619" w:firstLine="351"/>
        <w:spacing w:after="0" w:line="237" w:lineRule="auto"/>
        <w:rPr>
          <w:sz w:val="20"/>
          <w:szCs w:val="20"/>
          <w:color w:val="auto"/>
        </w:rPr>
      </w:pPr>
      <w:r>
        <w:rPr>
          <w:rFonts w:ascii="Courier New" w:cs="Courier New" w:eastAsia="Courier New" w:hAnsi="Courier New"/>
          <w:sz w:val="12"/>
          <w:szCs w:val="12"/>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- 10 -</w:t>
      </w:r>
    </w:p>
    <w:p>
      <w:pPr>
        <w:spacing w:after="0" w:line="391"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Outstanding principal and interest on some of our debentures is linked to the Israeli consumer price index (CPI) and therefore, our dollar costs will increase if inflation in Israel exceeds the devaluation of the NIS against the US dollar, or if the timing of such devaluation lags behind inflation in Israel. The recent devaluation of the US dollar in relation to the NIS increased our dollar expenses related to our NIS denominated debentures and our NIS denominated expenses.</w:t>
      </w:r>
    </w:p>
    <w:p>
      <w:pPr>
        <w:spacing w:after="0" w:line="144"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borrowings under our Fab 2 credit facilities [and our and our September 2007 credit lines]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facilities as provided for in the credit facility agreement.</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and inflation, which may increase the cost of our operating and financing activities.</w:t>
      </w:r>
    </w:p>
    <w:p>
      <w:pPr>
        <w:spacing w:after="0" w:line="139" w:lineRule="exact"/>
        <w:rPr>
          <w:sz w:val="20"/>
          <w:szCs w:val="20"/>
          <w:color w:val="auto"/>
        </w:rPr>
      </w:pPr>
    </w:p>
    <w:p>
      <w:pPr>
        <w:ind w:right="5119"/>
        <w:spacing w:after="0" w:line="235" w:lineRule="auto"/>
        <w:rPr>
          <w:sz w:val="20"/>
          <w:szCs w:val="20"/>
          <w:color w:val="auto"/>
        </w:rPr>
      </w:pPr>
      <w:r>
        <w:rPr>
          <w:rFonts w:ascii="Courier New" w:cs="Courier New" w:eastAsia="Courier New" w:hAnsi="Courier New"/>
          <w:sz w:val="12"/>
          <w:szCs w:val="12"/>
          <w:color w:val="auto"/>
        </w:rPr>
        <w:t>WE DEPEND ON INTELLECTUAL PROPERTY RIGHTS OF THIRD PARTIES AND FAILURE TO MAINTAIN OR ACQUIRE LICENSES COULD HARM OUR BUSINESS.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depend on third party intellectual property in order for us to provide certain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right vendors goes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45" w:lineRule="exact"/>
        <w:rPr>
          <w:sz w:val="20"/>
          <w:szCs w:val="20"/>
          <w:color w:val="auto"/>
        </w:rPr>
      </w:pPr>
    </w:p>
    <w:p>
      <w:pPr>
        <w:ind w:right="4759"/>
        <w:spacing w:after="0" w:line="235" w:lineRule="auto"/>
        <w:rPr>
          <w:sz w:val="20"/>
          <w:szCs w:val="20"/>
          <w:color w:val="auto"/>
        </w:rPr>
      </w:pPr>
      <w:r>
        <w:rPr>
          <w:rFonts w:ascii="Courier New" w:cs="Courier New" w:eastAsia="Courier New" w:hAnsi="Courier New"/>
          <w:sz w:val="12"/>
          <w:szCs w:val="12"/>
          <w:color w:val="auto"/>
        </w:rPr>
        <w:t>FAILURE TO COMPLY WITH THE INTELLECTUAL PROPERTY RIGHTS OF THIRD PARTIES OR TO DEFEND OUR INTELLECTUAL PROPERTY RIGHTS COULD HARM OUR BUSINESS.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- 11 -</w:t>
      </w:r>
    </w:p>
    <w:p>
      <w:pPr>
        <w:spacing w:after="0" w:line="391"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6" w:lineRule="exact"/>
        <w:rPr>
          <w:sz w:val="20"/>
          <w:szCs w:val="20"/>
          <w:color w:val="auto"/>
        </w:rPr>
      </w:pPr>
    </w:p>
    <w:p>
      <w:pPr>
        <w:ind w:left="700" w:hanging="357"/>
        <w:spacing w:after="0"/>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negotiating cross-license agreements;</w:t>
      </w:r>
    </w:p>
    <w:p>
      <w:pPr>
        <w:spacing w:after="0" w:line="138" w:lineRule="exact"/>
        <w:rPr>
          <w:rFonts w:ascii="Courier New" w:cs="Courier New" w:eastAsia="Courier New" w:hAnsi="Courier New"/>
          <w:sz w:val="12"/>
          <w:szCs w:val="12"/>
          <w:color w:val="auto"/>
        </w:rPr>
      </w:pPr>
    </w:p>
    <w:p>
      <w:pPr>
        <w:ind w:left="700" w:right="4699" w:hanging="357"/>
        <w:spacing w:after="0" w:line="273" w:lineRule="auto"/>
        <w:tabs>
          <w:tab w:leader="none" w:pos="700" w:val="left"/>
        </w:tabs>
        <w:numPr>
          <w:ilvl w:val="0"/>
          <w:numId w:val="6"/>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seeking to acquire licenses to the allegedly infringed patents, which may not be available on commercially reasonable terms, if at all;</w:t>
      </w:r>
    </w:p>
    <w:p>
      <w:pPr>
        <w:spacing w:after="0" w:line="121" w:lineRule="exact"/>
        <w:rPr>
          <w:rFonts w:ascii="Courier New" w:cs="Courier New" w:eastAsia="Courier New" w:hAnsi="Courier New"/>
          <w:sz w:val="11"/>
          <w:szCs w:val="11"/>
          <w:color w:val="auto"/>
        </w:rPr>
      </w:pPr>
    </w:p>
    <w:p>
      <w:pPr>
        <w:ind w:left="700" w:right="4619" w:hanging="357"/>
        <w:spacing w:after="0" w:line="236"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discontinuing use of certain process technologies, architectures, or designs, which could cause us to stop manufacturing certain integrated circuits if we were unable to design around the allegedly infringed patents;</w:t>
      </w:r>
    </w:p>
    <w:p>
      <w:pPr>
        <w:spacing w:after="0" w:line="140"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fighting the matter in court and paying substantial monetary damages in the event we lose; or</w:t>
      </w:r>
    </w:p>
    <w:p>
      <w:pPr>
        <w:spacing w:after="0" w:line="139" w:lineRule="exact"/>
        <w:rPr>
          <w:rFonts w:ascii="Courier New" w:cs="Courier New" w:eastAsia="Courier New" w:hAnsi="Courier New"/>
          <w:sz w:val="12"/>
          <w:szCs w:val="12"/>
          <w:color w:val="auto"/>
        </w:rPr>
      </w:pPr>
    </w:p>
    <w:p>
      <w:pPr>
        <w:ind w:left="700" w:right="5039" w:hanging="357"/>
        <w:spacing w:after="0" w:line="235" w:lineRule="auto"/>
        <w:tabs>
          <w:tab w:leader="none" w:pos="700" w:val="left"/>
        </w:tabs>
        <w:numPr>
          <w:ilvl w:val="0"/>
          <w:numId w:val="6"/>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seeking to develop non-infringing technologies, which may not be feasible.</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3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As of May 31, 2008, we held 67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COULD BE SERIOUSLY HARMED BY FAILURE TO COMPLY WITH ENVIRONMENTAL</w:t>
      </w:r>
    </w:p>
    <w:p>
      <w:pPr>
        <w:spacing w:after="0"/>
        <w:rPr>
          <w:sz w:val="20"/>
          <w:szCs w:val="20"/>
          <w:color w:val="auto"/>
        </w:rPr>
      </w:pPr>
      <w:r>
        <w:rPr>
          <w:rFonts w:ascii="Courier New" w:cs="Courier New" w:eastAsia="Courier New" w:hAnsi="Courier New"/>
          <w:sz w:val="12"/>
          <w:szCs w:val="12"/>
          <w:color w:val="auto"/>
        </w:rPr>
        <w:t>REGULATIONS.</w:t>
      </w:r>
    </w:p>
    <w:p>
      <w:pPr>
        <w:sectPr>
          <w:pgSz w:w="11900" w:h="16838" w:orient="portrait"/>
          <w:cols w:equalWidth="0" w:num="1">
            <w:col w:w="10239"/>
          </w:cols>
          <w:pgMar w:left="220" w:top="141" w:right="1440" w:bottom="0" w:gutter="0" w:footer="0" w:header="0"/>
        </w:sectPr>
      </w:pPr>
    </w:p>
    <w:bookmarkStart w:id="8" w:name="page9"/>
    <w:bookmarkEnd w:id="8"/>
    <w:p>
      <w:pPr>
        <w:ind w:right="4759" w:firstLine="351"/>
        <w:spacing w:after="0" w:line="237" w:lineRule="auto"/>
        <w:rPr>
          <w:sz w:val="20"/>
          <w:szCs w:val="20"/>
          <w:color w:val="auto"/>
        </w:rPr>
      </w:pPr>
      <w:r>
        <w:rPr>
          <w:rFonts w:ascii="Courier New" w:cs="Courier New" w:eastAsia="Courier New" w:hAnsi="Courier New"/>
          <w:sz w:val="12"/>
          <w:szCs w:val="12"/>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41" w:lineRule="exact"/>
        <w:rPr>
          <w:sz w:val="20"/>
          <w:szCs w:val="20"/>
          <w:color w:val="auto"/>
        </w:rPr>
      </w:pPr>
    </w:p>
    <w:p>
      <w:pPr>
        <w:ind w:right="4759"/>
        <w:spacing w:after="0" w:line="235" w:lineRule="auto"/>
        <w:rPr>
          <w:sz w:val="20"/>
          <w:szCs w:val="20"/>
          <w:color w:val="auto"/>
        </w:rPr>
      </w:pPr>
      <w:r>
        <w:rPr>
          <w:rFonts w:ascii="Courier New" w:cs="Courier New" w:eastAsia="Courier New" w:hAnsi="Courier New"/>
          <w:sz w:val="12"/>
          <w:szCs w:val="12"/>
          <w:color w:val="auto"/>
        </w:rPr>
        <w:t>WE ARE SUBJECT TO THE RISK OF LOSS DUE TO FIRE BECAUSE THE MATERIALS WE USE IN OUR MANUFACTURING PROCESSES ARE HIGHLY FLAMMABLE.</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- 12 -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POSSIBLE PRODUCT RETURNS COULD HARM OUR BUSINESS.</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Products manufactured by us may be returned within specified periods if they are defective or otherwise fail to meet customers' prior agreed upon specifications. Product returns in excess of established provisions, if any, may have an adverse effect on our business and financial condition.</w:t>
      </w:r>
    </w:p>
    <w:p>
      <w:pPr>
        <w:spacing w:after="0" w:line="141" w:lineRule="exact"/>
        <w:rPr>
          <w:sz w:val="20"/>
          <w:szCs w:val="20"/>
          <w:color w:val="auto"/>
        </w:rPr>
      </w:pPr>
    </w:p>
    <w:p>
      <w:pPr>
        <w:ind w:right="4699"/>
        <w:spacing w:after="0" w:line="235" w:lineRule="auto"/>
        <w:rPr>
          <w:sz w:val="20"/>
          <w:szCs w:val="20"/>
          <w:color w:val="auto"/>
        </w:rPr>
      </w:pPr>
      <w:r>
        <w:rPr>
          <w:rFonts w:ascii="Courier New" w:cs="Courier New" w:eastAsia="Courier New" w:hAnsi="Courier New"/>
          <w:sz w:val="12"/>
          <w:szCs w:val="12"/>
          <w:color w:val="auto"/>
        </w:rPr>
        <w:t>WE MAY BE REQUIRED TO REPAY GRANTS TO THE INVESTMENT CENTER THAT WE RECEIVED IN CONNECTION WITH FAB 1.</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with the Investment Center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ARE SUBJECT TO RISKS RELATED TO OUR INTERNATIONAL OPERATIONS.</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We have made substantial sales to customers located in Asia-Pacific and in Europe. Because of our international operations, we are vulnerable to the following risks:</w:t>
      </w:r>
    </w:p>
    <w:p>
      <w:pPr>
        <w:spacing w:after="0" w:line="139" w:lineRule="exact"/>
        <w:rPr>
          <w:sz w:val="20"/>
          <w:szCs w:val="20"/>
          <w:color w:val="auto"/>
        </w:rPr>
      </w:pPr>
    </w:p>
    <w:p>
      <w:pPr>
        <w:ind w:left="700" w:right="4619" w:hanging="357"/>
        <w:spacing w:after="0" w:line="236"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price our products primarily in US dollars; if the Euro, Yen or other currencies weaken relative to the US dollar, our products may be relatively more expensive in these regions, which could result in a decrease in our revenue;</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need to comply with foreign government regulation;</w:t>
      </w:r>
    </w:p>
    <w:p>
      <w:pPr>
        <w:spacing w:after="0" w:line="138" w:lineRule="exact"/>
        <w:rPr>
          <w:rFonts w:ascii="Courier New" w:cs="Courier New" w:eastAsia="Courier New" w:hAnsi="Courier New"/>
          <w:sz w:val="12"/>
          <w:szCs w:val="12"/>
          <w:color w:val="auto"/>
        </w:rPr>
      </w:pPr>
    </w:p>
    <w:p>
      <w:pPr>
        <w:ind w:left="700" w:right="4619" w:hanging="357"/>
        <w:spacing w:after="0" w:line="236"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 geopolitical risks such as political and economic instability, potential hostilities and changes in diplomatic and trade relationships;</w:t>
      </w:r>
    </w:p>
    <w:p>
      <w:pPr>
        <w:spacing w:after="0" w:line="139" w:lineRule="exact"/>
        <w:rPr>
          <w:rFonts w:ascii="Courier New" w:cs="Courier New" w:eastAsia="Courier New" w:hAnsi="Courier New"/>
          <w:sz w:val="12"/>
          <w:szCs w:val="12"/>
          <w:color w:val="auto"/>
        </w:rPr>
      </w:pPr>
    </w:p>
    <w:p>
      <w:pPr>
        <w:ind w:left="700" w:right="4979" w:hanging="357"/>
        <w:spacing w:after="0" w:line="235"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natural disasters affecting the countries in which we conduct our business;</w:t>
      </w:r>
    </w:p>
    <w:p>
      <w:pPr>
        <w:spacing w:after="0" w:line="139" w:lineRule="exact"/>
        <w:rPr>
          <w:rFonts w:ascii="Courier New" w:cs="Courier New" w:eastAsia="Courier New" w:hAnsi="Courier New"/>
          <w:sz w:val="12"/>
          <w:szCs w:val="12"/>
          <w:color w:val="auto"/>
        </w:rPr>
      </w:pPr>
    </w:p>
    <w:p>
      <w:pPr>
        <w:ind w:left="700" w:right="4899" w:hanging="357"/>
        <w:spacing w:after="0" w:line="235"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reduced sales to our customers in Asia Pacific that may arise from regional issues in Asia;</w:t>
      </w:r>
    </w:p>
    <w:p>
      <w:pPr>
        <w:spacing w:after="0" w:line="139" w:lineRule="exact"/>
        <w:rPr>
          <w:rFonts w:ascii="Courier New" w:cs="Courier New" w:eastAsia="Courier New" w:hAnsi="Courier New"/>
          <w:sz w:val="12"/>
          <w:szCs w:val="12"/>
          <w:color w:val="auto"/>
        </w:rPr>
      </w:pPr>
    </w:p>
    <w:p>
      <w:pPr>
        <w:ind w:left="700" w:right="4979" w:hanging="357"/>
        <w:spacing w:after="0" w:line="235" w:lineRule="auto"/>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imposition of regulatory requirements, tariffs, import and export restrictions and other barriers and restrictions;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adverse tax rules and regulations;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weak protection of our intellectual property rights; and</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delays in product shipments due to local customs restrictions.</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7"/>
        </w:numPr>
        <w:rPr>
          <w:rFonts w:ascii="Courier New" w:cs="Courier New" w:eastAsia="Courier New" w:hAnsi="Courier New"/>
          <w:sz w:val="12"/>
          <w:szCs w:val="12"/>
          <w:color w:val="auto"/>
        </w:rPr>
      </w:pPr>
      <w:r>
        <w:rPr>
          <w:rFonts w:ascii="Courier New" w:cs="Courier New" w:eastAsia="Courier New" w:hAnsi="Courier New"/>
          <w:sz w:val="12"/>
          <w:szCs w:val="12"/>
          <w:color w:val="auto"/>
        </w:rPr>
        <w:t>13 -</w:t>
      </w:r>
    </w:p>
    <w:p>
      <w:pPr>
        <w:spacing w:after="0" w:line="391" w:lineRule="exact"/>
        <w:rPr>
          <w:sz w:val="20"/>
          <w:szCs w:val="20"/>
          <w:color w:val="auto"/>
        </w:rPr>
      </w:pPr>
    </w:p>
    <w:p>
      <w:pPr>
        <w:ind w:right="5039"/>
        <w:spacing w:after="0" w:line="235" w:lineRule="auto"/>
        <w:rPr>
          <w:sz w:val="20"/>
          <w:szCs w:val="20"/>
          <w:color w:val="auto"/>
        </w:rPr>
      </w:pPr>
      <w:r>
        <w:rPr>
          <w:rFonts w:ascii="Courier New" w:cs="Courier New" w:eastAsia="Courier New" w:hAnsi="Courier New"/>
          <w:sz w:val="12"/>
          <w:szCs w:val="12"/>
          <w:color w:val="auto"/>
        </w:rPr>
        <w:t>OUR BUSINESS COULD SUFFER IF WE ARE UNABLE TO RETAIN AND RECRUIT QUALIFIED PERSONNEL.</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Our ability to retain existing personnel and attract new personnel is in part dependent on the compensation packages we offer. As demand for qualified personnel increases, we may be forced to increase the compensation levels and to adjust the cash, equity and other components of compensation we offer our personnel.</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WE MAY NOT BE ABLE TO CONSUMMATE AND INTEGRATE THE JAZZ TECHNOLOGIES, INC.</w:t>
      </w:r>
    </w:p>
    <w:p>
      <w:pPr>
        <w:spacing w:after="0"/>
        <w:rPr>
          <w:sz w:val="20"/>
          <w:szCs w:val="20"/>
          <w:color w:val="auto"/>
        </w:rPr>
      </w:pPr>
      <w:r>
        <w:rPr>
          <w:rFonts w:ascii="Courier New" w:cs="Courier New" w:eastAsia="Courier New" w:hAnsi="Courier New"/>
          <w:sz w:val="12"/>
          <w:szCs w:val="12"/>
          <w:color w:val="auto"/>
        </w:rPr>
        <w:t>ACQUISITION.</w:t>
      </w:r>
    </w:p>
    <w:p>
      <w:pPr>
        <w:spacing w:after="0" w:line="138"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We have entered into an agreement and plan of merger and reorganization to acquire Jazz Technologies, Inc. The merger is subject to a number of conditions, which are beyond our control and that may prevent, delay or otherwise materially adversely affect its completion. We cannot predict whether and when these conditions will be satisfied and we may fail to obtain the necessary approvals to consummate the acquisition. Further, the requirements for obtaining the required clearances and approvals could delay the completion of the merger for a significant period of time or prevent it from occurring. Any delay in completing the merger may significantly reduce the synergies and other benefits that Tower and Jazz expect to achieve if they successfully complete the merger within the expected time frame and integrate their respective businesses. In addition, the acquisition involves other known and unknown risks that could adversely affect our future revenues and operating results. For example:</w:t>
      </w:r>
    </w:p>
    <w:p>
      <w:pPr>
        <w:spacing w:after="0" w:line="130" w:lineRule="exact"/>
        <w:rPr>
          <w:sz w:val="20"/>
          <w:szCs w:val="20"/>
          <w:color w:val="auto"/>
        </w:rPr>
      </w:pPr>
    </w:p>
    <w:p>
      <w:pPr>
        <w:ind w:left="700" w:right="4979" w:hanging="357"/>
        <w:spacing w:after="0" w:line="266" w:lineRule="auto"/>
        <w:tabs>
          <w:tab w:leader="none" w:pos="700" w:val="left"/>
        </w:tabs>
        <w:numPr>
          <w:ilvl w:val="0"/>
          <w:numId w:val="8"/>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acquisition may divert management's attention away from our primary product offerings, resulting in the loss of key customers and/or personnel and exposing us to unanticipated liabilities.</w:t>
      </w:r>
    </w:p>
    <w:p>
      <w:pPr>
        <w:sectPr>
          <w:pgSz w:w="11900" w:h="16838" w:orient="portrait"/>
          <w:cols w:equalWidth="0" w:num="1">
            <w:col w:w="10239"/>
          </w:cols>
          <w:pgMar w:left="220" w:top="141" w:right="1440" w:bottom="0" w:gutter="0" w:footer="0" w:header="0"/>
        </w:sectPr>
      </w:pPr>
    </w:p>
    <w:bookmarkStart w:id="9" w:name="page10"/>
    <w:bookmarkEnd w:id="9"/>
    <w:p>
      <w:pPr>
        <w:ind w:left="708" w:right="4839" w:hanging="357"/>
        <w:spacing w:after="0" w:line="235" w:lineRule="auto"/>
        <w:tabs>
          <w:tab w:leader="none" w:pos="70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may fail to successfully integrate the acquisition in accordance with our business strategy.</w:t>
      </w:r>
    </w:p>
    <w:p>
      <w:pPr>
        <w:spacing w:after="0" w:line="139" w:lineRule="exact"/>
        <w:rPr>
          <w:rFonts w:ascii="Courier New" w:cs="Courier New" w:eastAsia="Courier New" w:hAnsi="Courier New"/>
          <w:sz w:val="12"/>
          <w:szCs w:val="12"/>
          <w:color w:val="auto"/>
        </w:rPr>
      </w:pPr>
    </w:p>
    <w:p>
      <w:pPr>
        <w:ind w:left="708" w:right="4619" w:hanging="357"/>
        <w:spacing w:after="0" w:line="237" w:lineRule="auto"/>
        <w:tabs>
          <w:tab w:leader="none" w:pos="708" w:val="left"/>
        </w:tabs>
        <w:numPr>
          <w:ilvl w:val="0"/>
          <w:numId w:val="9"/>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may not be able to retain the skilled employees and experienced management that may be necessary to o operate the businesses we are acquiring and, if we cannot retain such personnel, we may not be able to attract new skilled employees and experienced management to replace them.</w:t>
      </w:r>
    </w:p>
    <w:p>
      <w:pPr>
        <w:spacing w:after="0" w:line="139" w:lineRule="exact"/>
        <w:rPr>
          <w:rFonts w:ascii="Courier New" w:cs="Courier New" w:eastAsia="Courier New" w:hAnsi="Courier New"/>
          <w:sz w:val="12"/>
          <w:szCs w:val="12"/>
          <w:color w:val="auto"/>
        </w:rPr>
      </w:pPr>
    </w:p>
    <w:p>
      <w:pPr>
        <w:ind w:left="708" w:right="4619" w:hanging="357"/>
        <w:spacing w:after="0" w:line="261" w:lineRule="auto"/>
        <w:tabs>
          <w:tab w:leader="none" w:pos="708" w:val="left"/>
        </w:tabs>
        <w:numPr>
          <w:ilvl w:val="0"/>
          <w:numId w:val="9"/>
        </w:numPr>
        <w:rPr>
          <w:rFonts w:ascii="Courier New" w:cs="Courier New" w:eastAsia="Courier New" w:hAnsi="Courier New"/>
          <w:sz w:val="11"/>
          <w:szCs w:val="11"/>
          <w:color w:val="auto"/>
        </w:rPr>
      </w:pPr>
      <w:r>
        <w:rPr>
          <w:rFonts w:ascii="Courier New" w:cs="Courier New" w:eastAsia="Courier New" w:hAnsi="Courier New"/>
          <w:sz w:val="11"/>
          <w:szCs w:val="11"/>
          <w:color w:val="auto"/>
        </w:rPr>
        <w:t>Jazz Technologies, Inc. may have undisclosed contingent liabilities, including, among others, known or unknown intellectual property infringement, environmental liabilities or product liability claims. Before the merger with Jazz technologies, Inc. we, our independent auditors and our legal counsel conducted due o diligence on Jazz Technologies, Inc. customary and appropriate for a merger transaction. However, the due diligence process may not have revealed all material liabilities of Jazz technologies, Inc. currently existing or which may be asserted in the future against us relating to Jazz technologies, Inc. activities before the consummation of the merger.</w:t>
      </w:r>
    </w:p>
    <w:p>
      <w:pPr>
        <w:spacing w:after="0" w:line="127"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RISKS RELATED TO OUR SECURITIES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OUR STOCK PRICE MAY BE VOLATILE IN THE FUTURE.</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272"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- 14 -</w:t>
      </w:r>
    </w:p>
    <w:p>
      <w:pPr>
        <w:spacing w:after="0" w:line="391" w:lineRule="exact"/>
        <w:rPr>
          <w:sz w:val="20"/>
          <w:szCs w:val="20"/>
          <w:color w:val="auto"/>
        </w:rPr>
      </w:pPr>
    </w:p>
    <w:p>
      <w:pPr>
        <w:ind w:left="8" w:right="4759" w:firstLine="351"/>
        <w:spacing w:after="0" w:line="266" w:lineRule="auto"/>
        <w:rPr>
          <w:sz w:val="20"/>
          <w:szCs w:val="20"/>
          <w:color w:val="auto"/>
        </w:rPr>
      </w:pPr>
      <w:r>
        <w:rPr>
          <w:rFonts w:ascii="Courier New" w:cs="Courier New" w:eastAsia="Courier New" w:hAnsi="Courier New"/>
          <w:sz w:val="11"/>
          <w:szCs w:val="11"/>
          <w:color w:val="auto"/>
        </w:rPr>
        <w:t>In addition, it is possible that in some future periods our operating results may be below the expectations of public market analysts and investors. In this event, the price of our securities may under perform or fall.</w:t>
      </w:r>
    </w:p>
    <w:p>
      <w:pPr>
        <w:spacing w:after="0" w:line="126"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ISSUANCE OF ADDITIONAL SHARES PURSUANT TO OUR FAB 2 FINANCING PLANS AND ARRANGEMENTS AND THE TERMS OF OUTSTANDING SECURITIES WHICH ARE EXERCISABLE OR CONVERTIBLE INTO SHARES MAY DILUTE THE INTEREST OF OUR SHAREHOLDERS. WE MAY ALSO ISSUE IN THE FUTURE ADDITIONAL SHARES AND/OR SECURITIES WHICH ARE EXERCISABLE OR CONVERTIBLE INTO SHARES.</w:t>
      </w:r>
    </w:p>
    <w:p>
      <w:pPr>
        <w:spacing w:after="0" w:line="139"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As of May 31, 2008, we had approximately 125.4 million ordinary shares outstanding and have outstanding securities convertible or exercisable into up to approximately 245.6 million ordinary shares including: (i) up to 25.3 million ordinary shares issuable upon the conversion of our 2005 outstanding convertible debentures held by some of our major shareholders and others at a conversion rate of $1.10; (ii) 8.3 million warrants issued to our banks with an exercise price of $1.21; (iii) up to 24.2 million ordinary shares issuable upon the conversion of our 2006 outstanding convertible debentures at a conversion rate of approximately $2.5; (iv) 17.5 million warrants with an exercise price of $2.04; (v) 5.2 million warrants with an exercise price of approximately $2.8;</w:t>
      </w:r>
    </w:p>
    <w:p>
      <w:pPr>
        <w:spacing w:after="0" w:line="1" w:lineRule="exact"/>
        <w:rPr>
          <w:sz w:val="20"/>
          <w:szCs w:val="20"/>
          <w:color w:val="auto"/>
        </w:rPr>
      </w:pPr>
    </w:p>
    <w:p>
      <w:pPr>
        <w:ind w:left="8" w:right="4619" w:hanging="8"/>
        <w:spacing w:after="0" w:line="237" w:lineRule="auto"/>
        <w:tabs>
          <w:tab w:leader="none" w:pos="359" w:val="left"/>
        </w:tabs>
        <w:numPr>
          <w:ilvl w:val="0"/>
          <w:numId w:val="10"/>
        </w:numPr>
        <w:rPr>
          <w:rFonts w:ascii="Courier New" w:cs="Courier New" w:eastAsia="Courier New" w:hAnsi="Courier New"/>
          <w:sz w:val="12"/>
          <w:szCs w:val="12"/>
          <w:color w:val="auto"/>
        </w:rPr>
      </w:pPr>
      <w:r>
        <w:rPr>
          <w:rFonts w:ascii="Courier New" w:cs="Courier New" w:eastAsia="Courier New" w:hAnsi="Courier New"/>
          <w:sz w:val="12"/>
          <w:szCs w:val="12"/>
          <w:color w:val="auto"/>
        </w:rPr>
        <w:t>32.7 million employee and director options with a weighted average exercise price of $1.72; (vii) 5.5 million warrants with an exercise price of approximately $2.2; and (viii) 7.4 million ordinary shares issuable upon the conversion of our 2007 convertible debentures, at a conversion rate of approximately $5.2. Additionally, in September 2006, we issued equity equivalent capital notes to our banks and to Israel Corp., which are convertible for no additional consideration, into approximately 52 million and 65.8 million of our ordinary shares, respectively.</w:t>
      </w:r>
    </w:p>
    <w:p>
      <w:pPr>
        <w:spacing w:after="0" w:line="142" w:lineRule="exact"/>
        <w:rPr>
          <w:sz w:val="20"/>
          <w:szCs w:val="20"/>
          <w:color w:val="auto"/>
        </w:rPr>
      </w:pPr>
    </w:p>
    <w:p>
      <w:pPr>
        <w:ind w:left="8" w:right="4699" w:firstLine="351"/>
        <w:spacing w:after="0" w:line="263" w:lineRule="auto"/>
        <w:rPr>
          <w:sz w:val="20"/>
          <w:szCs w:val="20"/>
          <w:color w:val="auto"/>
        </w:rPr>
      </w:pPr>
      <w:r>
        <w:rPr>
          <w:rFonts w:ascii="Courier New" w:cs="Courier New" w:eastAsia="Courier New" w:hAnsi="Courier New"/>
          <w:sz w:val="11"/>
          <w:szCs w:val="11"/>
          <w:color w:val="auto"/>
        </w:rPr>
        <w:t>In May 2008 we entered into a definitive agreement with Jazz Technologies, Inc. to acquire its shares in a stock-for-stock transaction in which we expect to issue approximately 34.3 million shares and reserve for future issuance upon the exercise or conversion of outstanding Jazz options, warrants and senior convertibles notes, an additional approximately 96.5 million shares.</w:t>
      </w:r>
    </w:p>
    <w:p>
      <w:pPr>
        <w:spacing w:after="0" w:line="128" w:lineRule="exact"/>
        <w:rPr>
          <w:sz w:val="20"/>
          <w:szCs w:val="20"/>
          <w:color w:val="auto"/>
        </w:rPr>
      </w:pPr>
    </w:p>
    <w:p>
      <w:pPr>
        <w:ind w:left="8" w:right="4759" w:firstLine="351"/>
        <w:spacing w:after="0" w:line="236" w:lineRule="auto"/>
        <w:rPr>
          <w:sz w:val="20"/>
          <w:szCs w:val="20"/>
          <w:color w:val="auto"/>
        </w:rPr>
      </w:pPr>
      <w:r>
        <w:rPr>
          <w:rFonts w:ascii="Courier New" w:cs="Courier New" w:eastAsia="Courier New" w:hAnsi="Courier New"/>
          <w:sz w:val="12"/>
          <w:szCs w:val="12"/>
          <w:color w:val="auto"/>
        </w:rPr>
        <w:t>In January 2008, we filed a shelf registration statement on Form F-3 with the U.S. Securities and Exchange Commission, which was declared effective in February 2008, registering the possible offer and sale from time to time of up to $40 million of securities.</w:t>
      </w:r>
    </w:p>
    <w:p>
      <w:pPr>
        <w:spacing w:after="0" w:line="141" w:lineRule="exact"/>
        <w:rPr>
          <w:sz w:val="20"/>
          <w:szCs w:val="20"/>
          <w:color w:val="auto"/>
        </w:rPr>
      </w:pPr>
    </w:p>
    <w:p>
      <w:pPr>
        <w:ind w:left="8" w:right="4759" w:firstLine="351"/>
        <w:spacing w:after="0" w:line="262" w:lineRule="auto"/>
        <w:rPr>
          <w:sz w:val="20"/>
          <w:szCs w:val="20"/>
          <w:color w:val="auto"/>
        </w:rPr>
      </w:pPr>
      <w:r>
        <w:rPr>
          <w:rFonts w:ascii="Courier New" w:cs="Courier New" w:eastAsia="Courier New" w:hAnsi="Courier New"/>
          <w:sz w:val="11"/>
          <w:szCs w:val="11"/>
          <w:color w:val="auto"/>
        </w:rPr>
        <w:t>Following the reduction of the interest rate applicable to the quarterly actual interest payments on our outstanding loans to our banks following the closing of the September 2006 amendment to our facility agreement, we have agreed to issue shares or convertible securities to our banks in January 2011, calculated based on the amount of decreased interest payments as set forth in the amendment and our share price in the forth quarter of 2010.</w:t>
      </w:r>
    </w:p>
    <w:p>
      <w:pPr>
        <w:spacing w:after="0" w:line="130" w:lineRule="exact"/>
        <w:rPr>
          <w:sz w:val="20"/>
          <w:szCs w:val="20"/>
          <w:color w:val="auto"/>
        </w:rPr>
      </w:pPr>
    </w:p>
    <w:p>
      <w:pPr>
        <w:ind w:left="8" w:right="4759" w:firstLine="351"/>
        <w:spacing w:after="0" w:line="236" w:lineRule="auto"/>
        <w:rPr>
          <w:sz w:val="20"/>
          <w:szCs w:val="20"/>
          <w:color w:val="auto"/>
        </w:rPr>
      </w:pPr>
      <w:r>
        <w:rPr>
          <w:rFonts w:ascii="Courier New" w:cs="Courier New" w:eastAsia="Courier New" w:hAnsi="Courier New"/>
          <w:sz w:val="12"/>
          <w:szCs w:val="12"/>
          <w:color w:val="auto"/>
        </w:rPr>
        <w:t>We may undertake additional financings in the future and in connection therewith we may issue shares or securities convertible into shares, which may materially dilute the holdings of our current shareholders.</w:t>
      </w:r>
    </w:p>
    <w:p>
      <w:pPr>
        <w:spacing w:after="0" w:line="270"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- 15 -</w:t>
      </w:r>
    </w:p>
    <w:p>
      <w:pPr>
        <w:spacing w:after="0" w:line="391" w:lineRule="exact"/>
        <w:rPr>
          <w:sz w:val="20"/>
          <w:szCs w:val="20"/>
          <w:color w:val="auto"/>
        </w:rPr>
      </w:pPr>
    </w:p>
    <w:p>
      <w:pPr>
        <w:jc w:val="both"/>
        <w:ind w:left="8" w:right="4839"/>
        <w:spacing w:after="0" w:line="236" w:lineRule="auto"/>
        <w:rPr>
          <w:sz w:val="20"/>
          <w:szCs w:val="20"/>
          <w:color w:val="auto"/>
        </w:rPr>
      </w:pPr>
      <w:r>
        <w:rPr>
          <w:rFonts w:ascii="Courier New" w:cs="Courier New" w:eastAsia="Courier New" w:hAnsi="Courier New"/>
          <w:sz w:val="12"/>
          <w:szCs w:val="12"/>
          <w:color w:val="auto"/>
        </w:rPr>
        <w:t>MARKET SALES OF LARGE AMOUNTS OF OUR SHARES ELIGIBLE FOR FUTURE SALE, OR EVEN THE PERCEPTION THAT SUCH SALES MAY OCCUR, MAY LOWER THE PRICE OF OUR ORDINARY SHARES.</w:t>
      </w:r>
    </w:p>
    <w:p>
      <w:pPr>
        <w:spacing w:after="0" w:line="139"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Of our approximately 125.4 million outstanding ordinary shares as of May 31, 2008, approximately 86.5 million are held by non-affiliates and are freely tradable under US securities laws. In addition, certain of our affiliates (Israel Corp., SanDisk Corporation and Macronix International) hold approximately 38.9 million of our outstanding shares, of which (i) approximately 3.3 million are registered for resale and are therefore freely tradable under US securities laws, and (ii) approximately 35.6 million are currently eligible for sale subject to the volume and manner of sale limitations of Rule 144 promulgated under the US Securities Act of 1933, as amended ("Rule 144"). As of May 31, 2008, up to approximately 25.3 million additional shares issuable upon the conversion of our 2005 convertible debentures beneficially owned by non-affiliates or are registered for sale and are freely tradable under US securities laws and approximately 5.4 million shares issuable upon exercise of warrants issued to Israel Corp. and our banks will become eligible for sale commencing six months after exercise of the warrants, subject, in the case of Israel Corp. and, if deemed "affiliates" of our company, the banks, to the volume and manner of sale limitations of Rule 144. Approximately 65.8 million shares underlying Israel Corp.'s equity equivalent convertible capital notes are freely tradable subject to volume and manner of sale requirements of Rule 144. In addition, (i) approximately 9.2 million shares issuable upon the exercise of warrants we granted to our banks and (ii) approximately 9.4 million shares issuable upon exercise of warrants issued in our March 2007 private placement, are registered for resale and are therefore freely tradable under US securities laws. Additionally, up to: (i) approximately 29.7 million shares issuable upon the conversion and/or exercise of the securities sold in our June 2006 public</w:t>
      </w:r>
    </w:p>
    <w:p>
      <w:pPr>
        <w:sectPr>
          <w:pgSz w:w="11900" w:h="16838" w:orient="portrait"/>
          <w:cols w:equalWidth="0" w:num="1">
            <w:col w:w="10247"/>
          </w:cols>
          <w:pgMar w:left="212" w:top="141" w:right="1440" w:bottom="0" w:gutter="0" w:footer="0" w:header="0"/>
        </w:sectPr>
      </w:pPr>
    </w:p>
    <w:bookmarkStart w:id="10" w:name="page11"/>
    <w:bookmarkEnd w:id="10"/>
    <w:p>
      <w:pPr>
        <w:ind w:right="4619"/>
        <w:spacing w:after="0" w:line="260" w:lineRule="auto"/>
        <w:rPr>
          <w:sz w:val="20"/>
          <w:szCs w:val="20"/>
          <w:color w:val="auto"/>
        </w:rPr>
      </w:pPr>
      <w:r>
        <w:rPr>
          <w:rFonts w:ascii="Courier New" w:cs="Courier New" w:eastAsia="Courier New" w:hAnsi="Courier New"/>
          <w:sz w:val="11"/>
          <w:szCs w:val="11"/>
          <w:color w:val="auto"/>
        </w:rPr>
        <w:t>offering in Israel, (ii) approximately 5.2 million shares issuable upon exercise of warrants sold in private placements completed in November 2006 and (iii) the additional up to approximately 10.1 million ordinary shares which are issuable upon the conversion and/or exercise of warrants sold in our June 2007 private placement and September 2007 public offering in Israel, would be freely tradable in normal trading transactions in the United States. We have filed a registration statement covering the resale of an additional up to approximately 52 million shares issuable upon the conversion of equity equivalent convertible capital notes issued to our banks and if declared effective, such shares would be freely tradable under US securities laws. In January 2008, we filed a shelf registration statement, which was declared effective in February 2008, registering the possible offer and sale from time to time of up to $40 million of securities which we may elect to offer and sell during the three years following February 2008. Furthermore, as part of the definitive merger agreement with Jazz Technologies, Inc., we undertook to file a registration statement in connection with the shares to be issued in the transaction and the shares that may be issued in the future upon the exercise of Jazz options, warrants and senior convertibles notes.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272"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OUR PRINCIPAL SHAREHOLDERS COLLECTIVELY OWN A CONTROLLING INTEREST IN US AND WILL BE ABLE TO EXERCISE THEIR VOTING RIGHTS IN WAYS WHICH MAY BE ADVERSE TO THE INTERESTS OF OUR OTHER SHAREHOLDERS.</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As of May 31, 2008, our major wafer partners and Israel Corp. collectively owned approximately 31% of our outstanding shares. In the event Israel Corp. were to convert its equity convertible capital notes, our major wafer partners and Israel Corp. would collectively own approximately 55% of our outstanding shares. Under our articles of association, two shareholders holding together 33% of our outstanding shares constitute a quorum for conducting a shareholders' meeting. If Israel Corp. were to convert its equity convertible capital notes, our wafer partners and Israel Corp. would constitute a quorum for purposes of conducting a shareholders' meeting. If only two large shareholders, owning collectively at least 33% of our shares, were to participate in one of our shareholders' meetings, these shareholders would determine the outcome of our shareholders' meeting without the benefit of the participation of our other shareholders. The interests of these shareholders may not be consistent with the interests of our other shareholders. As a result, these shareholders may exercise voting rights or otherwise influence corporate action in ways that are adverse to the interests of our other shareholders.</w:t>
      </w:r>
    </w:p>
    <w:p>
      <w:pPr>
        <w:spacing w:after="0" w:line="39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- 16 -</w:t>
      </w:r>
    </w:p>
    <w:p>
      <w:pPr>
        <w:spacing w:after="0" w:line="391"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2"/>
          <w:szCs w:val="12"/>
          <w:color w:val="auto"/>
        </w:rPr>
        <w:t>THE PAYMENT OF THE REDEMPTION AMOUNT ON ACCOUNT OF OUR OUTSTANDING DEBENTURES IS SUBORDINATED TO OUR INDEBTEDNESS TO OUR BANKS AND OBLIGATIONS TO SECURED CREDITORS.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The payment of the redemption amount on account of our outstanding debentures is subordinated to the prior payment of approximately $399 million in the aggregate payable by us to our banks under our amended credit facility agreement and our September 2007 credit lines with them, to any obligations to the Investment Center of the Israeli Ministry of Industry, Trade and Labor related to approximately $165 million in grants received as of May 31, 2008 under the Investment Center's "Approved Enterprise" program in relation to Fab 2, and to a first ranking charge in favor of SanDisk Corporation, on approximately $10 million of equipment purchased in connection with the performance of our obligations under our agreement with SanDisk Corporation. As a result, upon any distribution to our creditors in liquidation or reorganization or similar proceedings, these secured creditors will be entitled to be paid in full before any payment may be made with respect to our outstanding debentures. In any of these circumstances, we may not have sufficient assets remaining to pay amounts due on any or all of our debentures then outstanding. In addition, we are not permitted under the terms of our credit facility agreement to make a payment on account of the debentures if on the date of such payment an "Event of Default" exists under our credit facility agreement.</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RISKS RELATED TO OUR OPERATIONS IN ISRAEL</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INSTABILITY IN ISRAEL MAY HARM OUR BUSINESS.</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All of our manufacturing facilities and our corporate and some of our sales offices are located in Israel. Accordingly, political, economic and military conditions in Israel may directly affect our business.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42"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color w:val="auto"/>
        </w:rPr>
        <w:t>OUR OPERATIONS MAY BE NEGATIVELY AFFECTED BY THE OBLIGATIONS OF OUR PERSONNEL TO PERFORM MILITARY SERVICE.</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ectPr>
          <w:pgSz w:w="11900" w:h="16838" w:orient="portrait"/>
          <w:cols w:equalWidth="0" w:num="1">
            <w:col w:w="10239"/>
          </w:cols>
          <w:pgMar w:left="220" w:top="141" w:right="1440" w:bottom="0" w:gutter="0" w:footer="0" w:header="0"/>
        </w:sectPr>
      </w:pPr>
    </w:p>
    <w:p>
      <w:pPr>
        <w:spacing w:after="0" w:line="267" w:lineRule="exact"/>
        <w:rPr>
          <w:sz w:val="20"/>
          <w:szCs w:val="20"/>
          <w:color w:val="auto"/>
        </w:rPr>
      </w:pPr>
    </w:p>
    <w:p>
      <w:pPr>
        <w:ind w:left="2600"/>
        <w:spacing w:after="0"/>
        <w:rPr>
          <w:sz w:val="20"/>
          <w:szCs w:val="20"/>
          <w:color w:val="auto"/>
        </w:rPr>
      </w:pPr>
      <w:r>
        <w:rPr>
          <w:rFonts w:ascii="Courier New" w:cs="Courier New" w:eastAsia="Courier New" w:hAnsi="Courier New"/>
          <w:sz w:val="11"/>
          <w:szCs w:val="11"/>
          <w:color w:val="auto"/>
        </w:rPr>
        <w:t>- 17 -</w:t>
      </w:r>
    </w:p>
    <w:p>
      <w:pPr>
        <w:sectPr>
          <w:pgSz w:w="11900" w:h="16838" w:orient="portrait"/>
          <w:cols w:equalWidth="0" w:num="1">
            <w:col w:w="10239"/>
          </w:cols>
          <w:pgMar w:left="220" w:top="141" w:right="1440" w:bottom="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2"/>
          <w:szCs w:val="12"/>
          <w:color w:val="auto"/>
        </w:rPr>
        <w:t>OUR OPERATIONS MAY BE AFFECTED BY NEGATIVE ECONOMIC CONDITIONS IN ISRAEL.</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44" w:lineRule="exact"/>
        <w:rPr>
          <w:sz w:val="20"/>
          <w:szCs w:val="20"/>
          <w:color w:val="auto"/>
        </w:rPr>
      </w:pPr>
    </w:p>
    <w:p>
      <w:pPr>
        <w:ind w:right="4699"/>
        <w:spacing w:after="0" w:line="235" w:lineRule="auto"/>
        <w:rPr>
          <w:sz w:val="20"/>
          <w:szCs w:val="20"/>
          <w:color w:val="auto"/>
        </w:rPr>
      </w:pPr>
      <w:r>
        <w:rPr>
          <w:rFonts w:ascii="Courier New" w:cs="Courier New" w:eastAsia="Courier New" w:hAnsi="Courier New"/>
          <w:sz w:val="12"/>
          <w:szCs w:val="12"/>
          <w:color w:val="auto"/>
        </w:rPr>
        <w:t>IF THE EXEMPTION ALLOWING US TO OPERATE OUR MANUFACTURING FACILITIES SEVEN DAYS A WEEK IS NOT RENEWED, OUR BUSINESS WILL BE ADVERSELY AFFECTED.</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operate our manufacturing facilities seven days a week pursuant to an exemption from the law that requires businesses in Israel to be closed from sundown on Friday through sundown on Saturday. This exemption expires by its terms on December 31, 2008. If the exemption is not renewed and we are forced to close any or all of the facilities for this period each week, our financial results and business will be harmed.</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IF WE ARE CONSIDERED TO BE A PASSIVE FOREIGN INVESTMENT COMPANY, EITHER</w:t>
      </w:r>
    </w:p>
    <w:p>
      <w:pPr>
        <w:spacing w:after="0"/>
        <w:rPr>
          <w:sz w:val="20"/>
          <w:szCs w:val="20"/>
          <w:color w:val="auto"/>
        </w:rPr>
      </w:pPr>
      <w:r>
        <w:rPr>
          <w:rFonts w:ascii="Courier New" w:cs="Courier New" w:eastAsia="Courier New" w:hAnsi="Courier New"/>
          <w:sz w:val="12"/>
          <w:szCs w:val="12"/>
          <w:color w:val="auto"/>
        </w:rPr>
        <w:t>PRESENTLY OR IN THE FUTURE, US HOLDERS WILL BE SUBJECT TO ADVERSE US TAX</w:t>
      </w:r>
    </w:p>
    <w:p>
      <w:pPr>
        <w:spacing w:after="0" w:line="237" w:lineRule="auto"/>
        <w:rPr>
          <w:sz w:val="20"/>
          <w:szCs w:val="20"/>
          <w:color w:val="auto"/>
        </w:rPr>
      </w:pPr>
      <w:r>
        <w:rPr>
          <w:rFonts w:ascii="Courier New" w:cs="Courier New" w:eastAsia="Courier New" w:hAnsi="Courier New"/>
          <w:sz w:val="12"/>
          <w:szCs w:val="12"/>
          <w:color w:val="auto"/>
        </w:rPr>
        <w:t>CONSEQUENCES.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any gain recognized by a US Holder on a disposition of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276"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- 18 -</w:t>
      </w:r>
    </w:p>
    <w:p>
      <w:pPr>
        <w:spacing w:after="0" w:line="391"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2"/>
          <w:szCs w:val="12"/>
          <w:color w:val="auto"/>
        </w:rPr>
        <w:t>IT MAY BE DIFFICULT TO ENFORCE A US JUDGMENT AGAINST US, OUR OFFICERS, DIRECTORS AND ADVISORS OR TO ASSERT US SECURITIES LAW CLAIMS IN ISRAEL.</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4. INFORMATION ON THE COMPANY</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A. HISTORY AND DEVELOPMENT OF THE COMPANY</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are a pure-play independent specialty foundry dedicated to the manufacture of semiconductors.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design services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145"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are focused on establishing leading market share in high-growth specialized markets by providing our customers with high-value wafer foundry services. Our historical focus has been standard digital complementary metal oxide semiconductor ("CMOS") process technology, which is the most widely used method of producing ICs. We are currently focused on the emerging opportunities in the fields of CMOS image sensors, mixed-signal, radio frequency CMOS (RFCMOS), radio frequency identification (RFID) technologies and power management. To better serve our customers, we have developed and are continuously expanding our technology offerings for use in these fields. Through our expertise and experience gained over fifteen years of operation, we differentiate ourselves by creating a high level of value for our clients through innovative technological processes, design and engineering support and services, competitive manufacturing indices, and dedicated customer service.</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 Production capacity in Fab 1 as of May 31, 2008 was approximately 16,000 wafers per month depending on process technology and product mix.</w:t>
      </w:r>
    </w:p>
    <w:p>
      <w:pPr>
        <w:spacing w:after="0" w:line="131"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In January 2001, we commenced construction of a new, state-of-the-art wafer</w:t>
      </w:r>
    </w:p>
    <w:p>
      <w:pPr>
        <w:sectPr>
          <w:pgSz w:w="11900" w:h="16838" w:orient="portrait"/>
          <w:cols w:equalWidth="0" w:num="1">
            <w:col w:w="10239"/>
          </w:cols>
          <w:pgMar w:left="220" w:top="407" w:right="1440" w:bottom="0" w:gutter="0" w:footer="0" w:header="0"/>
        </w:sectPr>
      </w:pPr>
    </w:p>
    <w:bookmarkStart w:id="12" w:name="page13"/>
    <w:bookmarkEnd w:id="12"/>
    <w:p>
      <w:pPr>
        <w:ind w:right="4699"/>
        <w:spacing w:after="0" w:line="261" w:lineRule="auto"/>
        <w:rPr>
          <w:sz w:val="20"/>
          <w:szCs w:val="20"/>
          <w:color w:val="auto"/>
        </w:rPr>
      </w:pPr>
      <w:r>
        <w:rPr>
          <w:rFonts w:ascii="Courier New" w:cs="Courier New" w:eastAsia="Courier New" w:hAnsi="Courier New"/>
          <w:sz w:val="11"/>
          <w:szCs w:val="11"/>
          <w:color w:val="auto"/>
        </w:rPr>
        <w:t>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During 2008, we are implementing a capacity increase plan targeting to reach up to approximately 30,000 wafers per month, which has not yet been completed. Production capacity of Fab 2 as of December 31, 2007 was approximately 24,000 wafers per month. Depending on the process technology and product mix, when fully ramped-up we estimate that Fab 2 will be able to achieve capacity levels of up to approximately 44,000 wafers per month. We have not yet made a decision as to the timing of the commencement of any further ramp-up of Fab 2 capacity beyond approximately 30,000 wafer starts per month. The timing of that decision and its implementation will depend upon several factors, including, funding, and cost availability of equipment and market conditions.</w:t>
      </w:r>
    </w:p>
    <w:p>
      <w:pPr>
        <w:spacing w:after="0" w:line="39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- 19 -</w:t>
      </w:r>
    </w:p>
    <w:p>
      <w:pPr>
        <w:spacing w:after="0" w:line="391"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Our capital expenditures, net of Investment Center grants, for 2007, 2006 and 2005 of approximately $91 million, $163 million and $32 million, respectively, were made principally in connection with the construction of, and purchase of equipment and technology for, Fab 2.</w:t>
      </w:r>
    </w:p>
    <w:p>
      <w:pPr>
        <w:spacing w:after="0" w:line="141"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Our legal and commercial name is Tower Semiconductor Ltd. We were incorporated under the laws of Israel. Our manufacturing facilities and executive offices are located in the Ramat Gavriel Industrial Park, Shaul Amor Street, Post Office Box 619, Migdal Haemek, 23105 Israel, and our telephone number is 972-4-650-6611. Our worldwide web site is http://www.towersemi.com. Information on our web site is not incorporated by reference in this annual report.</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RECENT DEVELOPMENTS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On May 19, 2008 we entered into a definitive merger agreement with Jazz Technologies, Inc., a leader in Analog-Intensive Mixed Signal (AIMS) foundry solutions, by which we will acquire all of the outstanding shares of Jazz Technologies, Inc. in a stock-for-stock transaction valuing Jazz at an equity value of approximately $40 million, based on the closing price of our shares on the date of the agreement. The total value of the transaction, including net debt, is approximately $169 million. The transaction is subject to closing conditions, which must all be met or waived (by the applicable party) in order for the transaction to be consummated. Under the terms of the agreement, upon the closing of the merger, Jazz will become our wholly-owned subsidiary and each outstanding share of Jazz common stock will be converted into the right to receive 1.8 Tower ordinary shares. We expect the transaction to close in the second half of 2008.</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B. BUSINESS OVERVIEW</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INDUSTRY OVERVIEW</w:t>
      </w:r>
    </w:p>
    <w:p>
      <w:pPr>
        <w:spacing w:after="0" w:line="139" w:lineRule="exact"/>
        <w:rPr>
          <w:sz w:val="20"/>
          <w:szCs w:val="20"/>
          <w:color w:val="auto"/>
        </w:rPr>
      </w:pPr>
    </w:p>
    <w:p>
      <w:pPr>
        <w:ind w:right="4699" w:firstLine="351"/>
        <w:spacing w:after="0" w:line="262" w:lineRule="auto"/>
        <w:rPr>
          <w:sz w:val="20"/>
          <w:szCs w:val="20"/>
          <w:color w:val="auto"/>
        </w:rPr>
      </w:pPr>
      <w:r>
        <w:rPr>
          <w:rFonts w:ascii="Courier New" w:cs="Courier New" w:eastAsia="Courier New" w:hAnsi="Courier New"/>
          <w:sz w:val="11"/>
          <w:szCs w:val="11"/>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applications. The semiconductor industry is characterized by rapid changes in technology, frequently resulting in the obsolescence of recently introduced products. As performance has increased and size and cost have decreased, the use of semiconductors and the number of their applications have grown significantly.</w:t>
      </w:r>
    </w:p>
    <w:p>
      <w:pPr>
        <w:spacing w:after="0" w:line="128"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Historically, the semiconductor industry was composed primarily of companies that designed and manufactured ICs in their own fabrication facilities. These companies, such as Intel and IBM, are known as integrated device manufacturers, or IDMs.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This need has been met by the development of independent companies, known as foundries, which focus primarily on providing IC manufacturing services to semiconductor suppliers. Foundry services are now used by nearly every major semiconductor company in the world, including IDMs as part of a dual-source, risk-diversification and cost effectiveness strategy.</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- 20 -</w:t>
      </w:r>
    </w:p>
    <w:p>
      <w:pPr>
        <w:spacing w:after="0" w:line="391"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Semiconductor suppliers face increasing demands for new products that provide higher performance, greater functionality and smaller form factors at lower prices, which require increasingly complex ICs. In addition to the increased complexity of designs, there has also been a dramatic increase in the number of applications for semiconductors. To compete successfully, semiconductor suppliers must also minimize the time it takes to bring a product to market. As a result, fabless companies and IDMs are focusing more on their core competencies-design and intellectual property-and outsourcing manufacturing to foundries.</w:t>
      </w:r>
    </w:p>
    <w:p>
      <w:pPr>
        <w:spacing w:after="0" w:line="143" w:lineRule="exact"/>
        <w:rPr>
          <w:sz w:val="20"/>
          <w:szCs w:val="20"/>
          <w:color w:val="auto"/>
        </w:rPr>
      </w:pPr>
    </w:p>
    <w:p>
      <w:pPr>
        <w:ind w:right="4759" w:firstLine="351"/>
        <w:spacing w:after="0" w:line="263" w:lineRule="auto"/>
        <w:rPr>
          <w:sz w:val="20"/>
          <w:szCs w:val="20"/>
          <w:color w:val="auto"/>
        </w:rPr>
      </w:pPr>
      <w:r>
        <w:rPr>
          <w:rFonts w:ascii="Courier New" w:cs="Courier New" w:eastAsia="Courier New" w:hAnsi="Courier New"/>
          <w:sz w:val="11"/>
          <w:szCs w:val="11"/>
          <w:color w:val="auto"/>
        </w:rPr>
        <w:t>The consumer sector is expanding worldwide with new applications and multi-functional devices, including those that incorporate CMOS image sensors, embedded flash and mixed-signal ICs. Increasingly, emerging applications, such as camera-equipped cell phones, digital still cameras and flat panel displays, are enabled by ICs manufactured using advanced process technologies.</w:t>
      </w:r>
    </w:p>
    <w:p>
      <w:pPr>
        <w:spacing w:after="0" w:line="128"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The enormous costs associated with modern fabs, combined with the increasing demand for complex ICs, has created an expanding market for outsourced manufacturing offered by foundries. Foundries can cost-effectively supply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such as CMOS image sensors, embedded flash and mixed-signal technologies. Foundries also offer competitive customer service through design, testing, and other technical services, often at a level previously found only at an IDM's internal facilities.</w:t>
      </w:r>
    </w:p>
    <w:p>
      <w:pPr>
        <w:spacing w:after="0" w:line="266" w:lineRule="exact"/>
        <w:rPr>
          <w:sz w:val="20"/>
          <w:szCs w:val="20"/>
          <w:color w:val="auto"/>
        </w:rPr>
      </w:pPr>
    </w:p>
    <w:p>
      <w:pPr>
        <w:ind w:right="4619" w:firstLine="351"/>
        <w:spacing w:after="0" w:line="273" w:lineRule="auto"/>
        <w:rPr>
          <w:sz w:val="20"/>
          <w:szCs w:val="20"/>
          <w:color w:val="auto"/>
        </w:rPr>
      </w:pPr>
      <w:r>
        <w:rPr>
          <w:rFonts w:ascii="Courier New" w:cs="Courier New" w:eastAsia="Courier New" w:hAnsi="Courier New"/>
          <w:sz w:val="11"/>
          <w:szCs w:val="11"/>
          <w:color w:val="auto"/>
        </w:rPr>
        <w:t>These trends have led to the rapid growth in demand in recent years for advanced semiconductor manufacturing services provided by independent foundries.</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MANUFACTURING PROCESSES AND SPECIALIZED TECHNOLOGIES</w:t>
      </w:r>
    </w:p>
    <w:p>
      <w:pPr>
        <w:spacing w:after="0" w:line="139" w:lineRule="exact"/>
        <w:rPr>
          <w:sz w:val="20"/>
          <w:szCs w:val="20"/>
          <w:color w:val="auto"/>
        </w:rPr>
      </w:pPr>
    </w:p>
    <w:p>
      <w:pPr>
        <w:ind w:right="4759" w:firstLine="351"/>
        <w:spacing w:after="0" w:line="264" w:lineRule="auto"/>
        <w:rPr>
          <w:sz w:val="20"/>
          <w:szCs w:val="20"/>
          <w:color w:val="auto"/>
        </w:rPr>
      </w:pPr>
      <w:r>
        <w:rPr>
          <w:rFonts w:ascii="Courier New" w:cs="Courier New" w:eastAsia="Courier New" w:hAnsi="Courier New"/>
          <w:sz w:val="11"/>
          <w:szCs w:val="11"/>
          <w:color w:val="auto"/>
        </w:rPr>
        <w:t>We manufacture ICs on silicon wafers, generally using the customer's proprietary circuit designs. In some cases, we use third-party or our own proprietary design elements. The end product of our manufacturing process is a silicon wafer containing multiple identical ICs. In most cases, our customer</w:t>
      </w:r>
    </w:p>
    <w:p>
      <w:pPr>
        <w:sectPr>
          <w:pgSz w:w="11900" w:h="16838" w:orient="portrait"/>
          <w:cols w:equalWidth="0" w:num="1">
            <w:col w:w="10239"/>
          </w:cols>
          <w:pgMar w:left="220" w:top="141"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2"/>
          <w:szCs w:val="12"/>
          <w:color w:val="auto"/>
        </w:rPr>
        <w:t>assumes responsibility for dicing, assembly, packaging and testing.</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We provide wafer fabrication services to fabless IC companies and IDMs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unique positions in large, high-growth specialized markets for CMOS image sensors, mixed signal and RF CMOS ICs. We serve as a sole source or alternative provider of foundry services.</w:t>
      </w:r>
    </w:p>
    <w:p>
      <w:pPr>
        <w:spacing w:after="0" w:line="142"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We manufacture ICs using CMOS process technology. CMOS is currently the dominant semiconductor manufacturing process because it requires lower power than other technologies and allows dense placement of components onto a single IC. The low power consumption and high-density characteristics of the CMOS process allow the continued development of high performance ICs that are smaller and faster. We believe that our specialized process technology distinguishes our IC manufacturing services and attracts industry-leading customers.</w:t>
      </w:r>
    </w:p>
    <w:p>
      <w:pPr>
        <w:spacing w:after="0" w:line="25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- 21 -</w:t>
      </w:r>
    </w:p>
    <w:p>
      <w:pPr>
        <w:spacing w:after="0" w:line="391"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We believe that we are a trusted, customer-oriented service provider that has built a solid reputation in the foundry industry over the last fifteen years. We have built strong relationships with customers, who continue to use our services, even as their demands evolve to smaller form factors and new applications. Our consistent focus on providing high-quality, value added services, including engineering and design support, has allowed us to attract customers for both our Fab 1 and Fab 2 facilities who seek to work with a proven provider of foundry services. Our emphasis on working closely with customers and accelerating the time-to-market of our customers' next-generation products is also reflected in our corporate structure. As a result, we have a high customer retention rate and an increase in new customers and new products for production.</w:t>
      </w:r>
    </w:p>
    <w:p>
      <w:pPr>
        <w:spacing w:after="0" w:line="13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derived approximately 48% of our revenues for the year ended December 31, 2007 from our target specialized markets: CMOS image sensors, embedded flash, mixed-signal, RF and power ICs. We are highly experienced in these markets, being an early entrant and having developed unique proprietary technologies, primarily through licensing and joint development efforts with our customers and other technology companies. The specific process technologies that we currently focus on include:</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CMOS IMAGE SENSORS</w:t>
      </w:r>
    </w:p>
    <w:p>
      <w:pPr>
        <w:spacing w:after="0" w:line="139"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CMOS image sensors are ICs used to capture an image in a wide variety of consumer, communications, medical, automotive and industrial market applications, including camera-equipped cell phones, digital still and video cameras, security and surveillance cameras and video game consoles. Our dedicated manufacturing and testing processes assure consistently high electro-optical performance of the integrated sensor through wafer-level characterization. Our CMOS image sensor processes have demonstrated superior optical characteristics, excellent spectral response and high resolution and sensitivity. The ultra-low dark current, high efficiency and accurate spectral response of our photodiode enable faithful color reproduction and acute detail definition.</w:t>
      </w:r>
    </w:p>
    <w:p>
      <w:pPr>
        <w:spacing w:after="0" w:line="145"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addition, our innovative "stitching" technology enables semiconductor exposure tools to manufacture single ultra high-resolution CMOS image sensors containing millions of pixels at sizes far larger than their existing field. Our 0.5, 0.35-micron and 0.18-micron CMOS image sensor processes are designed to permit the customer to create high-quality solutions and integrate a product's CMOS analog and logic circuitry together with the sensor pixel array all on one chip, thereby facilitating miniaturization, reducing power consumption and increasing performance.</w:t>
      </w:r>
    </w:p>
    <w:p>
      <w:pPr>
        <w:spacing w:after="0" w:line="142"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We are currently actively involved in this mass market as well as the high-end sensor and applications specific markets, which include applications such as industrial machine vision, medical X-Ray and automotive sensors. While CMOS image sensors for advanced optical applications are an emerging technology, we believe that they are becoming the preferred technology to traditional charge coupled devices, or CCDs. CCDs have historically provided superior image quality; however, advances in semiconductor manufacturing processes and design techniques have led to significant improvements in CMOS image sensor performance and image quality. These advances have resulted in smaller size circuits and better power control, making it possible to design CMOS image sensors that provide high image quality at a significantly lower cost.</w:t>
      </w:r>
    </w:p>
    <w:p>
      <w:pPr>
        <w:spacing w:after="0" w:line="131"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As early as 1997, we recognized the market potential of using CMOS process technology for a digital camera-on-a-chip, which would integrate a CMOS image sensor, filters and digital circuitry. In entering the CMOS image sensor foundry business, we utilized research and development work that had been ongoing since 1993. Our services include a broad range of turnkey solutions and services, including pixel IP services, optical characterization of a CMOS process, innovative stitching manufacturing technique and optical testing and packaging. CMOS image sensors manufactured by us deliver outstanding image quality for a broad spectrum of digital imaging applications.</w:t>
      </w:r>
    </w:p>
    <w:p>
      <w:pPr>
        <w:spacing w:after="0" w:line="26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- 22 -</w:t>
      </w:r>
    </w:p>
    <w:p>
      <w:pPr>
        <w:spacing w:after="0" w:line="391" w:lineRule="exact"/>
        <w:rPr>
          <w:sz w:val="20"/>
          <w:szCs w:val="20"/>
          <w:color w:val="auto"/>
        </w:rPr>
      </w:pPr>
    </w:p>
    <w:p>
      <w:pPr>
        <w:ind w:right="4839" w:firstLine="351"/>
        <w:spacing w:after="0" w:line="260" w:lineRule="auto"/>
        <w:rPr>
          <w:sz w:val="20"/>
          <w:szCs w:val="20"/>
          <w:color w:val="auto"/>
        </w:rPr>
      </w:pPr>
      <w:r>
        <w:rPr>
          <w:rFonts w:ascii="Courier New" w:cs="Courier New" w:eastAsia="Courier New" w:hAnsi="Courier New"/>
          <w:sz w:val="11"/>
          <w:szCs w:val="11"/>
          <w:color w:val="auto"/>
        </w:rPr>
        <w:t>During the last quarter of 2005, we commenced volume production of CMOS image sensors for the cellular phone camera market in 0.18 micron process and using a 3.6 micron pixel which we developed. In 2006, we commenced volume production with our developed 2.8 micron pixel and in parallel we developed a</w:t>
      </w:r>
    </w:p>
    <w:p>
      <w:pPr>
        <w:ind w:right="4699"/>
        <w:spacing w:after="0" w:line="236" w:lineRule="auto"/>
        <w:rPr>
          <w:sz w:val="20"/>
          <w:szCs w:val="20"/>
          <w:color w:val="auto"/>
        </w:rPr>
      </w:pPr>
      <w:r>
        <w:rPr>
          <w:rFonts w:ascii="Courier New" w:cs="Courier New" w:eastAsia="Courier New" w:hAnsi="Courier New"/>
          <w:sz w:val="12"/>
          <w:szCs w:val="12"/>
          <w:color w:val="auto"/>
        </w:rPr>
        <w:t>2.2 micron pixel which serves as the foundation for products for several of our customers, and is being used in VGA, 1.3Mp, 2Mp and 3Mp and which we expect to be used in the future for 5Mp sensors for both the cellular phone and PC camera commodity market, and the low end DSC market.</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During 2007, we ramped to production products with 2.8 micron, 3.2 micron and 3.6 micron pixels, all developed by us and supplied to our customers as pixel IP. In the end of 2006, we began prototyping of two image sensors in Fab 2 in 0.18 micron technology to be used in cellular phone and smart phone cameras. Our Advanced Photo Diode (APD) technology used in these CMOS image sensors enables improved optical and electrical performance of ultra-small pixels utilizing deep sub-micron process technologies, thus enabling the manufacturing of small, cost-effective camera module solutions. During 2007, four VGA products for cell phone applications, a 1/7" and a 1/8", based on 3.2 micron and 2.8 micron pixels respectively, ramped into mass production.</w:t>
      </w:r>
    </w:p>
    <w:p>
      <w:pPr>
        <w:spacing w:after="0" w:line="144"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We developed a new 2.2-micron pixel for which prototyping began during 2007. In addition, in the beginning of 2007, we were selected by e2v as its supplier of choice for its CMOS image sensor devices. e2v's products target a broad range of industrial and medical applications. The CMOS sensors will be produced in Fab2, using the CIS 0.18 micron process and its advanced capabilities, including our patented stitching technology that was successfully developed for Fab 2 in 2006.</w:t>
      </w:r>
    </w:p>
    <w:p>
      <w:pPr>
        <w:sectPr>
          <w:pgSz w:w="11900" w:h="16838" w:orient="portrait"/>
          <w:cols w:equalWidth="0" w:num="1">
            <w:col w:w="10239"/>
          </w:cols>
          <w:pgMar w:left="220" w:top="137" w:right="1440" w:bottom="0" w:gutter="0" w:footer="0" w:header="0"/>
        </w:sectPr>
      </w:pPr>
    </w:p>
    <w:bookmarkStart w:id="14" w:name="page15"/>
    <w:bookmarkEnd w:id="14"/>
    <w:p>
      <w:pPr>
        <w:jc w:val="center"/>
        <w:ind w:right="4979"/>
        <w:spacing w:after="0"/>
        <w:rPr>
          <w:sz w:val="20"/>
          <w:szCs w:val="20"/>
          <w:color w:val="auto"/>
        </w:rPr>
      </w:pPr>
      <w:r>
        <w:rPr>
          <w:rFonts w:ascii="Courier New" w:cs="Courier New" w:eastAsia="Courier New" w:hAnsi="Courier New"/>
          <w:sz w:val="12"/>
          <w:szCs w:val="12"/>
          <w:color w:val="auto"/>
        </w:rPr>
        <w:t>For the X-Ray market, we developed stitched technology in Fab2 on</w:t>
      </w:r>
    </w:p>
    <w:p>
      <w:pPr>
        <w:spacing w:after="0" w:line="4" w:lineRule="exact"/>
        <w:rPr>
          <w:sz w:val="20"/>
          <w:szCs w:val="20"/>
          <w:color w:val="auto"/>
        </w:rPr>
      </w:pPr>
    </w:p>
    <w:p>
      <w:pPr>
        <w:ind w:right="4759"/>
        <w:spacing w:after="0" w:line="236" w:lineRule="auto"/>
        <w:rPr>
          <w:sz w:val="20"/>
          <w:szCs w:val="20"/>
          <w:color w:val="auto"/>
        </w:rPr>
      </w:pPr>
      <w:r>
        <w:rPr>
          <w:rFonts w:ascii="Courier New" w:cs="Courier New" w:eastAsia="Courier New" w:hAnsi="Courier New"/>
          <w:sz w:val="12"/>
          <w:szCs w:val="12"/>
          <w:color w:val="auto"/>
        </w:rPr>
        <w:t>0.18micron process and a variety of 20-micron pixels that are optimized for X-Ray applications. These pixels are used by our customers in dental and other medical X-Ray products.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The stitched technology that was developed for Fab 2 during 2006 provided us with the ability to manufacture large sensors (up to one die per wafer) on 8" wafers using state of the art, 0.18-micron CMOS image sensor technology. In 2007, we had several new orders from customers whose products are based on this technology. For example, in December 2007, we established a partnership with CMT Medical Technologies Ltd., a leading provider of advanced digital X-ray imaging systems for medical diagnosis, to develop, market and sell X-ray detectors for medical applications. The detectors' intended use is for radiography/fluoroscopy, cardiology, angiography, mammography and similar large-size X-ray modalities. Large size detectors require the manufacturing of up to one die per 8" wafer, at high yields. Delivery of the first flat panel detectors is expected to begin in 2009.</w:t>
      </w:r>
    </w:p>
    <w:p>
      <w:pPr>
        <w:spacing w:after="0" w:line="139" w:lineRule="exact"/>
        <w:rPr>
          <w:sz w:val="20"/>
          <w:szCs w:val="20"/>
          <w:color w:val="auto"/>
        </w:rPr>
      </w:pPr>
    </w:p>
    <w:p>
      <w:pPr>
        <w:ind w:right="4899" w:firstLine="351"/>
        <w:spacing w:after="0" w:line="263" w:lineRule="auto"/>
        <w:rPr>
          <w:sz w:val="20"/>
          <w:szCs w:val="20"/>
          <w:color w:val="auto"/>
        </w:rPr>
      </w:pPr>
      <w:r>
        <w:rPr>
          <w:rFonts w:ascii="Courier New" w:cs="Courier New" w:eastAsia="Courier New" w:hAnsi="Courier New"/>
          <w:sz w:val="11"/>
          <w:szCs w:val="11"/>
          <w:color w:val="auto"/>
        </w:rPr>
        <w:t>During the first quarter of 2008, Canesta Inc.'s revolutionary 3D image sensors went into the qualification stage at Tower. These CanestaVision(TM) sensors, now in final qualification stages for the automotive industry, are being manufactured at Tower's advanced Fab2 facility, using its state-of-the-art, CMOS Image Sensor (CIS) 0.18-micron technology process.</w:t>
      </w:r>
    </w:p>
    <w:p>
      <w:pPr>
        <w:spacing w:after="0" w:line="128" w:lineRule="exact"/>
        <w:rPr>
          <w:sz w:val="20"/>
          <w:szCs w:val="20"/>
          <w:color w:val="auto"/>
        </w:rPr>
      </w:pPr>
    </w:p>
    <w:p>
      <w:pPr>
        <w:ind w:right="4699" w:firstLine="351"/>
        <w:spacing w:after="0" w:line="235" w:lineRule="auto"/>
        <w:rPr>
          <w:sz w:val="20"/>
          <w:szCs w:val="20"/>
          <w:color w:val="auto"/>
        </w:rPr>
      </w:pPr>
      <w:r>
        <w:rPr>
          <w:rFonts w:ascii="Courier New" w:cs="Courier New" w:eastAsia="Courier New" w:hAnsi="Courier New"/>
          <w:sz w:val="12"/>
          <w:szCs w:val="12"/>
          <w:color w:val="auto"/>
        </w:rPr>
        <w:t>In March 2008, we ramped-up the production of N-trig's A-trig and D-trig - the newest digitizer chipset to be integrated in OEMs computer systems.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EMBEDDED FLASH</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Flash memory is a constantly powered nonvolatile memory that can be erased and reprogrammed in units of memory called blocks. The IC of flash memory is organized so that a section of memory cells may be erased in a single action, or "flash". Applications for flash memory products range from most types of portable electronic equipment devices to high volume mass storage of data. Flash is particularly suitable for applications such as handheld devices, combining the need for portability, high density, ruggedness and lower power requirements. Flash memory products are also well-suited for audio products such as digital answering machines and MP3 players, as well as other applications including networking devices, digital cameras, personal computer motherboards and portable memory devices.</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- 23 -</w:t>
      </w:r>
    </w:p>
    <w:p>
      <w:pPr>
        <w:spacing w:after="0" w:line="391"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Embedded flash is the combination of flash memory with other components, such as other memory, logic and analog, on a single IC to provide speed, functionality and form factor advantages and reduce system cost. Embedded flash memory products are used in communications, consumer, industrial, military and automotive applications. End products include networks, base stations, servers, microcontrollers, toys, set-top boxes, DVD players, cell phones and smart cards.</w:t>
      </w:r>
    </w:p>
    <w:p>
      <w:pPr>
        <w:spacing w:after="0" w:line="130"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The relative simplicity of our microFLASH manufacturing process offers cost advantages over competing flash technologies for high density memories. Using our 0.5-micron technology, we have introduced the first of our microFLASH processes into production with the manufacture of a 2 megabit stand-alone memory device and embedded multi-time programming modules, with a limited number of rewrite cycles. Our 0.18-micron embedded flash technology was mutually developed with a Japanese semiconductor manufacturer during 2004, with multiple flash modules ranging in sizes from 0.5 megabit to 8 megabit, and is currently in different stages of prototyping and production with a few customers.</w:t>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MIXED SIGNAL, RF CMOS, AND RFID</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Mixed-signal ICs are an essential part of any electronic system that interacts with the real world. Analog ICs monitor and manipulate real world signals such as sound, light, pressure, motion, temperature and electrical current and are used in a wide variety of electronic products such as PCs, cell phones, DVD players, automotive electronics and medical imaging equipment. Digital ICs perform arithmetic functions on data represented by a series of ones and zeroes, provide critical processing power and have enabled many of the computing and communication advances of recent years. Mixed-signal ICs combine analog and digital semiconductor functionality on a single IC to enable digital systems to interface with the real world. As these digital systems proliferate, there is a growing need for analog functionality to enable them to interface with the real world. For 0.18-micron technology, we have developed design kits optimized for mixed-signal and RFCMOS design. These design kits contain a comprehensive characterization of a wide range of analog and RF devices to provide our customers with the ability to design mixed-signal and RF ICs for their specific needs.</w:t>
      </w:r>
    </w:p>
    <w:p>
      <w:pPr>
        <w:spacing w:after="0" w:line="14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recent years, more and more designers opt to develop high frequency products based on RF CMOS technologies. The superior cost structure of CMOS technologies enables high volume, low cost production of such high frequency products. We use our mixed signal expertise to leverage and develop processes and provide services for customers utilizing CMOS technologies. We further enhanced our mixed signal 0.18-micron platform technology offering by developing RF CMOS product design kits. This allowed us to increase our customer base and obtain new products for production as well as develop special capabilities with RFID applications.</w:t>
      </w:r>
    </w:p>
    <w:p>
      <w:pPr>
        <w:spacing w:after="0" w:line="143"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RFID. In 2004, we started a joint development program with Alien Technology Corporation that targets the RFID tag market and utilizes a platform technology of mixed signal, RF and non volatile memory function. Since 2006, we have been the manufacturing supplier for Alien Technology's internally-designed Gen 2 RFID ICs. Currently certain of Alien's products are in production at Fab 2 and the next generation technology developments are in process.</w:t>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CONVERGENCE OF TECHNOLOGIES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response to the growing demand for a single chip to offer a wide array of functions, we are leveraging a combination of some of the abovementioned technologies by developing a single chip with multiple functions. The successful development of this chip will allow us to provide additional value to our customers and obtain a unique market position by offering our customers a unique technology platform. We engage in projects merging CMOS, NVM and CIS for unique solutions to customers' needs, as well as in a project targeting RFID tags applications merging RF CMOS, mixed signal and NVM technologies onto a single chip.</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- 24 -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CUSTOMERS, MARKETING AND SALES</w:t>
      </w:r>
    </w:p>
    <w:p>
      <w:pPr>
        <w:spacing w:after="0" w:line="139" w:lineRule="exact"/>
        <w:rPr>
          <w:sz w:val="20"/>
          <w:szCs w:val="20"/>
          <w:color w:val="auto"/>
        </w:rPr>
      </w:pPr>
    </w:p>
    <w:p>
      <w:pPr>
        <w:ind w:right="4619" w:firstLine="351"/>
        <w:spacing w:after="0" w:line="264" w:lineRule="auto"/>
        <w:rPr>
          <w:sz w:val="20"/>
          <w:szCs w:val="20"/>
          <w:color w:val="auto"/>
        </w:rPr>
      </w:pPr>
      <w:r>
        <w:rPr>
          <w:rFonts w:ascii="Courier New" w:cs="Courier New" w:eastAsia="Courier New" w:hAnsi="Courier New"/>
          <w:sz w:val="11"/>
          <w:szCs w:val="11"/>
          <w:color w:val="auto"/>
        </w:rPr>
        <w:t>Our marketing and sales strategy seeks to aggressively expand our global customer base. We have marketing, sales and engineering support personnel in the United States, Taiwan and Israel. Our marketing and sales staff is supported by independent sales representatives, located throughout the world, who have been</w:t>
      </w:r>
    </w:p>
    <w:p>
      <w:pPr>
        <w:sectPr>
          <w:pgSz w:w="11900" w:h="16838" w:orient="portrait"/>
          <w:cols w:equalWidth="0" w:num="1">
            <w:col w:w="10239"/>
          </w:cols>
          <w:pgMar w:left="220" w:top="137" w:right="1440" w:bottom="0" w:gutter="0" w:footer="0" w:header="0"/>
        </w:sectPr>
      </w:pPr>
    </w:p>
    <w:bookmarkStart w:id="15" w:name="page16"/>
    <w:bookmarkEnd w:id="15"/>
    <w:p>
      <w:pPr>
        <w:ind w:left="8" w:right="4619"/>
        <w:spacing w:after="0" w:line="237" w:lineRule="auto"/>
        <w:rPr>
          <w:sz w:val="20"/>
          <w:szCs w:val="20"/>
          <w:color w:val="auto"/>
        </w:rPr>
      </w:pPr>
      <w:r>
        <w:rPr>
          <w:rFonts w:ascii="Courier New" w:cs="Courier New" w:eastAsia="Courier New" w:hAnsi="Courier New"/>
          <w:sz w:val="12"/>
          <w:szCs w:val="12"/>
          <w:color w:val="auto"/>
        </w:rPr>
        <w:t>selected based on their understanding of the semiconductor marketplace. In November 2007, we opened a representative office in Taiwan to support our increasing presence throughout the Asia Pacific region. Our new representative office provides applications and logistical support to our existing customers. This representative office also performs marketing activities aimed at the local market to increase our customer base.</w:t>
      </w:r>
    </w:p>
    <w:p>
      <w:pPr>
        <w:spacing w:after="0" w:line="140"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Our sales cycle is generally 12-24 months or longer for new customers and can be as short as 9-12 months for existing customers. The typical stages in the sales cycle process from initial contact until production are:</w:t>
      </w:r>
    </w:p>
    <w:p>
      <w:pPr>
        <w:spacing w:after="0" w:line="135" w:lineRule="exact"/>
        <w:rPr>
          <w:sz w:val="20"/>
          <w:szCs w:val="20"/>
          <w:color w:val="auto"/>
        </w:rPr>
      </w:pPr>
    </w:p>
    <w:p>
      <w:pPr>
        <w:ind w:left="708" w:hanging="357"/>
        <w:spacing w:after="0"/>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technical evaluation;</w:t>
      </w:r>
    </w:p>
    <w:p>
      <w:pPr>
        <w:spacing w:after="0" w:line="138" w:lineRule="exact"/>
        <w:rPr>
          <w:rFonts w:ascii="Courier New" w:cs="Courier New" w:eastAsia="Courier New" w:hAnsi="Courier New"/>
          <w:sz w:val="12"/>
          <w:szCs w:val="12"/>
          <w:color w:val="auto"/>
        </w:rPr>
      </w:pPr>
    </w:p>
    <w:p>
      <w:pPr>
        <w:ind w:left="708" w:right="4839" w:hanging="357"/>
        <w:spacing w:after="0" w:line="235" w:lineRule="auto"/>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product design to our specifications including integration of third party intellectual property;</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photomask design and third party manufacturing;</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silicon prototyping;</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assembly and test;</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validation and qualification; and</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production.</w:t>
      </w:r>
    </w:p>
    <w:p>
      <w:pPr>
        <w:spacing w:after="0" w:line="13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The primary customers of our foundry services are fabless semiconductor companies and IDMs. A substantial portion of our product sales are made pursuant to long-term contracts with our customers, under which we have agreed to reserve manufacturing capacity at our production facilities for such customers. Our customers include many industry leaders, some of our shareholders and a number of Taiwanese companies that preferred our solution to the solutions that were offered locally. During the year ended December 31, 2007, we had seven significant customers who contributed 29%, 13%, 11%, 7%, 5%, 5% and 5% of our revenues, respectively. In 2006, we had seven significant customers who contributed 23%, 11%, 10%, 9%, 6%, 5% and 5%of our revenues, respectively.</w:t>
      </w:r>
    </w:p>
    <w:p>
      <w:pPr>
        <w:spacing w:after="0" w:line="131" w:lineRule="exact"/>
        <w:rPr>
          <w:sz w:val="20"/>
          <w:szCs w:val="20"/>
          <w:color w:val="auto"/>
        </w:rPr>
      </w:pPr>
    </w:p>
    <w:p>
      <w:pPr>
        <w:ind w:left="8" w:right="4699" w:firstLine="351"/>
        <w:spacing w:after="0" w:line="237" w:lineRule="auto"/>
        <w:rPr>
          <w:sz w:val="20"/>
          <w:szCs w:val="20"/>
          <w:color w:val="auto"/>
        </w:rPr>
      </w:pPr>
      <w:r>
        <w:rPr>
          <w:rFonts w:ascii="Courier New" w:cs="Courier New" w:eastAsia="Courier New" w:hAnsi="Courier New"/>
          <w:sz w:val="12"/>
          <w:szCs w:val="12"/>
          <w:color w:val="auto"/>
        </w:rPr>
        <w:t>In addition to further developing our customer base, we have also made a concentrated effort to maintain the geographical diversity of our sales. The percentage of our sales from customers located outside the United States was 36%, 31 and 25% in the years ended December 31, 2005, 2006 and 2007, respectively. We believe that although most of our sales are from US-based customers a substantial portion of our sales will continue to come from customers located outside the United States. The following table sets forth the geographical distribution, by percentage, of our net sales for the periods indicated:</w:t>
      </w:r>
    </w:p>
    <w:p>
      <w:pPr>
        <w:spacing w:after="0" w:line="274"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- 25 -</w:t>
            </w:r>
          </w:p>
        </w:tc>
        <w:tc>
          <w:tcPr>
            <w:tcW w:w="960" w:type="dxa"/>
            <w:vAlign w:val="bottom"/>
          </w:tcPr>
          <w:p>
            <w:pPr>
              <w:spacing w:after="0"/>
              <w:rPr>
                <w:sz w:val="11"/>
                <w:szCs w:val="11"/>
                <w:color w:val="auto"/>
              </w:rPr>
            </w:pPr>
          </w:p>
        </w:tc>
      </w:tr>
      <w:tr>
        <w:trPr>
          <w:trHeight w:val="522"/>
        </w:trPr>
        <w:tc>
          <w:tcPr>
            <w:tcW w:w="1260" w:type="dxa"/>
            <w:vAlign w:val="bottom"/>
          </w:tcPr>
          <w:p>
            <w:pPr>
              <w:spacing w:after="0"/>
              <w:rPr>
                <w:sz w:val="24"/>
                <w:szCs w:val="24"/>
                <w:color w:val="auto"/>
              </w:rPr>
            </w:pPr>
          </w:p>
        </w:tc>
        <w:tc>
          <w:tcPr>
            <w:tcW w:w="3020" w:type="dxa"/>
            <w:vAlign w:val="bottom"/>
            <w:gridSpan w:val="3"/>
          </w:tcPr>
          <w:p>
            <w:pPr>
              <w:jc w:val="right"/>
              <w:ind w:right="581"/>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1260" w:type="dxa"/>
            <w:vAlign w:val="bottom"/>
          </w:tcPr>
          <w:p>
            <w:pPr>
              <w:spacing w:after="0"/>
              <w:rPr>
                <w:sz w:val="11"/>
                <w:szCs w:val="11"/>
                <w:color w:val="auto"/>
              </w:rPr>
            </w:pPr>
          </w:p>
        </w:tc>
        <w:tc>
          <w:tcPr>
            <w:tcW w:w="302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135"/>
        </w:trPr>
        <w:tc>
          <w:tcPr>
            <w:tcW w:w="1260" w:type="dxa"/>
            <w:vAlign w:val="bottom"/>
          </w:tcPr>
          <w:p>
            <w:pPr>
              <w:spacing w:after="0"/>
              <w:rPr>
                <w:sz w:val="11"/>
                <w:szCs w:val="11"/>
                <w:color w:val="auto"/>
              </w:rPr>
            </w:pPr>
          </w:p>
        </w:tc>
        <w:tc>
          <w:tcPr>
            <w:tcW w:w="10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2007</w:t>
            </w:r>
          </w:p>
        </w:tc>
        <w:tc>
          <w:tcPr>
            <w:tcW w:w="9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2006</w:t>
            </w:r>
          </w:p>
        </w:tc>
        <w:tc>
          <w:tcPr>
            <w:tcW w:w="9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1260" w:type="dxa"/>
            <w:vAlign w:val="bottom"/>
          </w:tcPr>
          <w:p>
            <w:pPr>
              <w:spacing w:after="0"/>
              <w:rPr>
                <w:sz w:val="11"/>
                <w:szCs w:val="11"/>
                <w:color w:val="auto"/>
              </w:rPr>
            </w:pP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270"/>
        </w:trPr>
        <w:tc>
          <w:tcPr>
            <w:tcW w:w="1260" w:type="dxa"/>
            <w:vAlign w:val="bottom"/>
          </w:tcPr>
          <w:p>
            <w:pPr>
              <w:spacing w:after="0"/>
              <w:rPr>
                <w:sz w:val="20"/>
                <w:szCs w:val="20"/>
                <w:color w:val="auto"/>
              </w:rPr>
            </w:pPr>
            <w:r>
              <w:rPr>
                <w:rFonts w:ascii="Courier New" w:cs="Courier New" w:eastAsia="Courier New" w:hAnsi="Courier New"/>
                <w:sz w:val="12"/>
                <w:szCs w:val="12"/>
                <w:color w:val="auto"/>
              </w:rPr>
              <w:t>United States</w:t>
            </w:r>
          </w:p>
        </w:tc>
        <w:tc>
          <w:tcPr>
            <w:tcW w:w="10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75%</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69%</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64%</w:t>
            </w:r>
          </w:p>
        </w:tc>
      </w:tr>
      <w:tr>
        <w:trPr>
          <w:trHeight w:val="135"/>
        </w:trPr>
        <w:tc>
          <w:tcPr>
            <w:tcW w:w="1260" w:type="dxa"/>
            <w:vAlign w:val="bottom"/>
          </w:tcPr>
          <w:p>
            <w:pPr>
              <w:spacing w:after="0"/>
              <w:rPr>
                <w:sz w:val="20"/>
                <w:szCs w:val="20"/>
                <w:color w:val="auto"/>
              </w:rPr>
            </w:pPr>
            <w:r>
              <w:rPr>
                <w:rFonts w:ascii="Courier New" w:cs="Courier New" w:eastAsia="Courier New" w:hAnsi="Courier New"/>
                <w:sz w:val="12"/>
                <w:szCs w:val="12"/>
                <w:color w:val="auto"/>
              </w:rPr>
              <w:t>Israel</w:t>
            </w:r>
          </w:p>
        </w:tc>
        <w:tc>
          <w:tcPr>
            <w:tcW w:w="10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w:t>
            </w:r>
          </w:p>
        </w:tc>
      </w:tr>
      <w:tr>
        <w:trPr>
          <w:trHeight w:val="135"/>
        </w:trPr>
        <w:tc>
          <w:tcPr>
            <w:tcW w:w="1260" w:type="dxa"/>
            <w:vAlign w:val="bottom"/>
          </w:tcPr>
          <w:p>
            <w:pPr>
              <w:spacing w:after="0"/>
              <w:rPr>
                <w:sz w:val="20"/>
                <w:szCs w:val="20"/>
                <w:color w:val="auto"/>
              </w:rPr>
            </w:pPr>
            <w:r>
              <w:rPr>
                <w:rFonts w:ascii="Courier New" w:cs="Courier New" w:eastAsia="Courier New" w:hAnsi="Courier New"/>
                <w:sz w:val="12"/>
                <w:szCs w:val="12"/>
                <w:color w:val="auto"/>
              </w:rPr>
              <w:t>Asia-Pacific</w:t>
            </w:r>
          </w:p>
        </w:tc>
        <w:tc>
          <w:tcPr>
            <w:tcW w:w="10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16%</w:t>
            </w:r>
          </w:p>
        </w:tc>
        <w:tc>
          <w:tcPr>
            <w:tcW w:w="960" w:type="dxa"/>
            <w:vAlign w:val="bottom"/>
          </w:tcPr>
          <w:p>
            <w:pPr>
              <w:jc w:val="right"/>
              <w:spacing w:after="0"/>
              <w:rPr>
                <w:sz w:val="20"/>
                <w:szCs w:val="20"/>
                <w:color w:val="auto"/>
              </w:rPr>
            </w:pPr>
            <w:r>
              <w:rPr>
                <w:rFonts w:ascii="Courier New" w:cs="Courier New" w:eastAsia="Courier New" w:hAnsi="Courier New"/>
                <w:sz w:val="12"/>
                <w:szCs w:val="12"/>
                <w:color w:val="auto"/>
              </w:rPr>
              <w:t>20%(*)</w:t>
            </w:r>
          </w:p>
        </w:tc>
      </w:tr>
      <w:tr>
        <w:trPr>
          <w:trHeight w:val="135"/>
        </w:trPr>
        <w:tc>
          <w:tcPr>
            <w:tcW w:w="1260" w:type="dxa"/>
            <w:vAlign w:val="bottom"/>
          </w:tcPr>
          <w:p>
            <w:pPr>
              <w:spacing w:after="0"/>
              <w:rPr>
                <w:sz w:val="20"/>
                <w:szCs w:val="20"/>
                <w:color w:val="auto"/>
              </w:rPr>
            </w:pPr>
            <w:r>
              <w:rPr>
                <w:rFonts w:ascii="Courier New" w:cs="Courier New" w:eastAsia="Courier New" w:hAnsi="Courier New"/>
                <w:sz w:val="12"/>
                <w:szCs w:val="12"/>
                <w:color w:val="auto"/>
              </w:rPr>
              <w:t>Europe</w:t>
            </w:r>
          </w:p>
        </w:tc>
        <w:tc>
          <w:tcPr>
            <w:tcW w:w="10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8%</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8%</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w:t>
            </w:r>
          </w:p>
        </w:tc>
      </w:tr>
      <w:tr>
        <w:trPr>
          <w:trHeight w:val="135"/>
        </w:trPr>
        <w:tc>
          <w:tcPr>
            <w:tcW w:w="1260" w:type="dxa"/>
            <w:vAlign w:val="bottom"/>
          </w:tcPr>
          <w:p>
            <w:pPr>
              <w:spacing w:after="0"/>
              <w:rPr>
                <w:sz w:val="11"/>
                <w:szCs w:val="11"/>
                <w:color w:val="auto"/>
              </w:rPr>
            </w:pP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135"/>
        </w:trPr>
        <w:tc>
          <w:tcPr>
            <w:tcW w:w="126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10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100%</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100%</w:t>
            </w:r>
          </w:p>
        </w:tc>
        <w:tc>
          <w:tcPr>
            <w:tcW w:w="9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100%</w:t>
            </w:r>
          </w:p>
        </w:tc>
      </w:tr>
      <w:tr>
        <w:trPr>
          <w:trHeight w:val="135"/>
        </w:trPr>
        <w:tc>
          <w:tcPr>
            <w:tcW w:w="1260" w:type="dxa"/>
            <w:vAlign w:val="bottom"/>
          </w:tcPr>
          <w:p>
            <w:pPr>
              <w:spacing w:after="0"/>
              <w:rPr>
                <w:sz w:val="11"/>
                <w:szCs w:val="11"/>
                <w:color w:val="auto"/>
              </w:rPr>
            </w:pPr>
          </w:p>
        </w:tc>
        <w:tc>
          <w:tcPr>
            <w:tcW w:w="10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41"/>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8" w:right="5259" w:hanging="8"/>
        <w:spacing w:after="0" w:line="273" w:lineRule="auto"/>
        <w:tabs>
          <w:tab w:leader="none" w:pos="289" w:val="left"/>
        </w:tabs>
        <w:numPr>
          <w:ilvl w:val="0"/>
          <w:numId w:val="12"/>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Including payments made to us in connection with our May 2002 joint development agreement for 0.18-micron embedded MICROFLASH technology.</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COMPETITION</w:t>
      </w:r>
    </w:p>
    <w:p>
      <w:pPr>
        <w:spacing w:after="0" w:line="139"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The global semiconductor foundry industry is highly competitive. The major independent dedicated foundries include Taiwan Semiconductor Manufacturing Corporation, United Microelectronics Corporation, Chartered Semiconductor Manufacturing Ltd. and Semiconductor Manufacturing International Corp.; emerging and existing Chinese, Korean and Malaysian foundries, including DongBu, He Jien Technology, ASMC, MagnaChip, CSMC, Grace, HHNEC, and Silterra. In addition, there are IDMs and end-product manufacturers that produce ICs for their own use and/or allocate a portion of their manufacturing capacity to foundry operations. Most of the foundries with which we compete are located in Asia-Pacific and benefit from their close proximity to other companies involved in the design and manufacture of ICs. We believe that the principal elements of competition in the wafer foundry market are:</w:t>
      </w:r>
    </w:p>
    <w:p>
      <w:pPr>
        <w:spacing w:after="0" w:line="134" w:lineRule="exact"/>
        <w:rPr>
          <w:sz w:val="20"/>
          <w:szCs w:val="20"/>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technical competence;</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production quality;</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time-to-market;</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device and end-product price;</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available capacity;</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device yields;</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 and customer support services;</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access to intellectual property; and</w:t>
      </w:r>
    </w:p>
    <w:p>
      <w:pPr>
        <w:spacing w:after="0" w:line="134" w:lineRule="exact"/>
        <w:rPr>
          <w:rFonts w:ascii="Courier New" w:cs="Courier New" w:eastAsia="Courier New" w:hAnsi="Courier New"/>
          <w:sz w:val="12"/>
          <w:szCs w:val="12"/>
          <w:color w:val="auto"/>
        </w:rPr>
      </w:pPr>
    </w:p>
    <w:p>
      <w:pPr>
        <w:ind w:left="708" w:hanging="357"/>
        <w:spacing w:after="0"/>
        <w:tabs>
          <w:tab w:leader="none" w:pos="708" w:val="left"/>
        </w:tabs>
        <w:numPr>
          <w:ilvl w:val="0"/>
          <w:numId w:val="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research and development capabilities.</w:t>
      </w:r>
    </w:p>
    <w:p>
      <w:pPr>
        <w:spacing w:after="0" w:line="139" w:lineRule="exact"/>
        <w:rPr>
          <w:sz w:val="20"/>
          <w:szCs w:val="20"/>
          <w:color w:val="auto"/>
        </w:rPr>
      </w:pPr>
    </w:p>
    <w:p>
      <w:pPr>
        <w:ind w:left="8" w:right="5039" w:firstLine="351"/>
        <w:spacing w:after="0" w:line="264" w:lineRule="auto"/>
        <w:rPr>
          <w:sz w:val="20"/>
          <w:szCs w:val="20"/>
          <w:color w:val="auto"/>
        </w:rPr>
      </w:pPr>
      <w:r>
        <w:rPr>
          <w:rFonts w:ascii="Courier New" w:cs="Courier New" w:eastAsia="Courier New" w:hAnsi="Courier New"/>
          <w:sz w:val="11"/>
          <w:szCs w:val="11"/>
          <w:color w:val="auto"/>
        </w:rPr>
        <w:t>Many of our competitors have greater manufacturing capacity, multiple manufacturing facilities, more advanced technological capabilities, a more diverse and established customer base, greater financial, marketing, distribution and other resources and a better cost structure than ours.</w:t>
      </w:r>
    </w:p>
    <w:p>
      <w:pPr>
        <w:spacing w:after="0" w:line="127" w:lineRule="exact"/>
        <w:rPr>
          <w:sz w:val="20"/>
          <w:szCs w:val="20"/>
          <w:color w:val="auto"/>
        </w:rPr>
      </w:pPr>
    </w:p>
    <w:p>
      <w:pPr>
        <w:ind w:left="8" w:right="4839" w:firstLine="351"/>
        <w:spacing w:after="0" w:line="237" w:lineRule="auto"/>
        <w:rPr>
          <w:sz w:val="20"/>
          <w:szCs w:val="20"/>
          <w:color w:val="auto"/>
        </w:rPr>
      </w:pPr>
      <w:r>
        <w:rPr>
          <w:rFonts w:ascii="Courier New" w:cs="Courier New" w:eastAsia="Courier New" w:hAnsi="Courier New"/>
          <w:sz w:val="12"/>
          <w:szCs w:val="12"/>
          <w:color w:val="auto"/>
        </w:rPr>
        <w:t>We seek to compete primarily on the basis of technology, production quality, device yields and services involving design, engineering support and manufacturing. We believe we have a differentiated service offering and track record in specialized markets, which enables us to effectively compete with larger IC manufacturers.</w:t>
      </w:r>
    </w:p>
    <w:p>
      <w:pPr>
        <w:spacing w:after="0" w:line="270"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- 26 -</w:t>
      </w:r>
    </w:p>
    <w:p>
      <w:pPr>
        <w:spacing w:after="0" w:line="38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WAFER FABRICATION SERVICES</w:t>
      </w:r>
    </w:p>
    <w:p>
      <w:pPr>
        <w:spacing w:after="0" w:line="139" w:lineRule="exact"/>
        <w:rPr>
          <w:sz w:val="20"/>
          <w:szCs w:val="20"/>
          <w:color w:val="auto"/>
        </w:rPr>
      </w:pPr>
    </w:p>
    <w:p>
      <w:pPr>
        <w:ind w:left="8" w:right="4839" w:firstLine="351"/>
        <w:spacing w:after="0" w:line="266" w:lineRule="auto"/>
        <w:rPr>
          <w:sz w:val="20"/>
          <w:szCs w:val="20"/>
          <w:color w:val="auto"/>
        </w:rPr>
      </w:pPr>
      <w:r>
        <w:rPr>
          <w:rFonts w:ascii="Courier New" w:cs="Courier New" w:eastAsia="Courier New" w:hAnsi="Courier New"/>
          <w:sz w:val="11"/>
          <w:szCs w:val="11"/>
          <w:color w:val="auto"/>
        </w:rPr>
        <w:t>Wafer fabrication is an intricate process that consists of constructing layers of conducting and insulating materials on raw wafers in intricate patterns that give the IC its function. IC manufacturing requires hundreds of</w:t>
      </w:r>
    </w:p>
    <w:p>
      <w:pPr>
        <w:sectPr>
          <w:pgSz w:w="11900" w:h="16838" w:orient="portrait"/>
          <w:cols w:equalWidth="0" w:num="1">
            <w:col w:w="10247"/>
          </w:cols>
          <w:pgMar w:left="212" w:top="141" w:right="1440" w:bottom="0" w:gutter="0" w:footer="0" w:header="0"/>
        </w:sectPr>
      </w:pPr>
    </w:p>
    <w:bookmarkStart w:id="16" w:name="page17"/>
    <w:bookmarkEnd w:id="16"/>
    <w:p>
      <w:pPr>
        <w:ind w:right="4619"/>
        <w:spacing w:after="0" w:line="236" w:lineRule="auto"/>
        <w:rPr>
          <w:sz w:val="20"/>
          <w:szCs w:val="20"/>
          <w:color w:val="auto"/>
        </w:rPr>
      </w:pPr>
      <w:r>
        <w:rPr>
          <w:rFonts w:ascii="Courier New" w:cs="Courier New" w:eastAsia="Courier New" w:hAnsi="Courier New"/>
          <w:sz w:val="12"/>
          <w:szCs w:val="12"/>
          <w:color w:val="auto"/>
        </w:rPr>
        <w:t>interrelated steps performed on different types of equipment, and each step must be completed with extreme accuracy for finished ICs to work properly. The process can be summarized as follows:</w:t>
      </w:r>
    </w:p>
    <w:p>
      <w:pPr>
        <w:spacing w:after="0" w:line="139" w:lineRule="exact"/>
        <w:rPr>
          <w:sz w:val="20"/>
          <w:szCs w:val="20"/>
          <w:color w:val="auto"/>
        </w:rPr>
      </w:pPr>
    </w:p>
    <w:p>
      <w:pPr>
        <w:ind w:right="4699" w:firstLine="351"/>
        <w:spacing w:after="0" w:line="262" w:lineRule="auto"/>
        <w:rPr>
          <w:sz w:val="20"/>
          <w:szCs w:val="20"/>
          <w:color w:val="auto"/>
        </w:rPr>
      </w:pPr>
      <w:r>
        <w:rPr>
          <w:rFonts w:ascii="Courier New" w:cs="Courier New" w:eastAsia="Courier New" w:hAnsi="Courier New"/>
          <w:sz w:val="11"/>
          <w:szCs w:val="11"/>
          <w:color w:val="auto"/>
        </w:rPr>
        <w:t>CIRCUIT DESIGN. IC production begins when a fabless IC company or IDM designs the layout of a device's components and designates the interconnections between each component. The result is a pattern of components and connections that defines the function of the IC. In highly complex circuits, there may be more than 35 layers of electronic patterns. After the IC design is complete, we provide these companies with IC manufacturing services.</w:t>
      </w:r>
    </w:p>
    <w:p>
      <w:pPr>
        <w:spacing w:after="0" w:line="130"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MASK MAKING. The design for each layer of a semiconductor wafer is imprinted on a photographic negative, called a reticle or mask. The mask is the blueprint for each specific layer of the semiconductor wafer.</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IC MANUFACTURING. Transistors and other circuit elements comprising an IC are formed by repeating a series of processes in which photosensitive material is deposited on the 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probe, which involves electronically inspecting each individual IC in order to identify those that are operable for assembly.</w:t>
      </w:r>
    </w:p>
    <w:p>
      <w:pPr>
        <w:spacing w:after="0" w:line="143"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ASSEMBLY AND TEST. After IC manufacture, the wafers are transferred to assembly and test facilities. In the assembly process, each wafer is cut into dies, or individual semiconductors, and tested. Defective dies are discarded, while good dies are packaged and assembled. Assembly protects the IC, facilitates its integration into electronic systems and enables the dissipation of heat or cold. Following assembly, the functionality, voltage, current and timing of each IC is tested. After testing, the completed IC is shipped to the IC supplier or directly to its final destination.</w:t>
      </w: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PROCUREMENT AND SOURCING</w:t>
      </w:r>
    </w:p>
    <w:p>
      <w:pPr>
        <w:spacing w:after="0" w:line="139"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Our manufacturing processes use many raw materials, including silicon wafers, chemicals, gases and various metals. These raw materials generally are available from several suppliers. In many instances, we purchase raw materials from a single source. In connection with our technology advancement plans, we expect to continue to make purchases of semiconductor manufacturing equipment, mainly for Fab 2.</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RESEARCH AND DEVELOPMENT</w:t>
      </w:r>
    </w:p>
    <w:p>
      <w:pPr>
        <w:spacing w:after="0" w:line="139" w:lineRule="exact"/>
        <w:rPr>
          <w:sz w:val="20"/>
          <w:szCs w:val="20"/>
          <w:color w:val="auto"/>
        </w:rPr>
      </w:pPr>
    </w:p>
    <w:p>
      <w:pPr>
        <w:ind w:right="4699" w:firstLine="351"/>
        <w:spacing w:after="0" w:line="262" w:lineRule="auto"/>
        <w:rPr>
          <w:sz w:val="20"/>
          <w:szCs w:val="20"/>
          <w:color w:val="auto"/>
        </w:rPr>
      </w:pPr>
      <w:r>
        <w:rPr>
          <w:rFonts w:ascii="Courier New" w:cs="Courier New" w:eastAsia="Courier New" w:hAnsi="Courier New"/>
          <w:sz w:val="11"/>
          <w:szCs w:val="11"/>
          <w:color w:val="auto"/>
        </w:rPr>
        <w:t>Our future success depends, to a large degree, on our ability to continue to successfully develop and introduce to production advanced process technologies that meet our customers' needs. Our process development strategy relies on CMOS process technologies that we primarily license and transfer from third parties. We also develop these technologies on our own, at our own initiative, our customers' request or in cooperation with our customers.</w:t>
      </w:r>
    </w:p>
    <w:p>
      <w:pPr>
        <w:spacing w:after="0" w:line="13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From time to time, at a customer's request, we develop a specialty process module, which we use for such customer on an exclusive basis, and, if permitted under our agreements with such customer, we then add it to our process offering. Such developments are very common in all of our special process technologies noted above. In 2004, in response to market demand, we introduced a 0.16-micron optical shrink solution which represents a 10% linear shrink from our existing 0.18-micron offering while utilizing virtually the same 0.18-micron libraries and IP. The shrink allows a 15 to 20 percent die size reduction and a potentially higher wafer ASP and lower die cost. Applications include industry standard CMOS logic and some mixed-signal technologies. This 0.16-micron technology is currently in production.</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- 27 -</w:t>
      </w:r>
    </w:p>
    <w:p>
      <w:pPr>
        <w:spacing w:after="0" w:line="39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Our research and development activities have related primarily to our process development efforts and have been sponsored and funded by us with some participation by the Israeli Office of the Chief Scientist, or OCS. Accordingly, we are subject to restrictions set forth in Israeli law which limit the ability of a company to manufacture products or to transfer technologies outside of Israel, if such products or technologies were developed with OCS funding. Research and development expenses for the years ended December 31, 2005, 2006 and 2007 were $16.0 million, $15.0 million and $13.8 million, net of government participation of $1.0 million, $1.9 million and $2.61 million, respectively. As of May 31, 2008, we employed 146 professionals in our research and development department, 29 of whom have PhDs. In addition to our research and development department located at our facilities in Migdal Haemek, we maintain a design center in Netanya, Israel.</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PROPRIETARY RIGHTS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INTELLECTUAL PROPERTY AND LICENSING AGREEMENTS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success depends in part on our ability to obtain patents, licenses and other intellectual property rights covering our production processes. To that end, we have acquired certain patents and patent licenses and intend to continue to seek patents on our production processes. As of May 31, 2008, we held 67 patents. We have entered into various patent licenses and cross-licenses with technology companies including Toshiba, Freescale, Synopsys, ARM, Chipidea Microelectronics, Virage Logic, Impinj and others. We may choose to renew our present licenses or obtain additional technology licenses in the future. There can be no assurance that any such licenses could be obtained on commercially reasonable terms.</w:t>
      </w:r>
    </w:p>
    <w:p>
      <w:pPr>
        <w:spacing w:after="0" w:line="144"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constantly seek to strengthen our technological expertise through relationships with technology companies and silicon suppliers. We seek to expand our core strengths in CMOS image sensors, embedded flash and mixed-signal technologies by combining our proprietary technology with those of other technology companies. A main component of our process development strategy is to acquire licenses for standard CMOS technologies and cell libraries from leading designers, such as Freescale and Toshiba, and further develop specialized processes through our internal design teams. The licensing of these technologies has enormously reduced our internal development costs.</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CMOS PROCESS TECHNOLOGY PLATFORM</w:t>
      </w:r>
    </w:p>
    <w:p>
      <w:pPr>
        <w:spacing w:after="0" w:line="139" w:lineRule="exact"/>
        <w:rPr>
          <w:sz w:val="20"/>
          <w:szCs w:val="20"/>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We have licensed an array of process technologies through the following arrangements: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TOSHIBA. In April 2000, we entered into a technology transfer agreement with Toshiba, pursuant to which Toshiba has transferred to us certain advanced CMOS technologies for use in Fab 2. In exchange for certain license and technology transfer fees and royalties, Toshiba has provided us with recipes, know-how and patent licenses and has trained a group of our engineers and managers. Subject to prior termination for cause by Toshiba, our licenses under the agreement with Toshiba are perpetual. Based on Toshiba's 0.18-micron CMOS process technology, we have internally developed an enhanced industry compatible version of the process technology.</w:t>
      </w:r>
    </w:p>
    <w:p>
      <w:pPr>
        <w:sectPr>
          <w:pgSz w:w="11900" w:h="16838" w:orient="portrait"/>
          <w:cols w:equalWidth="0" w:num="1">
            <w:col w:w="10239"/>
          </w:cols>
          <w:pgMar w:left="220" w:top="141" w:right="1440" w:bottom="0" w:gutter="0" w:footer="0" w:header="0"/>
        </w:sectPr>
      </w:pPr>
    </w:p>
    <w:bookmarkStart w:id="17" w:name="page18"/>
    <w:bookmarkEnd w:id="17"/>
    <w:p>
      <w:pPr>
        <w:ind w:left="8" w:right="4619" w:firstLine="351"/>
        <w:spacing w:after="0" w:line="237" w:lineRule="auto"/>
        <w:rPr>
          <w:sz w:val="20"/>
          <w:szCs w:val="20"/>
          <w:color w:val="auto"/>
        </w:rPr>
      </w:pPr>
      <w:r>
        <w:rPr>
          <w:rFonts w:ascii="Courier New" w:cs="Courier New" w:eastAsia="Courier New" w:hAnsi="Courier New"/>
          <w:sz w:val="12"/>
          <w:szCs w:val="12"/>
          <w:color w:val="auto"/>
        </w:rPr>
        <w:t>MOTOROLA (NOW FREESCALE). In September 2002, we entered into a technology transfer and development agreement with Motorola, pursuant to which Motorola transferred to us its 0.13-micron HiP MOS7 CMOS process technology for Fab 2 as well as co-developed with us an industry-standard compatible version of the process technology. Subject to prior termination for cause by Motorola, our licenses under the technology transfer agreement with Motorola are perpetual. In August 2004, Motorola assigned all of its rights and obligations under the aforementioned agreement to Freescale.</w:t>
      </w:r>
    </w:p>
    <w:p>
      <w:pPr>
        <w:spacing w:after="0" w:line="273"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- 28 -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FOUNDATION IP BLOCKS</w:t>
      </w:r>
    </w:p>
    <w:p>
      <w:pPr>
        <w:spacing w:after="0" w:line="139" w:lineRule="exact"/>
        <w:rPr>
          <w:sz w:val="20"/>
          <w:szCs w:val="20"/>
          <w:color w:val="auto"/>
        </w:rPr>
      </w:pPr>
    </w:p>
    <w:p>
      <w:pPr>
        <w:ind w:left="8" w:right="4699" w:firstLine="351"/>
        <w:spacing w:after="0" w:line="260" w:lineRule="auto"/>
        <w:rPr>
          <w:sz w:val="20"/>
          <w:szCs w:val="20"/>
          <w:color w:val="auto"/>
        </w:rPr>
      </w:pPr>
      <w:r>
        <w:rPr>
          <w:rFonts w:ascii="Courier New" w:cs="Courier New" w:eastAsia="Courier New" w:hAnsi="Courier New"/>
          <w:sz w:val="11"/>
          <w:szCs w:val="11"/>
          <w:color w:val="auto"/>
        </w:rPr>
        <w:t>To better serve our customers design needs using advanced CMOS processes and mixed-signal, we have entered into a series of agreements with leading providers of physical design libraries, mixed-signal and non volatile memory design components. These components are basic design building blocks, such as standard cells, interface input-output (I/O) cells, software compilers for the generation of on-chip embedded memories arrays, mixed-signal and non-volatile memory design blocks. To achieve optimal performance, all of these components must be customized to work with our manufacturing process. These components are used in most of our customers' chip designs. SYNOPSYS. In June 2001, we entered into an agreement with Synopsys (formerly, Avant!) under which Synopsys developed libraries for our 0.18-micron process technology. Multiple customers use the Synopsys libraries in producing their ICs at our company. In 2004, we entered into a set of comprehensive technology transfer and license agreements with Synopsys that provide us with broad rights to use Synopsys' library technology in multiple process technology generations including 0.18 micron and 0.13 micron. Under these agreements, we were given the right to develop, customize, validate and characterize libraries based on Synopsys' library technology and to distribute such libraries . These agreements place us in a superior position of having in-house capability to serve our customers' needs.Certain parts of the 2004 license agreementsrelating to support services provided by Synopsys were terminated according to an agreement signed between the parties in July 2007.</w:t>
      </w:r>
    </w:p>
    <w:p>
      <w:pPr>
        <w:spacing w:after="0" w:line="273" w:lineRule="exact"/>
        <w:rPr>
          <w:sz w:val="20"/>
          <w:szCs w:val="20"/>
          <w:color w:val="auto"/>
        </w:rPr>
      </w:pPr>
    </w:p>
    <w:p>
      <w:pPr>
        <w:ind w:left="8" w:right="4699" w:firstLine="351"/>
        <w:spacing w:after="0" w:line="260" w:lineRule="auto"/>
        <w:rPr>
          <w:sz w:val="20"/>
          <w:szCs w:val="20"/>
          <w:color w:val="auto"/>
        </w:rPr>
      </w:pPr>
      <w:r>
        <w:rPr>
          <w:rFonts w:ascii="Courier New" w:cs="Courier New" w:eastAsia="Courier New" w:hAnsi="Courier New"/>
          <w:sz w:val="11"/>
          <w:szCs w:val="11"/>
          <w:color w:val="auto"/>
        </w:rPr>
        <w:t>ARM LIMITED. In 2002 and subsequently in 2004 and 2006, we entered into license agreements with ARM Limited (formerly, Artisan Components and ARM Inc.) under which we received a license to a suite of library products for our</w:t>
      </w:r>
    </w:p>
    <w:p>
      <w:pPr>
        <w:ind w:left="8" w:right="4699"/>
        <w:spacing w:after="0" w:line="237" w:lineRule="auto"/>
        <w:rPr>
          <w:sz w:val="20"/>
          <w:szCs w:val="20"/>
          <w:color w:val="auto"/>
        </w:rPr>
      </w:pPr>
      <w:r>
        <w:rPr>
          <w:rFonts w:ascii="Courier New" w:cs="Courier New" w:eastAsia="Courier New" w:hAnsi="Courier New"/>
          <w:sz w:val="12"/>
          <w:szCs w:val="12"/>
          <w:color w:val="auto"/>
        </w:rPr>
        <w:t>0.18-micron and 0.13-micron process technologies and ARM licenses its libraries to our customers free of charge. Multiple customers are using the ARM libraries in their chip design for manufacturing at our company. The ARM libraries include, among others, standard cells, general purpose and specialty input-output cells and memory generators.</w:t>
      </w:r>
    </w:p>
    <w:p>
      <w:pPr>
        <w:spacing w:after="0" w:line="139"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VIRAGE LOGIC. In 2002 and subsequently in 2004 and in 2006, we entered into license agreements with Virage Logic under which we received a license to a suite of library products for our 0.18-micron and 0.13-micron process technologies, respectively. These library products are available for licensing by our customers, and with respect to most of the 0.13-micron library products, free of a license charge. Virage offers a variety of SRAM and ROM memory compilers on both process technologies, and also offers standard cells, general purpose and specialty input-output cells libraries in the 0.13-micron technology. Presently, multiple customers' products that use Virage Logic's memory products are in production at Fab 2. In addition, our license agreements with Virage Logic from 2002 and 2006 has also introduced Virage Logic's patented Nonvolatile Electrically Alterable embedded memories for production on our</w:t>
      </w:r>
    </w:p>
    <w:p>
      <w:pPr>
        <w:spacing w:after="0" w:line="1" w:lineRule="exact"/>
        <w:rPr>
          <w:sz w:val="20"/>
          <w:szCs w:val="20"/>
          <w:color w:val="auto"/>
        </w:rPr>
      </w:pPr>
    </w:p>
    <w:p>
      <w:pPr>
        <w:ind w:left="8" w:right="4619"/>
        <w:spacing w:after="0" w:line="237" w:lineRule="auto"/>
        <w:rPr>
          <w:sz w:val="20"/>
          <w:szCs w:val="20"/>
          <w:color w:val="auto"/>
        </w:rPr>
      </w:pPr>
      <w:r>
        <w:rPr>
          <w:rFonts w:ascii="Courier New" w:cs="Courier New" w:eastAsia="Courier New" w:hAnsi="Courier New"/>
          <w:sz w:val="12"/>
          <w:szCs w:val="12"/>
          <w:color w:val="auto"/>
        </w:rPr>
        <w:t>0.18-micron CMOS logic process. Currently, customers' products that use Virage Logic's non-volatile memory products are in production at Fab 2. We have selected and qualified these memories for our process to help our customers meet their application requirements for cost-effective embedded non-volatile memory for security, encryption, unique device identification, analog trimming, silicon repair and flexible program store.</w:t>
      </w:r>
    </w:p>
    <w:p>
      <w:pPr>
        <w:spacing w:after="0" w:line="140" w:lineRule="exact"/>
        <w:rPr>
          <w:sz w:val="20"/>
          <w:szCs w:val="20"/>
          <w:color w:val="auto"/>
        </w:rPr>
      </w:pPr>
    </w:p>
    <w:p>
      <w:pPr>
        <w:ind w:left="8" w:right="4699" w:firstLine="351"/>
        <w:spacing w:after="0" w:line="262" w:lineRule="auto"/>
        <w:rPr>
          <w:sz w:val="20"/>
          <w:szCs w:val="20"/>
          <w:color w:val="auto"/>
        </w:rPr>
      </w:pPr>
      <w:r>
        <w:rPr>
          <w:rFonts w:ascii="Courier New" w:cs="Courier New" w:eastAsia="Courier New" w:hAnsi="Courier New"/>
          <w:sz w:val="11"/>
          <w:szCs w:val="11"/>
          <w:color w:val="auto"/>
        </w:rPr>
        <w:t>CHIPIDEA MICROELECTRONICS. (TODAY MIPS TECHNOLOGIES, INC). In 2003 and subsequently in 2005 and 2006, we entered into a non-exclusive, perpetual, royalty-free license and design agreement with Chipidea Microelectronics. Further to this agreement, Chipidea has customized several of its mixed-signal design blocks for manufacturing on our 0.18-micron and 0.13-micron process technologies, such as USB 2.0 (Universal Serial Bus 2.0) and USB2.0 OTG (On The Go), which are currently being utilized by several of our customers.</w:t>
      </w:r>
    </w:p>
    <w:p>
      <w:pPr>
        <w:spacing w:after="0" w:line="25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- 29 -</w:t>
      </w:r>
    </w:p>
    <w:p>
      <w:pPr>
        <w:spacing w:after="0" w:line="391" w:lineRule="exact"/>
        <w:rPr>
          <w:sz w:val="20"/>
          <w:szCs w:val="20"/>
          <w:color w:val="auto"/>
        </w:rPr>
      </w:pPr>
    </w:p>
    <w:p>
      <w:pPr>
        <w:ind w:left="8" w:right="4699" w:firstLine="351"/>
        <w:spacing w:after="0" w:line="237" w:lineRule="auto"/>
        <w:rPr>
          <w:sz w:val="20"/>
          <w:szCs w:val="20"/>
          <w:color w:val="auto"/>
        </w:rPr>
      </w:pPr>
      <w:r>
        <w:rPr>
          <w:rFonts w:ascii="Courier New" w:cs="Courier New" w:eastAsia="Courier New" w:hAnsi="Courier New"/>
          <w:sz w:val="12"/>
          <w:szCs w:val="12"/>
          <w:color w:val="auto"/>
        </w:rPr>
        <w:t>IMPINJ INC. In 2005, we entered into a development and license agreement with Impinj Inc. under which Impinj is developing its AEON(R) non-volatile memory (NVM), in parallel architecture, based on its patented Self-Adaptive Silicon(R) technology, for production on our 0.13-micron CMOS logic process. We chose Impinj's cost-effective NVM to help our customers' products meet their application requirements for embedded non-volatile memories. Primary applications for Impinj's AEON parallel architecture include analog trimming, digital rights management and wireless controllers. In 2007, Impinj's AEON(R)/MTP Parallel Architecture NVM cores became available in our 0.13-micron logic process.</w:t>
      </w:r>
    </w:p>
    <w:p>
      <w:pPr>
        <w:spacing w:after="0" w:line="139"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IMAGE SENSOR TECHNOLOGIES</w:t>
      </w:r>
    </w:p>
    <w:p>
      <w:pPr>
        <w:spacing w:after="0" w:line="139" w:lineRule="exact"/>
        <w:rPr>
          <w:sz w:val="20"/>
          <w:szCs w:val="20"/>
          <w:color w:val="auto"/>
        </w:rPr>
      </w:pPr>
    </w:p>
    <w:p>
      <w:pPr>
        <w:ind w:left="8" w:right="4759" w:firstLine="351"/>
        <w:spacing w:after="0" w:line="236" w:lineRule="auto"/>
        <w:rPr>
          <w:sz w:val="20"/>
          <w:szCs w:val="20"/>
          <w:color w:val="auto"/>
        </w:rPr>
      </w:pPr>
      <w:r>
        <w:rPr>
          <w:rFonts w:ascii="Courier New" w:cs="Courier New" w:eastAsia="Courier New" w:hAnsi="Courier New"/>
          <w:sz w:val="12"/>
          <w:szCs w:val="12"/>
          <w:color w:val="auto"/>
        </w:rPr>
        <w:t>We developed, both independently and together with our customers, basic pixel intellectual property to be used by those customers in the manufacturing of our CMOS image sensor products.</w:t>
      </w:r>
    </w:p>
    <w:p>
      <w:pPr>
        <w:spacing w:after="0" w:line="135"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C. ORGANIZATIONAL STRUCTURE</w:t>
      </w:r>
    </w:p>
    <w:p>
      <w:pPr>
        <w:spacing w:after="0" w:line="139"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The legal and commercial name of our company is Tower Semiconductor Ltd. We were incorporated under the laws of the State of Israel in 1993. Tower Semiconductor USA, Inc. is a wholly-owned subsidiary incorporated in the United States.</w:t>
      </w:r>
    </w:p>
    <w:p>
      <w:pPr>
        <w:spacing w:after="0" w:line="141" w:lineRule="exact"/>
        <w:rPr>
          <w:sz w:val="20"/>
          <w:szCs w:val="20"/>
          <w:color w:val="auto"/>
        </w:rPr>
      </w:pPr>
    </w:p>
    <w:p>
      <w:pPr>
        <w:ind w:left="8" w:right="4699" w:firstLine="351"/>
        <w:spacing w:after="0" w:line="260" w:lineRule="auto"/>
        <w:rPr>
          <w:sz w:val="20"/>
          <w:szCs w:val="20"/>
          <w:color w:val="auto"/>
        </w:rPr>
      </w:pPr>
      <w:r>
        <w:rPr>
          <w:rFonts w:ascii="Courier New" w:cs="Courier New" w:eastAsia="Courier New" w:hAnsi="Courier New"/>
          <w:sz w:val="11"/>
          <w:szCs w:val="11"/>
          <w:color w:val="auto"/>
        </w:rPr>
        <w:t>On May 19, 2008 we entered into a definitive merger agreement with Jazz Technologies, Inc., a leader in Analog-Intensive Mixed Signal (AIMS) foundry solutions. The transaction is subject to closing conditions, which must all be met or waived (by the applicable party) in order for the transaction to be consummated. Under the terms of the agreement, upon the closing of the merger, Jazz will become our wholly-owned subsidiary and each outstanding share of Jazz common stock will be converted into the right to receive 1.8 Tower ordinary shares. We expect the transaction to close in the second half of 2008. See also</w:t>
      </w:r>
    </w:p>
    <w:p>
      <w:pPr>
        <w:spacing w:after="0" w:line="1" w:lineRule="exact"/>
        <w:rPr>
          <w:sz w:val="20"/>
          <w:szCs w:val="20"/>
          <w:color w:val="auto"/>
        </w:rPr>
      </w:pPr>
    </w:p>
    <w:p>
      <w:pPr>
        <w:ind w:left="148" w:hanging="148"/>
        <w:spacing w:after="0"/>
        <w:tabs>
          <w:tab w:leader="none" w:pos="148" w:val="left"/>
        </w:tabs>
        <w:numPr>
          <w:ilvl w:val="0"/>
          <w:numId w:val="14"/>
        </w:numPr>
        <w:rPr>
          <w:rFonts w:ascii="Courier New" w:cs="Courier New" w:eastAsia="Courier New" w:hAnsi="Courier New"/>
          <w:sz w:val="11"/>
          <w:szCs w:val="11"/>
          <w:color w:val="auto"/>
        </w:rPr>
      </w:pPr>
      <w:r>
        <w:rPr>
          <w:rFonts w:ascii="Courier New" w:cs="Courier New" w:eastAsia="Courier New" w:hAnsi="Courier New"/>
          <w:sz w:val="11"/>
          <w:szCs w:val="11"/>
          <w:color w:val="auto"/>
        </w:rPr>
        <w:t>- "item 4-information on the Company - A, history and development of the Company</w:t>
      </w:r>
    </w:p>
    <w:p>
      <w:pPr>
        <w:spacing w:after="0" w:line="6" w:lineRule="exact"/>
        <w:rPr>
          <w:rFonts w:ascii="Courier New" w:cs="Courier New" w:eastAsia="Courier New" w:hAnsi="Courier New"/>
          <w:sz w:val="11"/>
          <w:szCs w:val="11"/>
          <w:color w:val="auto"/>
        </w:rPr>
      </w:pPr>
    </w:p>
    <w:p>
      <w:pPr>
        <w:ind w:left="148" w:hanging="148"/>
        <w:spacing w:after="0"/>
        <w:tabs>
          <w:tab w:leader="none" w:pos="148" w:val="left"/>
        </w:tabs>
        <w:numPr>
          <w:ilvl w:val="0"/>
          <w:numId w:val="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 recent development."</w:t>
      </w:r>
    </w:p>
    <w:p>
      <w:pPr>
        <w:spacing w:after="0" w:line="133"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D. PROPERTY, PLANTS AND EQUIPMENT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MANUFACTURING FACILITIES</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FAB 1</w:t>
      </w:r>
    </w:p>
    <w:p>
      <w:pPr>
        <w:sectPr>
          <w:pgSz w:w="11900" w:h="16838" w:orient="portrait"/>
          <w:cols w:equalWidth="0" w:num="1">
            <w:col w:w="10247"/>
          </w:cols>
          <w:pgMar w:left="212" w:top="276" w:right="1440" w:bottom="0" w:gutter="0" w:footer="0" w:header="0"/>
        </w:sectPr>
      </w:pPr>
    </w:p>
    <w:bookmarkStart w:id="18" w:name="page19"/>
    <w:bookmarkEnd w:id="18"/>
    <w:p>
      <w:pPr>
        <w:ind w:right="4759" w:firstLine="351"/>
        <w:spacing w:after="0" w:line="236" w:lineRule="auto"/>
        <w:rPr>
          <w:sz w:val="20"/>
          <w:szCs w:val="20"/>
          <w:color w:val="auto"/>
        </w:rPr>
      </w:pPr>
      <w:r>
        <w:rPr>
          <w:rFonts w:ascii="Courier New" w:cs="Courier New" w:eastAsia="Courier New" w:hAnsi="Courier New"/>
          <w:sz w:val="12"/>
          <w:szCs w:val="12"/>
          <w:color w:val="auto"/>
        </w:rPr>
        <w:t>We acquired our Fab 1 facility from National Semiconductor in 1993, which had operated the facility since 1986. We occupy the facility pursuant to a long-term lease from the Israel Lands Authority that expires in 2032.</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Since we commenced manufacturing at Fab 1, we increased its manufacturing capacity from 5,000 wafers per month, using 1.25-micron and 1.0-micron processes, to approximately 16,000 wafers per month as of May 31, 2008, depending on process technology and product mix, using our 1.0 micron to 0.35-micron processes, including specialized processes. Fab 1 is also manufacturing products for Siliconix Incorporated and Siliconix Technology C.V under a long term foundry agreement that we entered into in May 2004 using process technology that Siliconix transferred to us. During the first quarter of 2008, the parties amended the foundry agreement to revise the terms of the purchase of trench products as well as transfer additional differentiated product platforms to Tower for manufacturing.</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- 30 -</w:t>
      </w:r>
    </w:p>
    <w:p>
      <w:pPr>
        <w:spacing w:after="0" w:line="391"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Our exact capacity is variable and depends on the combination of the processes being used and the product mix hence, it may be significantly lower at certain times as a result of certain of our combinations. In general, our ability to increase our manufacturing capacity has been achieved through the addition of equipment, improvement in equipment utilization, the reconfiguration and expansion of the existing clean room area and the construction of an additional clean room area within the building shell of Fab 1.</w:t>
      </w: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FAB 2</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In January 2001, we commenced construction of Fab 2, our advanced wafer fab adjacent to Fab 1 in Migdal Haemek. The land on which Fab 2 is located is subject to a long-term lease from the Israel Lands Authority that expires in 2049.</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Fab 2 offers integrated circuits manufacturing services utilizing advanced materials and a 0.18-micron process technology we licensed from Toshiba, as well as 0.13-micron process technology we licensed from Freescale. Fab 2 is also manufacturing products in 0.35-micron process technology that International Rectifier Corporation ("IR") transferred to us under a long term foundry agreement that we entered into in September 2006. During the fourth quarter of 2007, we began volume production of products for IR.</w:t>
      </w:r>
    </w:p>
    <w:p>
      <w:pPr>
        <w:spacing w:after="0" w:line="141" w:lineRule="exact"/>
        <w:rPr>
          <w:sz w:val="20"/>
          <w:szCs w:val="20"/>
          <w:color w:val="auto"/>
        </w:rPr>
      </w:pPr>
    </w:p>
    <w:p>
      <w:pPr>
        <w:jc w:val="both"/>
        <w:ind w:right="4619" w:firstLine="351"/>
        <w:spacing w:after="0" w:line="260" w:lineRule="auto"/>
        <w:rPr>
          <w:sz w:val="20"/>
          <w:szCs w:val="20"/>
          <w:color w:val="auto"/>
        </w:rPr>
      </w:pPr>
      <w:r>
        <w:rPr>
          <w:rFonts w:ascii="Courier New" w:cs="Courier New" w:eastAsia="Courier New" w:hAnsi="Courier New"/>
          <w:sz w:val="11"/>
          <w:szCs w:val="11"/>
          <w:color w:val="auto"/>
        </w:rPr>
        <w:t>The overall clean room area in Fab 2 is approximately 100,000 square feet. We began volume production at Fab 2 during the third quarter of 2003. Production capacity as of December 31, 2007 was approximately 24,000 wafers per month.</w:t>
      </w:r>
    </w:p>
    <w:p>
      <w:pPr>
        <w:jc w:val="both"/>
        <w:ind w:right="4839"/>
        <w:spacing w:after="0" w:line="236" w:lineRule="auto"/>
        <w:rPr>
          <w:sz w:val="20"/>
          <w:szCs w:val="20"/>
          <w:color w:val="auto"/>
        </w:rPr>
      </w:pPr>
      <w:r>
        <w:rPr>
          <w:rFonts w:ascii="Courier New" w:cs="Courier New" w:eastAsia="Courier New" w:hAnsi="Courier New"/>
          <w:sz w:val="12"/>
          <w:szCs w:val="12"/>
          <w:color w:val="auto"/>
        </w:rPr>
        <w:t>Depending on the process technology and product mix, when fully ramped-up, we estimate that Fab 2 will be able to achieve capacity levels of approximately 44,000 wafers per month.</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Since 2000, we have invested significantly in the purchase of fixed assets, primarily in connection with the construction of Fab 2, technology advancement and capacity expansion. Capital expenditures in 2007, 2006 and 2005 were approximately $91 million, $163 million and $38 million, respectively, before related Investment Center grants of $0 million, $0 million and $6 million, respectively.</w:t>
      </w:r>
    </w:p>
    <w:p>
      <w:pPr>
        <w:spacing w:after="0" w:line="140" w:lineRule="exact"/>
        <w:rPr>
          <w:sz w:val="20"/>
          <w:szCs w:val="20"/>
          <w:color w:val="auto"/>
        </w:rPr>
      </w:pPr>
    </w:p>
    <w:p>
      <w:pPr>
        <w:jc w:val="both"/>
        <w:ind w:right="4759" w:firstLine="351"/>
        <w:spacing w:after="0" w:line="236" w:lineRule="auto"/>
        <w:rPr>
          <w:sz w:val="20"/>
          <w:szCs w:val="20"/>
          <w:color w:val="auto"/>
        </w:rPr>
      </w:pPr>
      <w:r>
        <w:rPr>
          <w:rFonts w:ascii="Courier New" w:cs="Courier New" w:eastAsia="Courier New" w:hAnsi="Courier New"/>
          <w:sz w:val="12"/>
          <w:szCs w:val="12"/>
          <w:color w:val="auto"/>
        </w:rPr>
        <w:t>We have registered liens in favor of the State of Israel and our banks on substantially all of our present and future assets, including Fab 1 and Fab 2 (see "Item 5 - Operating and Financial Review and Prospects - B. Liquidity and Capital Resources - Fab 2 Agreements - Credit Facility").</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ENVIRONMENTAL, QUALITY MATTERS AND CERTIFICATIONS</w:t>
      </w:r>
    </w:p>
    <w:p>
      <w:pPr>
        <w:spacing w:after="0" w:line="139" w:lineRule="exact"/>
        <w:rPr>
          <w:sz w:val="20"/>
          <w:szCs w:val="20"/>
          <w:color w:val="auto"/>
        </w:rPr>
      </w:pPr>
    </w:p>
    <w:p>
      <w:pPr>
        <w:ind w:right="4759" w:firstLine="351"/>
        <w:spacing w:after="0" w:line="263" w:lineRule="auto"/>
        <w:rPr>
          <w:sz w:val="20"/>
          <w:szCs w:val="20"/>
          <w:color w:val="auto"/>
        </w:rPr>
      </w:pPr>
      <w:r>
        <w:rPr>
          <w:rFonts w:ascii="Courier New" w:cs="Courier New" w:eastAsia="Courier New" w:hAnsi="Courier New"/>
          <w:sz w:val="11"/>
          <w:szCs w:val="11"/>
          <w:color w:val="auto"/>
        </w:rPr>
        <w:t>Our operations are subject to a variety of laws and governmental regulations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w:t>
      </w:r>
    </w:p>
    <w:p>
      <w:pPr>
        <w:spacing w:after="0" w:line="128" w:lineRule="exact"/>
        <w:rPr>
          <w:sz w:val="20"/>
          <w:szCs w:val="20"/>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We believe that we are currently in compliance in all material respects with applicable environmental laws and regulations.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November 2004, we received ISO 14001 certification from The Standards Institution of Israel. A series of international standards on environmental management, ISO 14000 provides a framework for the development of an environmental management system and the supporting audit program. ISO 14001 is the cornerstone standard of the ISO 14000 series. It specifies a framework of control for an environmental management system pursuant to which an organization can be certified by a third party. The ISO 14001 certification applies to all of our manufacturing facilities. Our authorized design center in Netanya, Israel also received certification.</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- 31 -</w:t>
      </w:r>
    </w:p>
    <w:p>
      <w:pPr>
        <w:spacing w:after="0" w:line="391" w:lineRule="exact"/>
        <w:rPr>
          <w:sz w:val="20"/>
          <w:szCs w:val="20"/>
          <w:color w:val="auto"/>
        </w:rPr>
      </w:pPr>
    </w:p>
    <w:p>
      <w:pPr>
        <w:ind w:right="4979" w:firstLine="351"/>
        <w:spacing w:after="0" w:line="236" w:lineRule="auto"/>
        <w:rPr>
          <w:sz w:val="20"/>
          <w:szCs w:val="20"/>
          <w:color w:val="auto"/>
        </w:rPr>
      </w:pPr>
      <w:r>
        <w:rPr>
          <w:rFonts w:ascii="Courier New" w:cs="Courier New" w:eastAsia="Courier New" w:hAnsi="Courier New"/>
          <w:sz w:val="12"/>
          <w:szCs w:val="12"/>
          <w:color w:val="auto"/>
        </w:rPr>
        <w:t>In December 2004, we received the OHSAS 18001 certification from the Standard Institution of Israel, which provides the framework of control for Safety and Health. This certification covers all of our activities and departments.</w:t>
      </w:r>
    </w:p>
    <w:p>
      <w:pPr>
        <w:spacing w:after="0" w:line="141"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In November 2005, we achieved ISO/TS 16949 certification from the UK-based National Quality Association pertaining to the manufacturing processes, work procedures and product performance meeting the requirements of the automotive industry. This quality management system standard certification covers all our departments and activities.</w:t>
      </w:r>
    </w:p>
    <w:p>
      <w:pPr>
        <w:spacing w:after="0" w:line="139" w:lineRule="exact"/>
        <w:rPr>
          <w:sz w:val="20"/>
          <w:szCs w:val="20"/>
          <w:color w:val="auto"/>
        </w:rPr>
      </w:pPr>
    </w:p>
    <w:p>
      <w:pPr>
        <w:jc w:val="both"/>
        <w:ind w:right="5039" w:firstLine="351"/>
        <w:spacing w:after="0" w:line="266" w:lineRule="auto"/>
        <w:rPr>
          <w:sz w:val="20"/>
          <w:szCs w:val="20"/>
          <w:color w:val="auto"/>
        </w:rPr>
      </w:pPr>
      <w:r>
        <w:rPr>
          <w:rFonts w:ascii="Courier New" w:cs="Courier New" w:eastAsia="Courier New" w:hAnsi="Courier New"/>
          <w:sz w:val="11"/>
          <w:szCs w:val="11"/>
          <w:color w:val="auto"/>
        </w:rPr>
        <w:t>In March 2006, we achieved ISO 17799 certification from The Standards Institution of Israel for the high quality of our security technology and implementations, covering all of our departments and activities.</w:t>
      </w:r>
    </w:p>
    <w:p>
      <w:pPr>
        <w:spacing w:after="0" w:line="126" w:lineRule="exact"/>
        <w:rPr>
          <w:sz w:val="20"/>
          <w:szCs w:val="20"/>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In 2004, we achieved ISO 9000:2001 certification from The Standards Institution of Israel for all quality systems and processes, covering all our departments and activities This certification is renewed annually pursuant to extensive audits performed by the SII.</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4A. UNRESOLVED STAFF COMMENTS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5. OPERATING AND FINANCIAL REVIEW AND PROSPECTS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A. OPERATING RESULTS</w:t>
      </w:r>
    </w:p>
    <w:p>
      <w:pPr>
        <w:sectPr>
          <w:pgSz w:w="11900" w:h="16838" w:orient="portrait"/>
          <w:cols w:equalWidth="0" w:num="1">
            <w:col w:w="10239"/>
          </w:cols>
          <w:pgMar w:left="220" w:top="141" w:right="1440" w:bottom="0" w:gutter="0" w:footer="0" w:header="0"/>
        </w:sectPr>
      </w:pPr>
    </w:p>
    <w:bookmarkStart w:id="19" w:name="page20"/>
    <w:bookmarkEnd w:id="19"/>
    <w:p>
      <w:pPr>
        <w:ind w:right="5039"/>
        <w:spacing w:after="0" w:line="235" w:lineRule="auto"/>
        <w:rPr>
          <w:sz w:val="20"/>
          <w:szCs w:val="20"/>
          <w:color w:val="auto"/>
        </w:rPr>
      </w:pPr>
      <w:r>
        <w:rPr>
          <w:rFonts w:ascii="Courier New" w:cs="Courier New" w:eastAsia="Courier New" w:hAnsi="Courier New"/>
          <w:sz w:val="12"/>
          <w:szCs w:val="12"/>
          <w:color w:val="auto"/>
        </w:rPr>
        <w:t>MANAGEMENT'S DISCUSSION AND ANALYSIS OF FINANCIAL CONDITION AND RESULTS OF OPERATIONS</w:t>
      </w:r>
    </w:p>
    <w:p>
      <w:pPr>
        <w:spacing w:after="0" w:line="139"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THE INFORMATION CONTAINED IN THIS SECTION SHOULD BE READ IN CONJUNCTION WITH OUR CONSOLIDATED FINANCIAL STATEMENTS FOR THE YEAR ENDED DECEMBER 31, 2007 AND RELATED NOTES AND THE INFORMATION CONTAINED ELSEWHERE IN THIS ANNUAL REPORT. OUR FINANCIAL STATEMENTS HAVE BEEN PREPARED IN ACCORDANCE WITH U.S. GENERALLY ACCEPTED ACCOUNTING PRINCIPLES ("US GAAP"). WE RECAST THE COMPARATIVE PRIOR YEAR AMOUNTS INCLUDED IN OUR FINANCIAL STATEMENTS AND IN THIS REPORT TO US GAAP. PRIOR TO THE FOURTH QUARTER OF 2007, WE PREPARED OUR FINANCIAL REPORTS IN ACCORDANCE WITH GENERALLY ACCEPTED ACCOUNTING PRINCIPLES IN ISRAEL. AND PROVIDED RECONCILIATION TO US GAAP IN THE NOTES TO THE FINANCIAL STATEMENTS.</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OVERVIEW</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We are a pure-play independent specialty foundry dedicated to the manufacture of semiconductors. Pure-play foundries do not offer any products of their own, but focus on producing integrated circuits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primary source of our revenue is from the fabrication of ICs using CMOS process technology. We are currently focused on the emerging opportunities involving CMOS image sensors, mixed-signal, RFCMOS and RFID technologies. ICs manufactured by us are incorporated into a wide range of products in diverse markets, including consumer electronics, personal computer and office equipment, communications, automotive, professional photography and medical device products.</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primary customers for our products are fabless IC companies and IDMs. A substantial portion of our product sales are made pursuant to long-term contracts with our customers, under which we have agreed to reserve manufacturing capacity at our production facilities. Our sales cycle is generally 12-24 months for new customers and can be as short as 9-12 months for existing customers. The typical stages in the sales process, from initial contact until production are: technical evaluation; photomask design specification; silicon prototyping; assembly and testing; validation and qualification; and production.</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- 32 -</w:t>
      </w:r>
    </w:p>
    <w:p>
      <w:pPr>
        <w:spacing w:after="0" w:line="39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During the year ended December 31, 2007, we had seven significant customers who contributed between 5% to 29% of our revenues. In 2006, we had seven significant customers who contributed between 5% to 23% of our revenues. In 2005, we had five significant customers who contributed between 5% to 22% of our revenues. In these years SanDisk was a significant customer of FAB 2. During 2007 additional large customers increased their orders following the qualification of their products in Fab 2.</w:t>
      </w:r>
    </w:p>
    <w:p>
      <w:pPr>
        <w:spacing w:after="0" w:line="141"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In addition to further developing our customer base, we have also made a concentrated effort to maintain the geographical diversity of our sales. The percentage of our sales from customers located outside the United States was 25%, 31% and 36% in the years ended December 31, 2007, 2006 and 2005, respectively. We believe that a substantial portion of our sales will continue to come from customers located outside the United States.</w:t>
      </w:r>
    </w:p>
    <w:p>
      <w:pPr>
        <w:spacing w:after="0" w:line="140" w:lineRule="exact"/>
        <w:rPr>
          <w:sz w:val="20"/>
          <w:szCs w:val="20"/>
          <w:color w:val="auto"/>
        </w:rPr>
      </w:pPr>
    </w:p>
    <w:p>
      <w:pPr>
        <w:ind w:right="4699" w:firstLine="351"/>
        <w:spacing w:after="0" w:line="260" w:lineRule="auto"/>
        <w:rPr>
          <w:sz w:val="20"/>
          <w:szCs w:val="20"/>
          <w:color w:val="auto"/>
        </w:rPr>
      </w:pPr>
      <w:r>
        <w:rPr>
          <w:rFonts w:ascii="Courier New" w:cs="Courier New" w:eastAsia="Courier New" w:hAnsi="Courier New"/>
          <w:sz w:val="11"/>
          <w:szCs w:val="11"/>
          <w:color w:val="auto"/>
        </w:rPr>
        <w:t>Our company was founded in 1993, when we acquired National Semiconductor's 150-mm wafer fabrication facility, or Fab 1, and commenced operations as an independent foundry. Since then, we have significantly modernized our Fab 1 facility, which has improved its process geometries from 1.0-micron to</w:t>
      </w:r>
    </w:p>
    <w:p>
      <w:pPr>
        <w:ind w:right="4619"/>
        <w:spacing w:after="0" w:line="237" w:lineRule="auto"/>
        <w:rPr>
          <w:sz w:val="20"/>
          <w:szCs w:val="20"/>
          <w:color w:val="auto"/>
        </w:rPr>
      </w:pPr>
      <w:r>
        <w:rPr>
          <w:rFonts w:ascii="Courier New" w:cs="Courier New" w:eastAsia="Courier New" w:hAnsi="Courier New"/>
          <w:sz w:val="12"/>
          <w:szCs w:val="12"/>
          <w:color w:val="auto"/>
        </w:rPr>
        <w:t>0.35-micron and enhanced its process technologies to include CMOS image sensors, embedded flash and mixed-signal technologies. We have also expanded our production capacity in Fab 1 to approximately 16,000 wafers per month as of May 31, 2008, depending on process technology and product mix, to meet additional customer demand. Fab 1 has been cash flow positive from operations since the second quarter of 2002.</w:t>
      </w:r>
    </w:p>
    <w:p>
      <w:pPr>
        <w:spacing w:after="0" w:line="140"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During the third quarter of 2003, we completed the construction of the building and infrastructure of our second manufacturing facility Fab 2, and commenced volume production at that facility.. Fab 2 is designed to operate in geometries of 0.18-micron and below, using advanced materials and advanced CMOS technology licensed from Freescale and Toshiba, as well as other technologies that we might acquire or develop independently. Production capacity of Fab 2 as of December 31, 2007 was approximately 24,000 wafers per month. During 2008, we are implementing a capacity increase plan targeting to reach up to approximately 30,000 wafers per month, which has not yet been completed.</w:t>
      </w: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CRITICAL ACCOUNTING POLICIES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REVENUE RECOGNITION. In accordance with generally accepted accounting principles, our revenues are recognized when persuasive evidence of an agreement exists with fixed or determinable prices, shipment has occurred or as services are rendered when title has been transferred, collectibility is reasonably assured and acceptance provisions criteria are satisfied, based on tests performed prior to customer on-site testing. Prior to commencement of our production, both our customers and our personnel test and pre-approve the prototype, on the basis of which specifications and features the ordered products will be produced. Electronic, functional and quality tests are performed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Our revenue recognition policy is significant because our revenues are a key component of our results of operations. We follow very specific and detailed guidelines in measuring revenue; however an accrual for estimated returns, which is computed primarily on the basis of historical experience, is recorded. Any changes in assumptions for determining the accrual for returns and other factors affecting revenue recognition may affect mainly the timing of our revenue recognition and cause our operating results to vary from quarter to quarter. Accordingly, our financial position and results of operations may be affected.</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- 33 -</w:t>
      </w:r>
    </w:p>
    <w:p>
      <w:pPr>
        <w:spacing w:after="0" w:line="391"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DEPRECIATION AND AMORTIZATION. We are heavily capital oriented and the amount of depreciation is a significant amount of our yearly expenses. Changes to the useful lives assumption and hence the depreciation can have material impact on our results of operations. Depreciation and amortization expenses in 2007 amounted to $154.3 million. During the third quarter of 2003, we commenced depreciating the Fab 2 property and equipment and amortizing the 0.18-micron technology, based on the straight-line method. During the second quarter of 2007, we reassessed the estimated useful lives of our machinery and equipment and as a result, effective as of April 1, 2007, machinery and equipment is to be depreciated over estimated useful lives of 7 years rather than 5 years as</w:t>
      </w:r>
    </w:p>
    <w:p>
      <w:pPr>
        <w:sectPr>
          <w:pgSz w:w="11900" w:h="16838" w:orient="portrait"/>
          <w:cols w:equalWidth="0" w:num="1">
            <w:col w:w="10239"/>
          </w:cols>
          <w:pgMar w:left="220" w:top="141" w:right="1440" w:bottom="0" w:gutter="0" w:footer="0" w:header="0"/>
        </w:sectPr>
      </w:pPr>
    </w:p>
    <w:bookmarkStart w:id="20" w:name="page21"/>
    <w:bookmarkEnd w:id="20"/>
    <w:p>
      <w:pPr>
        <w:ind w:right="4699"/>
        <w:spacing w:after="0" w:line="260" w:lineRule="auto"/>
        <w:rPr>
          <w:sz w:val="20"/>
          <w:szCs w:val="20"/>
          <w:color w:val="auto"/>
        </w:rPr>
      </w:pPr>
      <w:r>
        <w:rPr>
          <w:rFonts w:ascii="Courier New" w:cs="Courier New" w:eastAsia="Courier New" w:hAnsi="Courier New"/>
          <w:sz w:val="11"/>
          <w:szCs w:val="11"/>
          <w:color w:val="auto"/>
        </w:rPr>
        <w:t>estimated prior to such date. The change reflects our best estimate of the useful lives of our equipment and is also based on experience accumulated from Fab 1 and on recent trends in industry practices. We believe that the change better reflects the economics associated with the ownership of the equipment. This change has been accounted for as a change in estimate and has been applied prospectively. Currently, we estimate that the expected economic life of our assets will be as follows: (i) buildings (including facility infrastructure) - 14 to 25 years; (ii) machinery and equipment - seven years; and (iii) the</w:t>
      </w:r>
    </w:p>
    <w:p>
      <w:pPr>
        <w:spacing w:after="0" w:line="1"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0.18-micron and 0.13 micron technology - four years, with each amortization phases commencing on the date on which such Fab 2 manufacturing line became ready for its intended use. We expect that depreciation and amortization expenses relating to Fab 2 facilities will be approximately $120 million in 2008. Changes in our estimates regarding the expected economic life of Fab 2 assets, or a change in the dates on which each of the Fab 2 manufacturing lines is ready for its intended use, might affect our depreciation and amortization expenses.</w:t>
      </w:r>
    </w:p>
    <w:p>
      <w:pPr>
        <w:spacing w:after="0" w:line="142"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IMPAIRMENT OF ASSETS. Management reviews long-lived assets on a periodic basis, as well as when such a review is required based upon relevant circumstances to ensure that assets are not presented in amounts exceeding their recoverable value. The review of possible impairment charges was performed based on our business plan, as was approved by our board of directors. The business plan is based, among other things, on the future completion of the ramp up of Fab 2. Application of SFAS No. 144 "Accounting for the Impairment or Disposal of Long-Lived Assets" ("SFAS No. 144") resulted in no impairment charges.</w:t>
      </w:r>
    </w:p>
    <w:p>
      <w:pPr>
        <w:spacing w:after="0" w:line="128"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According to SFAS 144 and SFAS 142 for those intangible assets that have definite useful lives, recoverability tests are performed based on undiscounted expected cash flows, SFAS 144 requires that when the asset is not recoverable an impairment loss should be computed based on the difference between the carrying amount of the assets (or asset group) and the fair value. The fair value in most instances will be determined using present value techniques applied to expected cash flows While applying the provisions of SFAS 144 had no effect on our financial position and results of operations, the use of different assumptions with respect to the expected cash flows from our assets and with respect to other economic variables, primarily the discount rate, may lead to different conclusions regarding the recoverability of our assets' carrying values and to the potential need to record an impairment loss for our long-lived assets.</w:t>
      </w:r>
    </w:p>
    <w:p>
      <w:pPr>
        <w:spacing w:after="0" w:line="13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CONVERTIBLE DEBENTURES. According to Accounting Principles Board Opinion No. 14 ("APB 14"), we are to allocate the proceeds from the sale of the securities to each security issued based on their relative fair value. We are required, according to SFAS 133, to determine whether the conversion option embedded in the convertible debt should be bifurcated and accounted for separately. Such determination is based on the determination whether on a stand alone such conversion option would be classified in equity. If the option can be classified as equity no bifurcation is required.</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- 34 -</w:t>
      </w:r>
    </w:p>
    <w:p>
      <w:pPr>
        <w:spacing w:after="0" w:line="391"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DEBT RESTRUCTURING. During the first quarter of 2007 we early adopted the provisions of SFAS No. 159 "The Fair Value Option for Financial Assets and Financial Liabilities". As required by the standard we concurrently adopted the provisions of SFAS 157 Fair Value Measurements. The adoption of the standard is effective January 1, 2007. According to the standard we can choose to carry at fair value eligible items as defined in the standard, from the date of early adoption and accordingly we decided to apply the fair value option to the facility agreement. The effect of applying the fair value option to the facility agreement as of January 1, 2007 has been recorded as a cumulative effect adjustment to retained earnings (no tax effects have been recorded).</w:t>
      </w:r>
    </w:p>
    <w:p>
      <w:pPr>
        <w:spacing w:after="0" w:line="131"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In 2006, prior to the fair value election, the debt modification under the September 2006 Amendment was considered troubled debt restructuring within the scope of SFAS No. 15 "Accounting by Debtors and Creditors for Troubled Debt Restructurings" which requires the following: (i) the amount considered settled for shares and classified in equity is based on the price per share as quoted at the closing date; (ii) the remaining balance after deduction of the amount used as proceeds for the share issuance in the first bullet above, will remain outstanding; (iii) a new, lower effective interest rate will be calculated as the interest rate that equates future payments to the outstanding balance; and (iv) no gains or losses are recognized in the current period.</w:t>
      </w:r>
    </w:p>
    <w:p>
      <w:pPr>
        <w:spacing w:after="0" w:line="131"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FAIR VALUE MEASUREMENTS. We decided to early adopt the provisions of SFAS No. 157 effective January 1, 2007, concurrent with the adoption of FASB 159 "The Fair Value Option for Financial Assets and Financial Liabilities" (SFAS No.</w:t>
      </w:r>
    </w:p>
    <w:p>
      <w:pPr>
        <w:spacing w:after="0" w:line="232" w:lineRule="auto"/>
        <w:rPr>
          <w:sz w:val="20"/>
          <w:szCs w:val="20"/>
          <w:color w:val="auto"/>
        </w:rPr>
      </w:pPr>
      <w:r>
        <w:rPr>
          <w:rFonts w:ascii="Courier New" w:cs="Courier New" w:eastAsia="Courier New" w:hAnsi="Courier New"/>
          <w:sz w:val="12"/>
          <w:szCs w:val="12"/>
          <w:color w:val="auto"/>
        </w:rPr>
        <w:t>159):</w:t>
      </w:r>
    </w:p>
    <w:p>
      <w:pPr>
        <w:spacing w:after="0" w:line="135" w:lineRule="exact"/>
        <w:rPr>
          <w:sz w:val="20"/>
          <w:szCs w:val="20"/>
          <w:color w:val="auto"/>
        </w:rPr>
      </w:pPr>
    </w:p>
    <w:p>
      <w:pPr>
        <w:ind w:left="700" w:hanging="357"/>
        <w:spacing w:after="0"/>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income approach was applied using a present value technique.</w:t>
      </w:r>
    </w:p>
    <w:p>
      <w:pPr>
        <w:spacing w:after="0" w:line="138" w:lineRule="exact"/>
        <w:rPr>
          <w:rFonts w:ascii="Courier New" w:cs="Courier New" w:eastAsia="Courier New" w:hAnsi="Courier New"/>
          <w:sz w:val="12"/>
          <w:szCs w:val="12"/>
          <w:color w:val="auto"/>
        </w:rPr>
      </w:pPr>
    </w:p>
    <w:p>
      <w:pPr>
        <w:ind w:left="700" w:right="4619" w:hanging="357"/>
        <w:spacing w:after="0" w:line="236" w:lineRule="auto"/>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Loans - The cash flows used in that technique reflect the income stream expected to be used to satisfy the obligation over its economic life.</w:t>
      </w:r>
    </w:p>
    <w:p>
      <w:pPr>
        <w:spacing w:after="0" w:line="139" w:lineRule="exact"/>
        <w:rPr>
          <w:rFonts w:ascii="Courier New" w:cs="Courier New" w:eastAsia="Courier New" w:hAnsi="Courier New"/>
          <w:sz w:val="12"/>
          <w:szCs w:val="12"/>
          <w:color w:val="auto"/>
        </w:rPr>
      </w:pPr>
    </w:p>
    <w:p>
      <w:pPr>
        <w:ind w:left="700" w:right="5119" w:hanging="357"/>
        <w:spacing w:after="0" w:line="235" w:lineRule="auto"/>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Embedded Derivatives - we utilized the Black Scholes Merton formula.</w:t>
      </w:r>
    </w:p>
    <w:p>
      <w:pPr>
        <w:spacing w:after="0" w:line="139"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Over the Counter derivatives - we used the market approach using quotation from dealer markets.</w:t>
      </w:r>
    </w:p>
    <w:p>
      <w:pPr>
        <w:spacing w:after="0" w:line="139" w:lineRule="exact"/>
        <w:rPr>
          <w:rFonts w:ascii="Courier New" w:cs="Courier New" w:eastAsia="Courier New" w:hAnsi="Courier New"/>
          <w:sz w:val="12"/>
          <w:szCs w:val="12"/>
          <w:color w:val="auto"/>
        </w:rPr>
      </w:pPr>
    </w:p>
    <w:p>
      <w:pPr>
        <w:ind w:left="700" w:right="4699" w:hanging="357"/>
        <w:spacing w:after="0" w:line="235" w:lineRule="auto"/>
        <w:tabs>
          <w:tab w:leader="none" w:pos="700" w:val="left"/>
        </w:tabs>
        <w:numPr>
          <w:ilvl w:val="0"/>
          <w:numId w:val="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convertible debentures series E - The market approach was applied using quoted prices for the same debentures.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RECENT ACCOUNTING PRONOUNCEMENTS AS THEY APPLY TO US</w:t>
      </w:r>
    </w:p>
    <w:p>
      <w:pPr>
        <w:spacing w:after="0" w:line="139" w:lineRule="exact"/>
        <w:rPr>
          <w:sz w:val="20"/>
          <w:szCs w:val="20"/>
          <w:color w:val="auto"/>
        </w:rPr>
      </w:pPr>
    </w:p>
    <w:p>
      <w:pPr>
        <w:ind w:right="4619" w:firstLine="351"/>
        <w:spacing w:after="0" w:line="260" w:lineRule="auto"/>
        <w:rPr>
          <w:sz w:val="20"/>
          <w:szCs w:val="20"/>
          <w:color w:val="auto"/>
        </w:rPr>
      </w:pPr>
      <w:r>
        <w:rPr>
          <w:rFonts w:ascii="Courier New" w:cs="Courier New" w:eastAsia="Courier New" w:hAnsi="Courier New"/>
          <w:sz w:val="11"/>
          <w:szCs w:val="11"/>
          <w:color w:val="auto"/>
        </w:rPr>
        <w:t>SFAS NO. 141 (REVISED 2007 ) "BUSINESS COMBINATIONS" - In December 2007, the FASB issued FASB 141(R), "Business Combinations" of which the objective is to improve the relevance, representational faithfulness, and comparability of the information that a reporting entity provides in its financial reports about a business combination and its effects. The new standard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In December 2007, the FASB issued FASB 160 "Non-controlling Interests in Consolidated Financial Statements - an amendment of ARB No.51" of which the objective is to improve the relevance, comparability, and transparency of the financial information that a reporting entity provides in its consolidated financial statements by establishing accounting and reporting standards by requiring all entities to report non controlling (minority) interests in subsidiaries in the same way - as equity in the consolidated financial statements. Moreover, Statement 160 eliminates the diversity that currently exists in accounting for transactions between an entity and non-controlling interests by requiring they be treated as equity transactions. Both FASB 141(R) and FASB 160 are effective for fiscal years beginning after December 15, 2008. The Company is currently examining this new standard; however, at this stage, it is unable to estimate the standard's effect, if any, on its financial position and results of operations. Initial Adoption of New Standards</w:t>
      </w:r>
    </w:p>
    <w:p>
      <w:pPr>
        <w:sectPr>
          <w:pgSz w:w="11900" w:h="16838" w:orient="portrait"/>
          <w:cols w:equalWidth="0" w:num="1">
            <w:col w:w="10239"/>
          </w:cols>
          <w:pgMar w:left="220" w:top="141" w:right="1440" w:bottom="0" w:gutter="0" w:footer="0" w:header="0"/>
        </w:sectPr>
      </w:pPr>
    </w:p>
    <w:bookmarkStart w:id="21" w:name="page22"/>
    <w:bookmarkEnd w:id="21"/>
    <w:p>
      <w:pPr>
        <w:ind w:left="2600"/>
        <w:spacing w:after="0"/>
        <w:rPr>
          <w:sz w:val="20"/>
          <w:szCs w:val="20"/>
          <w:color w:val="auto"/>
        </w:rPr>
      </w:pPr>
      <w:r>
        <w:rPr>
          <w:rFonts w:ascii="Courier New" w:cs="Courier New" w:eastAsia="Courier New" w:hAnsi="Courier New"/>
          <w:sz w:val="12"/>
          <w:szCs w:val="12"/>
          <w:color w:val="auto"/>
        </w:rPr>
        <w:t>- 35 -</w:t>
      </w:r>
    </w:p>
    <w:p>
      <w:pPr>
        <w:spacing w:after="0" w:line="39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SFAS NO. 159, "THE FAIR VALUE OPTION FOR FINANCIAL ASSETS AND FINANCIAL LIABILITIES" - In February 2007, the FASB issued SFAS No. 159, "The Fair Value Option for Financial Assets and Financial Liabilities" (SFAS No. 159). SFAS No. 159 permits companies to choose to measure certain financial instruments and certain other items at fair value. The standard requires that unrealized gains and losses on items for which the fair value option has been elected be reported in earnings. We adopted the provisions of this standard, together with the adoption of FASB No. 157 FAIR VALUE MEASUREMENTS, starting with the first quarter of 2007.</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RESULTS OF OPERATIONS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total revenues for the years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40" w:type="dxa"/>
            <w:vAlign w:val="bottom"/>
          </w:tcPr>
          <w:p>
            <w:pPr>
              <w:spacing w:after="0"/>
              <w:rPr>
                <w:sz w:val="11"/>
                <w:szCs w:val="11"/>
                <w:color w:val="auto"/>
              </w:rPr>
            </w:pPr>
          </w:p>
        </w:tc>
        <w:tc>
          <w:tcPr>
            <w:tcW w:w="246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2940" w:type="dxa"/>
            <w:vAlign w:val="bottom"/>
          </w:tcPr>
          <w:p>
            <w:pPr>
              <w:spacing w:after="0"/>
              <w:rPr>
                <w:sz w:val="11"/>
                <w:szCs w:val="11"/>
                <w:color w:val="auto"/>
              </w:rPr>
            </w:pPr>
          </w:p>
        </w:tc>
        <w:tc>
          <w:tcPr>
            <w:tcW w:w="246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2007</w:t>
            </w:r>
          </w:p>
        </w:tc>
        <w:tc>
          <w:tcPr>
            <w:tcW w:w="7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2006</w:t>
            </w:r>
          </w:p>
        </w:tc>
        <w:tc>
          <w:tcPr>
            <w:tcW w:w="7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2940" w:type="dxa"/>
            <w:vAlign w:val="bottom"/>
          </w:tcPr>
          <w:p>
            <w:pPr>
              <w:spacing w:after="0"/>
              <w:rPr>
                <w:sz w:val="20"/>
                <w:szCs w:val="20"/>
                <w:color w:val="auto"/>
              </w:rPr>
            </w:pPr>
            <w:r>
              <w:rPr>
                <w:rFonts w:ascii="Courier New" w:cs="Courier New" w:eastAsia="Courier New" w:hAnsi="Courier New"/>
                <w:sz w:val="12"/>
                <w:szCs w:val="12"/>
                <w:color w:val="auto"/>
              </w:rPr>
              <w:t>STATEMENT OF OPERATIONS DATA:</w:t>
            </w:r>
          </w:p>
        </w:tc>
        <w:tc>
          <w:tcPr>
            <w:tcW w:w="9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Total revenues</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100.0%</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100.0%</w:t>
            </w: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100.0%</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Cost of total revenues</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123.4</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142.7</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233.7</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Gross loss</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(23.4)</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(42.7)</w:t>
            </w: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(133.7)</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Research and development</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6.0</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8.0</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15.7</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Marketing, general and administrative</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13.7</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13.8</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17.1</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Operating loss</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(43.0)</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(64.5)</w:t>
            </w: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(166.5)</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(15.2)</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(25.4)</w:t>
            </w:r>
          </w:p>
        </w:tc>
        <w:tc>
          <w:tcPr>
            <w:tcW w:w="700" w:type="dxa"/>
            <w:vAlign w:val="bottom"/>
          </w:tcPr>
          <w:p>
            <w:pPr>
              <w:jc w:val="right"/>
              <w:ind w:right="1"/>
              <w:spacing w:after="0"/>
              <w:rPr>
                <w:sz w:val="20"/>
                <w:szCs w:val="20"/>
                <w:color w:val="auto"/>
              </w:rPr>
            </w:pPr>
            <w:r>
              <w:rPr>
                <w:rFonts w:ascii="Courier New" w:cs="Courier New" w:eastAsia="Courier New" w:hAnsi="Courier New"/>
                <w:sz w:val="12"/>
                <w:szCs w:val="12"/>
                <w:color w:val="auto"/>
              </w:rPr>
              <w:t>(35.0)</w:t>
            </w:r>
          </w:p>
        </w:tc>
      </w:tr>
      <w:tr>
        <w:trPr>
          <w:trHeight w:val="270"/>
        </w:trPr>
        <w:tc>
          <w:tcPr>
            <w:tcW w:w="2940" w:type="dxa"/>
            <w:vAlign w:val="bottom"/>
          </w:tcPr>
          <w:p>
            <w:pPr>
              <w:spacing w:after="0"/>
              <w:rPr>
                <w:sz w:val="20"/>
                <w:szCs w:val="20"/>
                <w:color w:val="auto"/>
              </w:rPr>
            </w:pPr>
            <w:r>
              <w:rPr>
                <w:rFonts w:ascii="Courier New" w:cs="Courier New" w:eastAsia="Courier New" w:hAnsi="Courier New"/>
                <w:sz w:val="12"/>
                <w:szCs w:val="12"/>
                <w:color w:val="auto"/>
              </w:rPr>
              <w:t>Other income (expense), net</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0.0</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0.3</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2.3</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Loss</w:t>
            </w:r>
          </w:p>
        </w:tc>
        <w:tc>
          <w:tcPr>
            <w:tcW w:w="9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(58.1)%</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(89.6)%</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(199.1)%</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YEAR ENDED DECEMBER 31, 2007 COMPARED TO YEAR ENDED DECEMBER 31, 2006</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REVENUES. Revenues for the year ended December 31, 2007 increased by 23.2% to $230.9 million from $187.4 million for the year ended December 31, 2006. This $43.4 million increase was mainly attributable to a higher volume of wafer shipments.</w:t>
      </w:r>
    </w:p>
    <w:p>
      <w:pPr>
        <w:spacing w:after="0" w:line="141"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COST OF TOTAL SALES. Cost of total sales for the year ended December 31, 2007 amounted to $284.8 million, compared with $267.5 million for the year ended December 31, 2006. This increase of 6.4% in cost of sales, which is relatively low in relation to the 23.2% increase in sales, which is mainly attributable to the Company's cost structure of high level of fixed costs according to which with an increased volume of sales the Company can benefit and achieve reasonable margins for each incremental dollar of revenue. In addition we had a reduction in depreciation and amortization expenses as result of our reassessment of the estimated useful lives of our machinery and equipment, as described above. This change has been accounted for as a change in estimate and is applied prospectively. Total depreciation and amortization expenses included in Cost of Total Sales was approximately $137 million for the year ended December 31, 2007, as compared to approximately $155 million for the year ended December 31, 2006. Said reduction was mainly attributed to the aforementioned change.</w:t>
      </w:r>
    </w:p>
    <w:p>
      <w:pPr>
        <w:spacing w:after="0" w:line="396"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- 36 -</w:t>
      </w:r>
    </w:p>
    <w:p>
      <w:pPr>
        <w:spacing w:after="0" w:line="391" w:lineRule="exact"/>
        <w:rPr>
          <w:sz w:val="20"/>
          <w:szCs w:val="20"/>
          <w:color w:val="auto"/>
        </w:rPr>
      </w:pPr>
    </w:p>
    <w:p>
      <w:pPr>
        <w:ind w:right="4839" w:firstLine="351"/>
        <w:spacing w:after="0" w:line="237" w:lineRule="auto"/>
        <w:rPr>
          <w:sz w:val="20"/>
          <w:szCs w:val="20"/>
          <w:color w:val="auto"/>
        </w:rPr>
      </w:pPr>
      <w:r>
        <w:rPr>
          <w:rFonts w:ascii="Courier New" w:cs="Courier New" w:eastAsia="Courier New" w:hAnsi="Courier New"/>
          <w:sz w:val="12"/>
          <w:szCs w:val="12"/>
          <w:color w:val="auto"/>
        </w:rPr>
        <w:t>GROSS LOSS. Gross loss for the year ended December 31, 2007 was $53.9 million compared to a gross loss of $80.1 million for the year ended December 31, 2006. The decrease in gross loss was mainly attributable to the 23.2% increase in sales as compared to a 6.4% increase in Cost of Total Sales as described above.</w:t>
      </w:r>
    </w:p>
    <w:p>
      <w:pPr>
        <w:spacing w:after="0" w:line="139" w:lineRule="exact"/>
        <w:rPr>
          <w:sz w:val="20"/>
          <w:szCs w:val="20"/>
          <w:color w:val="auto"/>
        </w:rPr>
      </w:pPr>
    </w:p>
    <w:p>
      <w:pPr>
        <w:jc w:val="both"/>
        <w:ind w:right="4839" w:firstLine="351"/>
        <w:spacing w:after="0" w:line="266" w:lineRule="auto"/>
        <w:rPr>
          <w:sz w:val="20"/>
          <w:szCs w:val="20"/>
          <w:color w:val="auto"/>
        </w:rPr>
      </w:pPr>
      <w:r>
        <w:rPr>
          <w:rFonts w:ascii="Courier New" w:cs="Courier New" w:eastAsia="Courier New" w:hAnsi="Courier New"/>
          <w:sz w:val="11"/>
          <w:szCs w:val="11"/>
          <w:color w:val="auto"/>
        </w:rPr>
        <w:t>RESEARCH AND DEVELOPMENT. Research and development expenses for the year ended December 31, 2007 decreased to $13.8 million from $15.0 million for the year ended December 31, 2006 mainly attributed to decreased depreciation.</w:t>
      </w:r>
    </w:p>
    <w:p>
      <w:pPr>
        <w:spacing w:after="0" w:line="1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MARKETING, GENERAL AND ADMINISTRATIVE EXPENSES. Marketing, general and administrative expenses for the year ended December 31, 2007 increased to $31.6 million from $25.8 million for the year ended December 31, 2006. The increase is primarily due to stock based compensation expenses and increased sales expenses deriving directly from the higher revenues mentioned above.</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OPERATING LOSS. Operating loss for the year ended December 31, 2007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$99.3 million, compared to $121.0 million for the year ended December 31, 2006.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decrease in the operating loss is attributable mainly to the decrease in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gross loss described above.</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FINANCING EXPENSES, NET. Financing expenses, net for the year ended</w:t>
      </w:r>
    </w:p>
    <w:p>
      <w:pPr>
        <w:spacing w:after="0"/>
        <w:rPr>
          <w:sz w:val="20"/>
          <w:szCs w:val="20"/>
          <w:color w:val="auto"/>
        </w:rPr>
      </w:pPr>
      <w:r>
        <w:rPr>
          <w:rFonts w:ascii="Courier New" w:cs="Courier New" w:eastAsia="Courier New" w:hAnsi="Courier New"/>
          <w:sz w:val="12"/>
          <w:szCs w:val="12"/>
          <w:color w:val="auto"/>
        </w:rPr>
        <w:t>December 31, 2007 were $35.0 million compared to financing expenses, net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$47.6 million for the year ended December 31, 2006. This decrease is mainly due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to the consummation of the debt restructuring with our banks which was closed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third quarter of 2006, pursuant to which, approximately 30% of our then</w:t>
      </w:r>
    </w:p>
    <w:p>
      <w:pPr>
        <w:spacing w:after="0"/>
        <w:rPr>
          <w:sz w:val="20"/>
          <w:szCs w:val="20"/>
          <w:color w:val="auto"/>
        </w:rPr>
      </w:pPr>
      <w:r>
        <w:rPr>
          <w:rFonts w:ascii="Courier New" w:cs="Courier New" w:eastAsia="Courier New" w:hAnsi="Courier New"/>
          <w:sz w:val="12"/>
          <w:szCs w:val="12"/>
          <w:color w:val="auto"/>
        </w:rPr>
        <w:t>outstanding loans were converted into capital notes and the interest 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applicable to the interest payments was reduced from the three month LIBOR rate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plus 2.5% to the three month LIBOR rate plus 1.1%. OTHER INCOME, NET.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income, net, for the year ended December 31, 2007 was $0.09 million compared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$0.6 million for the year ended December 31, 2006.</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LOSS. Loss for the year ended December 31, 2007 was $134.2 million, compared to $167.9 million for the year ended December 31, 2006. This decrease is primarily attributable to the decrease of $21.6 million in the operating loss and to the $12.6 million decrease in financing expenses described above.</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YEAR ENDED DECEMBER 31, 2006 COMPARED TO YEAR ENDED DECEMBER 31, 2005</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REVENUES. Revenues for the year ended December 31, 2006 increased by 83.8% to $187.4 million from $102 million for the year ended December 31, 2005. This $85.4 million increase was mainly attributable to an increase in our customer base and higher volume of wafer shipments offset by $8 million recorded for the year ended December 31, 2005 from a previously announced technology-related agreement.</w:t>
      </w:r>
    </w:p>
    <w:p>
      <w:pPr>
        <w:spacing w:after="0" w:line="140" w:lineRule="exact"/>
        <w:rPr>
          <w:sz w:val="20"/>
          <w:szCs w:val="20"/>
          <w:color w:val="auto"/>
        </w:rPr>
      </w:pPr>
    </w:p>
    <w:p>
      <w:pPr>
        <w:ind w:right="4619" w:firstLine="351"/>
        <w:spacing w:after="0" w:line="264" w:lineRule="auto"/>
        <w:rPr>
          <w:sz w:val="20"/>
          <w:szCs w:val="20"/>
          <w:color w:val="auto"/>
        </w:rPr>
      </w:pPr>
      <w:r>
        <w:rPr>
          <w:rFonts w:ascii="Courier New" w:cs="Courier New" w:eastAsia="Courier New" w:hAnsi="Courier New"/>
          <w:sz w:val="11"/>
          <w:szCs w:val="11"/>
          <w:color w:val="auto"/>
        </w:rPr>
        <w:t>COST OF TOTAL REVENUES. Cost of total revenues for the year ended December 31, 2006 amounted to $267.5 million, compared with $238.4 million for the year ended December 31, 2005. This 12.2% modest increase in cost of revenues, despite the 83.8% increase in revenues, was achieved mainly due to previously announced</w:t>
      </w:r>
    </w:p>
    <w:p>
      <w:pPr>
        <w:sectPr>
          <w:pgSz w:w="11900" w:h="16838" w:orient="portrait"/>
          <w:cols w:equalWidth="0" w:num="1">
            <w:col w:w="10239"/>
          </w:cols>
          <w:pgMar w:left="220" w:top="407" w:right="1440" w:bottom="0" w:gutter="0" w:footer="0" w:header="0"/>
        </w:sectPr>
      </w:pPr>
    </w:p>
    <w:bookmarkStart w:id="22" w:name="page23"/>
    <w:bookmarkEnd w:id="22"/>
    <w:p>
      <w:pPr>
        <w:jc w:val="both"/>
        <w:ind w:right="4759"/>
        <w:spacing w:after="0" w:line="236" w:lineRule="auto"/>
        <w:rPr>
          <w:sz w:val="20"/>
          <w:szCs w:val="20"/>
          <w:color w:val="auto"/>
        </w:rPr>
      </w:pPr>
      <w:r>
        <w:rPr>
          <w:rFonts w:ascii="Courier New" w:cs="Courier New" w:eastAsia="Courier New" w:hAnsi="Courier New"/>
          <w:sz w:val="12"/>
          <w:szCs w:val="12"/>
          <w:color w:val="auto"/>
        </w:rPr>
        <w:t>cost reductions and efficiency measures taken by the Company and the Company's cost structure, according to which, the Company has high net margins for each marginal additional sum of revenue.</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GROSS LOSS. Gross loss for the year ended December 31, 2006 was $80.1 million compared to a gross loss of $136.4 million for the year ended December 31, 2005. The decrease in gross loss was mainly attributable to the increase in revenues and previously announced cost reductions and efficiency measures taken by the Company and the Company's cost structure, according to which, the Company has high net margins for each marginal additional sum of revenue.</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- 37 -</w:t>
      </w:r>
    </w:p>
    <w:p>
      <w:pPr>
        <w:spacing w:after="0" w:line="39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RESEARCH AND DEVELOPMENT. Research and development expenses for the year ended December 31, 2006 decreased to $15.0 million from $16.0 million for the year ended December 31, 2005. The decrease was mainly attributable to previously announced cost reductions and efficiency measures taken by the Company. Research and development expenses are reflected net of participation grants received from the Israeli government.</w:t>
      </w:r>
    </w:p>
    <w:p>
      <w:pPr>
        <w:spacing w:after="0" w:line="140" w:lineRule="exact"/>
        <w:rPr>
          <w:sz w:val="20"/>
          <w:szCs w:val="20"/>
          <w:color w:val="auto"/>
        </w:rPr>
      </w:pPr>
    </w:p>
    <w:p>
      <w:pPr>
        <w:ind w:right="4699" w:firstLine="351"/>
        <w:spacing w:after="0" w:line="263" w:lineRule="auto"/>
        <w:rPr>
          <w:sz w:val="20"/>
          <w:szCs w:val="20"/>
          <w:color w:val="auto"/>
        </w:rPr>
      </w:pPr>
      <w:r>
        <w:rPr>
          <w:rFonts w:ascii="Courier New" w:cs="Courier New" w:eastAsia="Courier New" w:hAnsi="Courier New"/>
          <w:sz w:val="11"/>
          <w:szCs w:val="11"/>
          <w:color w:val="auto"/>
        </w:rPr>
        <w:t>MARKETING, GENERAL AND ADMINISTRATIVE EXPENSES. Marketing, general and administrative expenses for the year ended December 31, 2006 increased to $25.8 million from $17.4 million for the year ended December 31, 2005, primarily due to stock based compensation expenses recorded for the first time and increased sales commissions attributable to the higher revenues mentioned above.</w:t>
      </w:r>
    </w:p>
    <w:p>
      <w:pPr>
        <w:spacing w:after="0" w:line="12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OPERATING LOSS. Operating loss for the year ended December 31, 2006 was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$121.0 million, compared to $169.8 million for the year ended December 31, 2005.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decrease in the operating loss is attributable mainly to the decrease in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gross loss described above and the Company's cost structure, according to which,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Company has high net margins for each marginal additional sum of revenue.</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FINANCING EXPENSES, NET. Financing expenses, net for the year ended</w:t>
      </w:r>
    </w:p>
    <w:p>
      <w:pPr>
        <w:spacing w:after="0"/>
        <w:rPr>
          <w:sz w:val="20"/>
          <w:szCs w:val="20"/>
          <w:color w:val="auto"/>
        </w:rPr>
      </w:pPr>
      <w:r>
        <w:rPr>
          <w:rFonts w:ascii="Courier New" w:cs="Courier New" w:eastAsia="Courier New" w:hAnsi="Courier New"/>
          <w:sz w:val="12"/>
          <w:szCs w:val="12"/>
          <w:color w:val="auto"/>
        </w:rPr>
        <w:t>December 31, 2006 were $47.6 million compared to financing expenses, net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$35.7 million for the year ended December 31, 2005. This increase is mainly due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an increase in costs related to our convertible debentures resulting mainly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from the issuance of two new series of convertible debentures (in December 2005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and June 2006) and the weakening in 2006 of the NIS/dollar exchange rate which</w:t>
      </w:r>
    </w:p>
    <w:p>
      <w:pPr>
        <w:spacing w:after="0"/>
        <w:rPr>
          <w:sz w:val="20"/>
          <w:szCs w:val="20"/>
          <w:color w:val="auto"/>
        </w:rPr>
      </w:pPr>
      <w:r>
        <w:rPr>
          <w:rFonts w:ascii="Courier New" w:cs="Courier New" w:eastAsia="Courier New" w:hAnsi="Courier New"/>
          <w:sz w:val="12"/>
          <w:szCs w:val="12"/>
          <w:color w:val="auto"/>
        </w:rPr>
        <w:t>caused an increase in the dollar amount of the NIS denominated outstanding</w:t>
      </w:r>
    </w:p>
    <w:p>
      <w:pPr>
        <w:spacing w:after="0" w:line="237" w:lineRule="auto"/>
        <w:rPr>
          <w:sz w:val="20"/>
          <w:szCs w:val="20"/>
          <w:color w:val="auto"/>
        </w:rPr>
      </w:pPr>
      <w:r>
        <w:rPr>
          <w:rFonts w:ascii="Courier New" w:cs="Courier New" w:eastAsia="Courier New" w:hAnsi="Courier New"/>
          <w:sz w:val="12"/>
          <w:szCs w:val="12"/>
          <w:color w:val="auto"/>
        </w:rPr>
        <w:t>convertible debt.</w:t>
      </w:r>
    </w:p>
    <w:p>
      <w:pPr>
        <w:spacing w:after="0" w:line="139" w:lineRule="exact"/>
        <w:rPr>
          <w:sz w:val="20"/>
          <w:szCs w:val="20"/>
          <w:color w:val="auto"/>
        </w:rPr>
      </w:pPr>
    </w:p>
    <w:p>
      <w:pPr>
        <w:jc w:val="both"/>
        <w:ind w:right="4699" w:firstLine="351"/>
        <w:spacing w:after="0" w:line="266" w:lineRule="auto"/>
        <w:rPr>
          <w:sz w:val="20"/>
          <w:szCs w:val="20"/>
          <w:color w:val="auto"/>
        </w:rPr>
      </w:pPr>
      <w:r>
        <w:rPr>
          <w:rFonts w:ascii="Courier New" w:cs="Courier New" w:eastAsia="Courier New" w:hAnsi="Courier New"/>
          <w:sz w:val="11"/>
          <w:szCs w:val="11"/>
          <w:color w:val="auto"/>
        </w:rPr>
        <w:t>OTHER INCOME, NET. Other income, net, for the year ended December 31, 2006 was $0.6 million compared to $2.4 million for the year ended December 31, 2005, mainly due to a lower capital gain, net, from sale and disposal of equipment.</w:t>
      </w:r>
    </w:p>
    <w:p>
      <w:pPr>
        <w:spacing w:after="0" w:line="126"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LOSS. Our loss for the year ended December 31, 2006 was $167.9 million, compared to $203.1 million for the year ended December 31, 2005. This decrease is primarily attributable to the decrease of $48.8 million in the operating loss described above, offset by the $11.9 million increase in financing expenses described above.</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IMPACT OF INFLATION AND CURRENCY FLUCTUATIONS</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The dollar cost of our operations in Israel is influenced by the timing of any change in the rate of inflation in Israel and the extent to which such change is not offset by the change in valuation of the NIS in relation to the dollar. During the year ended December 31, 2007, the exchange rate of the dollar in relation to the NIS decreased by 9.0%, and the Israeli Consumer Price Index, or CPI, increased by 3.4% resulting in an increase in our dollar costs, including our dollar expenses related to our NIS dominated debts (during the year ended December 31, 2006 there was a decrease of 8.2% in the exchange rate of the dollar in relation to the NIS and a decrease of 0.1% in the CPI).</w:t>
      </w:r>
    </w:p>
    <w:p>
      <w:pPr>
        <w:spacing w:after="0" w:line="13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 Our dollar costs will continue to increase if the exchange rate of the dollar in relation to the NIS will continue decreasing,</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- 38 -</w:t>
      </w:r>
    </w:p>
    <w:p>
      <w:pPr>
        <w:spacing w:after="0" w:line="39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 The devaluation of the US dollar in relation to the NIS since 2007 increased mainly our dollar expenses related to our NIS denominated debentures and the dollar amount of our NIS denominated expenses.</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borrowings under our Fab 2 credit facility, which comprise the majority of our long-term liabilities and our borrowings under the September 2007 credit lines, provide for interest based on a floating LIBOR rate, and we are therefore exposed to interest rate fluctuations. From time to time, we engage in various hedging strategies to reduce our exposure to some, but not all, of these risks and intend to continue to do so in the future. However, despite any such hedging activity, we are likely to remain exposed to interest rate fluctuations, which may increase the cost of our business activities, particularly our financing expenses.</w:t>
      </w:r>
    </w:p>
    <w:p>
      <w:pPr>
        <w:spacing w:after="0" w:line="143" w:lineRule="exact"/>
        <w:rPr>
          <w:sz w:val="20"/>
          <w:szCs w:val="20"/>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Our 2002, 2006 and 2007 debentures are denominated in NIS linked to the Israeli CPI and therefore we are exposed to fluctuation in the NIS/dollar exchange rate. The dollar amount of our financing costs (interest and currency adjustments) related to these debentures will increase if the rate of inflation in Israel is not offset (or is offset on a lagging basis) by the devaluation of the NIS in relation to the dollar. In addition, the dollar amount of any repayment on account of the principal of these debentures will also increase. The recent devaluation of the US dollar in relation to the NIS increased our dollar expenses related to our NIS denominated debentures.</w:t>
      </w:r>
    </w:p>
    <w:p>
      <w:pPr>
        <w:spacing w:after="0" w:line="131" w:lineRule="exact"/>
        <w:rPr>
          <w:sz w:val="20"/>
          <w:szCs w:val="20"/>
          <w:color w:val="auto"/>
        </w:rPr>
      </w:pPr>
    </w:p>
    <w:p>
      <w:pPr>
        <w:ind w:right="4699" w:firstLine="351"/>
        <w:spacing w:after="0" w:line="235" w:lineRule="auto"/>
        <w:rPr>
          <w:sz w:val="20"/>
          <w:szCs w:val="20"/>
          <w:color w:val="auto"/>
        </w:rPr>
      </w:pPr>
      <w:r>
        <w:rPr>
          <w:rFonts w:ascii="Courier New" w:cs="Courier New" w:eastAsia="Courier New" w:hAnsi="Courier New"/>
          <w:sz w:val="12"/>
          <w:szCs w:val="12"/>
          <w:color w:val="auto"/>
        </w:rPr>
        <w:t>The quantitative and qualitative disclosures about market risk are in Item 11 of this annual report.</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B. LIQUIDITY AND CAPITAL RESOURCES</w:t>
      </w:r>
    </w:p>
    <w:p>
      <w:pPr>
        <w:spacing w:after="0" w:line="139" w:lineRule="exact"/>
        <w:rPr>
          <w:sz w:val="20"/>
          <w:szCs w:val="20"/>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As of December 31, 2007, we had an aggregate of $44.5 million in cash and cash equivalents. This compares to $40.9 million we had as of December 31, 2006 in cash, cash equivalents, and short-term interest-bearing deposits. During the year ended December 31, 2007, we raised $77.2 million in net proceeds from the issuance of debentures, ordinary shares and warrants, $28 million as long-term loans, $1.7 million from Investment Center grants and generated a net amount of $16.7 million from our operating activities. These liquidity resources financed the capital expenditure investments we made during the year ended December 31, 2007, which aggregated $109.0 million, mainly in connection with the purchase and installation of equipment and other assets for the ramp up of Fab 2, repayment of convertible debentures in the amount of $7.1 million and repayment</w:t>
      </w:r>
    </w:p>
    <w:p>
      <w:pPr>
        <w:sectPr>
          <w:pgSz w:w="11900" w:h="16838" w:orient="portrait"/>
          <w:cols w:equalWidth="0" w:num="1">
            <w:col w:w="10239"/>
          </w:cols>
          <w:pgMar w:left="220" w:top="141" w:right="1440" w:bottom="0" w:gutter="0" w:footer="0" w:header="0"/>
        </w:sectPr>
      </w:pPr>
    </w:p>
    <w:bookmarkStart w:id="23" w:name="page24"/>
    <w:bookmarkEnd w:id="23"/>
    <w:p>
      <w:pPr>
        <w:spacing w:after="0"/>
        <w:rPr>
          <w:sz w:val="20"/>
          <w:szCs w:val="20"/>
          <w:color w:val="auto"/>
        </w:rPr>
      </w:pPr>
      <w:r>
        <w:rPr>
          <w:rFonts w:ascii="Courier New" w:cs="Courier New" w:eastAsia="Courier New" w:hAnsi="Courier New"/>
          <w:sz w:val="12"/>
          <w:szCs w:val="12"/>
          <w:color w:val="auto"/>
        </w:rPr>
        <w:t>of long-term debt in the amount of $3.2 million.</w:t>
      </w:r>
    </w:p>
    <w:p>
      <w:pPr>
        <w:spacing w:after="0" w:line="139"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As of December 31, 2007, we had long-term loans from banks, in the amount of $379.3 million, most of which are recorded at fair value, which we obtained mainly in connection with the establishment of Fab 2. As of such date, we had $125.3 million in debentures, of which $7.9 million are presented as current maturities.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recent years, the Company has experienced significant recurring losses, recurring negative cash flows from operating activities and an increasing accumulated deficit. The Company is working in various ways to mitigate its financial difficulties. Since the second half of 2005, the Company has increased its customer base, mainly in Fab 2, modified its organizational structure to better address its customers and its market positioning, increased its sales, recorded ten consecutive quarters of positive EBITDA commencing the fourth quarter of 2005 and six consecutive quarters of positive cash flow from operations commencing the fourth quarter of 2006, reduced its losses, increased its capacity level and utilization rates, raised funds and restructured its bank debt.</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- 39 -</w:t>
      </w:r>
    </w:p>
    <w:p>
      <w:pPr>
        <w:spacing w:after="0" w:line="391"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In 2006, the board of directors of the Company approved a plan to ramp up Fab 2's capacity to approximately 24,000 wafers per month in order to help meet customer needs and product qualification needs, based on its customer pipeline and reinforced by forecasted market conditions. This plan was completed during 2007. During 2008, we are implementing a capacity increase plan targeting to reach up to approximately 30,000 wafers per month, which has not yet been completed.</w:t>
      </w:r>
    </w:p>
    <w:p>
      <w:pPr>
        <w:spacing w:after="0" w:line="141"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For details regarding the September 2007 Credit Line Agreements with each of the Banks and TIC and the September 2007 Amendment to the facility agreement with the banks, see - "Fab 2 Agreements" below. .</w:t>
      </w:r>
    </w:p>
    <w:p>
      <w:pPr>
        <w:spacing w:after="0" w:line="139" w:lineRule="exact"/>
        <w:rPr>
          <w:sz w:val="20"/>
          <w:szCs w:val="20"/>
          <w:color w:val="auto"/>
        </w:rPr>
      </w:pPr>
    </w:p>
    <w:p>
      <w:pPr>
        <w:ind w:right="4979" w:firstLine="351"/>
        <w:spacing w:after="0" w:line="235" w:lineRule="auto"/>
        <w:rPr>
          <w:sz w:val="20"/>
          <w:szCs w:val="20"/>
          <w:color w:val="auto"/>
        </w:rPr>
      </w:pPr>
      <w:r>
        <w:rPr>
          <w:rFonts w:ascii="Courier New" w:cs="Courier New" w:eastAsia="Courier New" w:hAnsi="Courier New"/>
          <w:sz w:val="12"/>
          <w:szCs w:val="12"/>
          <w:color w:val="auto"/>
        </w:rPr>
        <w:t>For details regarding the long term debentures issued in Israel in the second half of 2007 see - "Fab 2 Agreements" below.</w:t>
      </w:r>
    </w:p>
    <w:p>
      <w:pPr>
        <w:spacing w:after="0" w:line="139"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For implications on us if we do not obtain Investment Center approval or generate increased levels of cash from operations or do not raise additional funding and if we will not be in compliance with the repayment schedule under the amended facility agreement and are unsuccessful in negotiating a revised repayment schedule, see Item 3. Key Information - Risk Factors - Risks Affecting Our Business - Risk Factors - "If we do not obtain Investment Center approval for our expansion plan..." and "If we will not be in compliance with the repayment schedule...".</w:t>
      </w:r>
    </w:p>
    <w:p>
      <w:pPr>
        <w:spacing w:after="0" w:line="142"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In May 2008, we announced the commencement of a $40 million per annum cost reduction plan pending synergies expected to occur following the Jazz acquisition and including the reduction in workforce of approximately 170 employees and announced the filing of a petition with the Israeli High Court of Justice targeting an approval for the receipt of grants under our requested Investment Center expansion plan.</w:t>
      </w:r>
    </w:p>
    <w:p>
      <w:pPr>
        <w:spacing w:after="0" w:line="140"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We continue to examine alternatives for additional funding sources in order to fund our Fab 2 ramp-up, support our growth plans, including the Jazz acquisition, and improve our shareholders' equity.</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FAB 2 AGREEMENTS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WAFER PARTNER AGREEMENT.</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During the years 2000 and 2001, we entered into various shares purchase agreements ("Wafer Partner Agreements") with Wafer Partners to partially finance the construction and equipping of Fab 2. Pursuant to the Wafer Partner Agreements, the Wafer Partners agreed to invest an aggregate of $250 million to purchase Ordinary Shares of the Company. According to the Wafer Partner Agreements, we agreed, subject to certain conditions, to reserve for each Wafer Partner a certain portion, and collectively approximately 50%, of Fab 2 wafer manufacturing capacity for a period of 10 years ending January 2011.</w:t>
      </w:r>
    </w:p>
    <w:p>
      <w:pPr>
        <w:spacing w:after="0" w:line="142"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August 2006, we signed agreements with SanDisk in connection with the expansion of our 0.13 micron manufacturing capacity. SanDisk committed to purchase, upon such expansion, volume quantities of 0.13 micron wafers during 2007 and 2008 and has a right of first refusal on the use of this extra capacity in 2009. We also borrowed approximately $10 million from SanDisk for the purpose of financing the purchase of the equipment needed for the expansion. The loan bears interest on the amounts outstanding at three-month USD LIBOR plus 1.1%. We granted SanDisk a first ranking charge on the equipment purchased with the amounts borrowed. In April 2008 we signed on an amendment, which postpones the repayment schedule of the loan.</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- 40 -</w:t>
      </w:r>
    </w:p>
    <w:p>
      <w:pPr>
        <w:spacing w:after="0" w:line="39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WAFER CREDITS. In connection with their investments in Fab 2, we issued to our wafer partners non-transferable credits that may be used to reduce the cash amounts to be paid by them when paying for wafers manufactured in Fab 2. These credits could generally be used at a rate of 7.5% for purchases made through June 2005 and 15% for purchases made thereafter. Our wafer partners, SanDisk, Alliance and Macronix, agreed that they will not utilize any of their credits, for purchase orders of our wafer products until December 31, 2006. For orders placed from January 1, 2004 to December 31, 2006, each major wafer partner was entitled, every quarter, to convert into our ordinary shares its wafer credits that could have been utilized by such wafer partner against the actual payment of wafers manufactured at Fab 2 during such quarter; otherwise, these credits will bear interest payable every quarter at three-month LIBOR plus 2.5%. As of May 31, 2008, approximately $16 million of wafer credits had been converted into an aggregate of 10.4 million ordinary shares.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2006, we and one of the primary wafer partners, entered into an agreement to defer to December 31, 2009 the repayment of certain outstanding wafer credits that were not converted into ordinary shares. According to the agreement, with respect to certain orders placed before July 2006, and all orders placed thereafter through December 2009, such wafer credits that could have offset from payment by such wafer partner prior to the agreement, will bear interest at an annual rate equal to three-month LIBOR plus 1.1%, payable at the end of each quarter, through December 31, 2009.</w:t>
      </w:r>
    </w:p>
    <w:p>
      <w:pPr>
        <w:spacing w:after="0" w:line="142"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2007 we decided to write-off the balance of wafer credits outstanding on behalf of one of our wafer partners, due to changes in its operations and the recent cessation of its semiconductor activities, we believe that no future utilization is expected and determined that a full write-down of its outstanding amount was appropriate.</w:t>
      </w:r>
    </w:p>
    <w:p>
      <w:pPr>
        <w:spacing w:after="0" w:line="139" w:lineRule="exact"/>
        <w:rPr>
          <w:sz w:val="20"/>
          <w:szCs w:val="20"/>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All of the ordinary shares issued to our wafer partners and Israel Corp. in connection with their committed investments are subject to registration rights and pursuant to a shareholders agreement applicable to shares held by SanDisk,</w:t>
      </w:r>
    </w:p>
    <w:p>
      <w:pPr>
        <w:sectPr>
          <w:pgSz w:w="11900" w:h="16838" w:orient="portrait"/>
          <w:cols w:equalWidth="0" w:num="1">
            <w:col w:w="10239"/>
          </w:cols>
          <w:pgMar w:left="220" w:top="137" w:right="1440" w:bottom="0" w:gutter="0" w:footer="0" w:header="0"/>
        </w:sectPr>
      </w:pPr>
    </w:p>
    <w:bookmarkStart w:id="24" w:name="page25"/>
    <w:bookmarkEnd w:id="24"/>
    <w:p>
      <w:pPr>
        <w:ind w:left="8"/>
        <w:spacing w:after="0"/>
        <w:rPr>
          <w:sz w:val="20"/>
          <w:szCs w:val="20"/>
          <w:color w:val="auto"/>
        </w:rPr>
      </w:pPr>
      <w:r>
        <w:rPr>
          <w:rFonts w:ascii="Courier New" w:cs="Courier New" w:eastAsia="Courier New" w:hAnsi="Courier New"/>
          <w:sz w:val="12"/>
          <w:szCs w:val="12"/>
          <w:color w:val="auto"/>
        </w:rPr>
        <w:t>Israel Corp. and Macronix.</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CREDIT FACILITY</w:t>
      </w:r>
    </w:p>
    <w:p>
      <w:pPr>
        <w:spacing w:after="0" w:line="13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In January 2001, we entered into a credit facility with two leading Israeli banks, Bank Hapoalim and Bank Leumi, pursuant to which the banks committed to make available to us up to $550 million in loans for Fab 2. As a result of our reduction of the total project cost of Fab 2 through the renegotiation of equipment prices and a change of equipment suppliers, in January 2002, we and our banks agreed to amend the credit facility such that the total amount of loans committed by the banks was reduced to $500 million. Of that amount, we withdrew an aggregate of $497 million. Under the original terms of the Facility Agreement the loans bore interest at a rate of LIBOR plus 1.55% per annum payable at the end of each quarter, which was later increased to LIBOR plus 2.5% per annum. In July 2005, we entered into a definitive amendment to our facility agreement with our banks which provided, among other things, for our banks to provide additional financing of up to approximately $30 million. We borrowed such additional $30 million pursuant to the July 2005 amendment.</w:t>
      </w:r>
    </w:p>
    <w:p>
      <w:pPr>
        <w:spacing w:after="0" w:line="265"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2006 AMENDMENT TO OUR FACILITY AGREEMENT. As part of the financing efforts for the ramp-up plan to increase Fab 2's capacity to 24,000 wafers per month, in September 2006, we closed a definitive amendment to the credit facility with our banks for the refinancing of the approximately $527 million of long-term debt outstanding thereunder. Pursuant to the amendment, among other things: (i) $158 million, representing 30% of such debt, was converted into capital notes, with a face amount of $79 million, that are convertible into 51,973,684 of our ordinary shares, at a conversion price per share of $1.52; (ii) the interest rate applicable to the quarterly actual interest payment on the loans was reduced by 1.4%, from LIBOR plus 2.5% per annum to LIBOR plus 1.1% per annum, effective May 2006; (iii) the commencement date for the repayment of the outstanding loans, which following the conversion are approximately $369 million, was postponed from July 2007 to September 2009, such that the loans shall be repaid in 12 quarterly installments between September 2009 and June 2012; (iv) the exercise periods of the warrants held by the banks immediately prior to the signing of the September 2006 amendment, were extended such that they are exercisable until September 2011, five years from the closing of the September 2006 amendment; and</w:t>
      </w:r>
    </w:p>
    <w:p>
      <w:pPr>
        <w:spacing w:after="0" w:line="2" w:lineRule="exact"/>
        <w:rPr>
          <w:sz w:val="20"/>
          <w:szCs w:val="20"/>
          <w:color w:val="auto"/>
        </w:rPr>
      </w:pPr>
    </w:p>
    <w:p>
      <w:pPr>
        <w:ind w:left="8" w:right="4619" w:hanging="8"/>
        <w:spacing w:after="0" w:line="235" w:lineRule="auto"/>
        <w:tabs>
          <w:tab w:leader="none" w:pos="289" w:val="left"/>
        </w:tabs>
        <w:numPr>
          <w:ilvl w:val="0"/>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financial ratios and covenants that we are to satisfy were revised to be inline with our working plan as of the time of the amendment.</w:t>
      </w:r>
    </w:p>
    <w:p>
      <w:pPr>
        <w:spacing w:after="0" w:line="269"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41 -</w:t>
      </w:r>
    </w:p>
    <w:p>
      <w:pPr>
        <w:spacing w:after="0" w:line="391" w:lineRule="exact"/>
        <w:rPr>
          <w:sz w:val="20"/>
          <w:szCs w:val="20"/>
          <w:color w:val="auto"/>
        </w:rPr>
      </w:pPr>
    </w:p>
    <w:p>
      <w:pPr>
        <w:ind w:left="8" w:right="4699" w:firstLine="351"/>
        <w:spacing w:after="0" w:line="237" w:lineRule="auto"/>
        <w:rPr>
          <w:sz w:val="20"/>
          <w:szCs w:val="20"/>
          <w:color w:val="auto"/>
        </w:rPr>
      </w:pPr>
      <w:r>
        <w:rPr>
          <w:rFonts w:ascii="Courier New" w:cs="Courier New" w:eastAsia="Courier New" w:hAnsi="Courier New"/>
          <w:sz w:val="12"/>
          <w:szCs w:val="12"/>
          <w:color w:val="auto"/>
        </w:rPr>
        <w:t>To compensate the banks for the reduction in interest payments, we agreed to issue to the banks an additional number of shares (or equity equivalent capital notes or convertible debentures) on or about December 31, 2010, calculated based on the amount of decreased interest payments as set forth in the amendment. The amounts payable in securities of the Company may be payable in cash under certain circumstances and may be reduced in the event the Company prepays any part of the outstanding loans.</w:t>
      </w:r>
    </w:p>
    <w:p>
      <w:pPr>
        <w:spacing w:after="0" w:line="141"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In connection with the amendment to the facility agreement, as part of the financing efforts for the ramp-up plan to increase Fab 2's capacity to 24,000 wafers per month, Israel Corp. invested $100 million in consideration for a capital note, convertible into 65,789,474 of our ordinary shares, at a price per share of $1.52; See below.</w:t>
      </w:r>
    </w:p>
    <w:p>
      <w:pPr>
        <w:spacing w:after="0" w:line="139"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SEPTEMBER 2007 CREDIT LINE AGREEMENTS WITH EACH OF THE BANKS AND TIC AND SEPTEMBER 2007 AMENDMENT TO THE FACILITY AGREEMENT. In September 2007, we signed and closed definitive agreements with the Banks and with TIC, providing for credit lines totaling up to $60 million, 15 million from each bank and $30 million from TIC, to be used for the funding of equipment required for a ramp up plan in Fab 2 to increase its capacity to beyond 24,000 wafers per month. As of May 31, 2008 the entire amount had been borrowed under these credit lines. Loans under the credit lines bear interest at an annual rate of three-month USD LIBOR plus 3% and are repayable two years from the date any loan was borrowed(commencing October 2009). We paid the banks and TIC customary fees in connection with the credit line. Further, in September 2007 we signed and closed a definitive amendment to the Facility Agreement to mainly reflect the credit line agreements and to revise, based on the Company's operating plan at the time, the financial ratios and covenants with which we are required to comply (see below).</w:t>
      </w:r>
    </w:p>
    <w:p>
      <w:pPr>
        <w:spacing w:after="0" w:line="135"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COMPLIANCE WITH FINANCIAL RATIOS AND COVENANTS.</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Under the terms of the amended facility agreement, we must meet certain financial ratios, including mainly financial covenants relating to our quarterly sales, our quarterly earnings before interest, taxes, depreciation and amortization (quarterly EBITDA), our "life of loan coverage ratio" (which is the ratio of our Fab 2 net cash flow to our total debt related to Fab 2 in any quarter), our ratio of debt to EBITDA and our ratio of equity to assets. Under the terms of the amended facility agreement, satisfying these financial ratios and covenants is a material provision.</w:t>
      </w:r>
    </w:p>
    <w:p>
      <w:pPr>
        <w:spacing w:after="0" w:line="142" w:lineRule="exact"/>
        <w:rPr>
          <w:sz w:val="20"/>
          <w:szCs w:val="20"/>
          <w:color w:val="auto"/>
        </w:rPr>
      </w:pPr>
    </w:p>
    <w:p>
      <w:pPr>
        <w:ind w:left="8" w:right="4979" w:firstLine="351"/>
        <w:spacing w:after="0" w:line="235" w:lineRule="auto"/>
        <w:rPr>
          <w:sz w:val="20"/>
          <w:szCs w:val="20"/>
          <w:color w:val="auto"/>
        </w:rPr>
      </w:pPr>
      <w:r>
        <w:rPr>
          <w:rFonts w:ascii="Courier New" w:cs="Courier New" w:eastAsia="Courier New" w:hAnsi="Courier New"/>
          <w:sz w:val="12"/>
          <w:szCs w:val="12"/>
          <w:color w:val="auto"/>
        </w:rPr>
        <w:t>As of May 31, 2008, the Company was in full compliance with all of the financial ratios and covenants under the amended Facility Agreement.</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The amended Facility Agreement provides that if, as a result of any default, the Banks were to accelerate the Company's obligations, the Company would be obligated, among other matters, to immediately repay all loans made by the banks (which as of May 31, 2008 amounted to approximately $399 million) plus penalties, and the banks would be entitled to exercise the remedies available to them under the amended Facility Agreement, including enforcement of their liens against all of the Company's assets.</w:t>
      </w:r>
    </w:p>
    <w:p>
      <w:pPr>
        <w:spacing w:after="0" w:line="272"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- 42 -</w:t>
      </w:r>
    </w:p>
    <w:p>
      <w:pPr>
        <w:spacing w:after="0" w:line="391"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Under the terms of the amended facility agreement, (i) there are limitations on changes of ownership which generally require that, (a) until such time that more than 50% of our current outstanding loans have been repaid, Israel Corp. hold approximately 32.2 million of our ordinary shares (including shares issuable upon conversion of our convertible debentures) and thereafter hold approximately 14 million of our ordinary shares, and (b) our three largest wafer partners together hold approximately 60% of the shares held by them in January 2006 (with such amount being reduced under certain circumstances); (ii) TIC and our three largest wafer partners nominate a majority of our board of directors, subject to exceptions; and (iii) additional conditions and covenants, including restrictions on incurring debt and a prohibition on the distribution of dividends.</w:t>
      </w:r>
    </w:p>
    <w:p>
      <w:pPr>
        <w:spacing w:after="0" w:line="139" w:lineRule="exact"/>
        <w:rPr>
          <w:sz w:val="20"/>
          <w:szCs w:val="20"/>
          <w:color w:val="auto"/>
        </w:rPr>
      </w:pPr>
    </w:p>
    <w:p>
      <w:pPr>
        <w:ind w:left="8" w:right="4619" w:firstLine="351"/>
        <w:spacing w:after="0" w:line="262" w:lineRule="auto"/>
        <w:rPr>
          <w:sz w:val="20"/>
          <w:szCs w:val="20"/>
          <w:color w:val="auto"/>
        </w:rPr>
      </w:pPr>
      <w:r>
        <w:rPr>
          <w:rFonts w:ascii="Courier New" w:cs="Courier New" w:eastAsia="Courier New" w:hAnsi="Courier New"/>
          <w:sz w:val="11"/>
          <w:szCs w:val="11"/>
          <w:color w:val="auto"/>
        </w:rPr>
        <w:t>Our amended credit facility further provides that upon certain triggering events (such as the commencement of bankruptcy or receivership, proceedings against us ordered by a court of competent jurisdiction or the prior determination of an arbitrator that bankruptcy or receivership proceedings would be issued by a court against us were a petition to be filed with a court seeking reorganization or arrangement under applicable bankruptcy law or our requesting creditor protection), our banks will be able to bring a firm offer made by a potential investor to purchase our shares at the price provided in the offer. In</w:t>
      </w:r>
    </w:p>
    <w:p>
      <w:pPr>
        <w:sectPr>
          <w:pgSz w:w="11900" w:h="16838" w:orient="portrait"/>
          <w:cols w:equalWidth="0" w:num="1">
            <w:col w:w="10247"/>
          </w:cols>
          <w:pgMar w:left="212" w:top="137" w:right="1440" w:bottom="0" w:gutter="0" w:footer="0" w:header="0"/>
        </w:sectPr>
      </w:pPr>
    </w:p>
    <w:bookmarkStart w:id="25" w:name="page26"/>
    <w:bookmarkEnd w:id="25"/>
    <w:p>
      <w:pPr>
        <w:ind w:left="8" w:right="4759"/>
        <w:spacing w:after="0" w:line="262" w:lineRule="auto"/>
        <w:rPr>
          <w:sz w:val="20"/>
          <w:szCs w:val="20"/>
          <w:color w:val="auto"/>
        </w:rPr>
      </w:pPr>
      <w:r>
        <w:rPr>
          <w:rFonts w:ascii="Courier New" w:cs="Courier New" w:eastAsia="Courier New" w:hAnsi="Courier New"/>
          <w:sz w:val="11"/>
          <w:szCs w:val="11"/>
          <w:color w:val="auto"/>
        </w:rPr>
        <w:t>such case, we shall be required thereafter to procure a rights offering to invest up to 60% of the amount of this offer on the same terms. If the offeror intends to purchase a majority of our outstanding share capital, the rights offering will be limited to allow for this, unless Israel Corp. and the wafer partners (excluding QuickLogic) agree to exercise in a rights offering rights applicable to their shareholdings and agree to purchase in a private placement enough shares to ensure that the full amount of the offer is invested.</w:t>
      </w:r>
    </w:p>
    <w:p>
      <w:pPr>
        <w:spacing w:after="0" w:line="12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BANK'S WARRANTS- In January 2001, we issued the banks warrants to purchase an aggregate of 400,000 ordinary shares at a purchase price of $6.20 per share, which expired in January 2006. In December 2003, pursuant to the November 11, 2003 amendment to the credit facility, we issued our banks additional five year warrants to purchase an aggregate of 896,596 ordinary shares at a purchase price of $6.17 per share, exercisable until December 2008. In connection with the July 2005 amendment to the credit facility, we issued our banks five year warrants to purchase an aggregate of 8,264,464 ordinary shares at a purchase price of $1.21 per share. As described above, under the terms of the September 2006 amendment to our facility agreement, the warrants issued to the banks in 2003 and 2005were extended to be exercisable until September 2011. In connection with the September 2007 credit lines we issued each of our banks and TIC warrants to purchase an aggregate of 5,411,764 ordinary shares at an exercise price of $2.04 exercisable until March 2010.</w:t>
      </w:r>
    </w:p>
    <w:p>
      <w:pPr>
        <w:spacing w:after="0" w:line="261"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INVESTMENT BY ISRAEL CORPORATION.</w:t>
      </w:r>
    </w:p>
    <w:p>
      <w:pPr>
        <w:spacing w:after="0" w:line="139" w:lineRule="exact"/>
        <w:rPr>
          <w:sz w:val="20"/>
          <w:szCs w:val="20"/>
          <w:color w:val="auto"/>
        </w:rPr>
      </w:pPr>
    </w:p>
    <w:p>
      <w:pPr>
        <w:ind w:left="8" w:right="4699" w:firstLine="351"/>
        <w:spacing w:after="0" w:line="260" w:lineRule="auto"/>
        <w:rPr>
          <w:sz w:val="20"/>
          <w:szCs w:val="20"/>
          <w:color w:val="auto"/>
        </w:rPr>
      </w:pPr>
      <w:r>
        <w:rPr>
          <w:rFonts w:ascii="Courier New" w:cs="Courier New" w:eastAsia="Courier New" w:hAnsi="Courier New"/>
          <w:sz w:val="11"/>
          <w:szCs w:val="11"/>
          <w:color w:val="auto"/>
        </w:rPr>
        <w:t>In order to implement the ramp-up plan to increase Fab 2's capacity to 24,000 wafers per MONTH in a timely manner, in May 2006, we entered into an Equipment Purchase Agreement with Israel Corporation Ltd. ("TIC" or "Israel Corporation") according to which TIC would order up to approximately $100 million worth of equipment for Fab 2. Under the terms of the Equipment Purchase Agreement: (i) TIC had the right to sell to us the equipment at cost, plus related expenses; (ii) we had the right to purchase the equipment from TIC at cost, plus related expenses, subject to our having raised $100 million; and</w:t>
      </w:r>
    </w:p>
    <w:p>
      <w:pPr>
        <w:spacing w:after="0" w:line="1" w:lineRule="exact"/>
        <w:rPr>
          <w:sz w:val="20"/>
          <w:szCs w:val="20"/>
          <w:color w:val="auto"/>
        </w:rPr>
      </w:pPr>
    </w:p>
    <w:p>
      <w:pPr>
        <w:ind w:left="8" w:right="5259" w:hanging="8"/>
        <w:spacing w:after="0" w:line="235" w:lineRule="auto"/>
        <w:tabs>
          <w:tab w:leader="none" w:pos="430" w:val="left"/>
        </w:tabs>
        <w:numPr>
          <w:ilvl w:val="0"/>
          <w:numId w:val="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upon the purchase of the equipment from TIC we would assume TIC's obligations to the equipment suppliers.</w:t>
      </w:r>
    </w:p>
    <w:p>
      <w:pPr>
        <w:spacing w:after="0" w:line="139"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In regard to our financing efforts for such ramp-up plan to increase Fab 2's capacity to 24,000 wafers per month and in connection with the September 2006 amendment to the Facility Agreement, in August 2006, we entered into a securities purchase agreement with TIC. The principal terms of the Securities Purchase Agreement were: (i) in consideration for its $100 million investment, we issued to TIC capital notes convertible, for no additional consideration, into 65,789,474 of our Ordinary Shares at a conversion price per share of $1.52;</w:t>
      </w:r>
    </w:p>
    <w:p>
      <w:pPr>
        <w:spacing w:after="0" w:line="1" w:lineRule="exact"/>
        <w:rPr>
          <w:sz w:val="20"/>
          <w:szCs w:val="20"/>
          <w:color w:val="auto"/>
        </w:rPr>
      </w:pPr>
    </w:p>
    <w:p>
      <w:pPr>
        <w:ind w:left="8" w:right="4699" w:hanging="8"/>
        <w:spacing w:after="0" w:line="237" w:lineRule="auto"/>
        <w:tabs>
          <w:tab w:leader="none" w:pos="359" w:val="left"/>
        </w:tabs>
        <w:numPr>
          <w:ilvl w:val="0"/>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would be deemed to have exercised the call option under the Equipment Purchase Agreement described above; and (iii) we and TIC would settle the amounts payable by TIC under the Securities Purchase Agreement with the amounts payable by us under the Equipment Purchase Agreement. The Securities Purchase Agreement closed contemporaneously with the closing of the September 2006 amendment to our facility agreement.</w:t>
      </w:r>
    </w:p>
    <w:p>
      <w:pPr>
        <w:spacing w:after="0" w:line="271"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43 -</w:t>
      </w:r>
    </w:p>
    <w:p>
      <w:pPr>
        <w:spacing w:after="0" w:line="391" w:lineRule="exact"/>
        <w:rPr>
          <w:sz w:val="20"/>
          <w:szCs w:val="20"/>
          <w:color w:val="auto"/>
        </w:rPr>
      </w:pPr>
    </w:p>
    <w:p>
      <w:pPr>
        <w:ind w:left="8" w:right="4699" w:firstLine="351"/>
        <w:spacing w:after="0" w:line="236" w:lineRule="auto"/>
        <w:rPr>
          <w:sz w:val="20"/>
          <w:szCs w:val="20"/>
          <w:color w:val="auto"/>
        </w:rPr>
      </w:pPr>
      <w:r>
        <w:rPr>
          <w:rFonts w:ascii="Courier New" w:cs="Courier New" w:eastAsia="Courier New" w:hAnsi="Courier New"/>
          <w:sz w:val="12"/>
          <w:szCs w:val="12"/>
          <w:color w:val="auto"/>
        </w:rPr>
        <w:t>Upon the closing of the September 2006 amendment to our facility agreement and the Securities Purchase Agreement, TIC transferred ownership of the purchased equipment to us and we assumed TIC's obligations to the equipment suppliers.</w:t>
      </w:r>
    </w:p>
    <w:p>
      <w:pPr>
        <w:spacing w:after="0" w:line="13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INVESTMENT CENTER GRANTS</w:t>
      </w:r>
    </w:p>
    <w:p>
      <w:pPr>
        <w:spacing w:after="0" w:line="13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In December 2000, the Israeli government's Investment Center approved an investment program in connection with Fab 2. The approval certificate provides for government grants equal to 20% of qualified investments up to $1.25 billion (i.e., up to $250 million), subject to customary conditions and other conditions, including a requirement that approximately 30% of our Fab 2 funding consist of paid-in-capital and that $550 million of our Fab 2 funding be obtained by way of a credit facility from commercial banks (which amount was subsequently reduced to $500 million with the consent of the Investment Center). We have registered a lien on our assets for the benefit of the Investment Center which ranks subordinate to that of our banks. The approval certificate also provides for a tax holiday on all taxable income related to Fab 2 for the first two years of undistributed profitable operations. As of May 31, 2008, we had received $165 million in grants from the Investment Center, and satisfied in full the 30% requirement described above. As long as we comply with the terms of our approval certificate, we are not required to make royalty payments or any other payments under the terms of our Investment Center grants.</w:t>
      </w:r>
    </w:p>
    <w:p>
      <w:pPr>
        <w:spacing w:after="0" w:line="264"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To be eligible to receive grants, we were required to invest minimum amounts on an annual basis. We notified the Investment Center of our reduced rate of annual investments and in July 2004, we received approval of our revised investment schedule from the Investment Center. Under Israeli law, our not completing investments in an amount of $1.25 billion by the end of 2005 could result in a request from the Investment Center to repay all or a portion of grants already received, which has not been made. Israeli law limits the ability of the Investment Center to extend this time limitation, unless approved through an expansion plan. In 2007, we submitted the final report in relation to the investments made through 2005 totaling $825 million out of the entire investment plan of $1.25 billion. The investment plan has been spread over additional years and was not completed through 2005 primarily due to the external economic conditions of the worldwide markets during 2001 through 2004 and the semiconductor industry in particular following the September 11, 2001 terrorist attack, as well as the outbreak of the Second Intifada (Israeli-Palestinian conflict) in September 2000, which lasted until 2003. We have been holding discussions with the Investment Center to achieve satisfactory arrangements to approve an expansion program to commence as of January 1, 2006. On numerous occasions we have received assurances and commitments from governmental authorities that such an expansion plan will be approved pending positive recommendation of an economical audit by the Industrial Bank of the Investment Center. In 2005, at the Investment Center's request, we submitted a revised business plan to the Investment Center and its Industrial Bank for the period commencing January 1, 2006. While the Industrial Bank of the Investment Center gave a positive recommendation, the governmental approval process has been protracted and as a result, in May 2008, we filed a petition with the Israeli High Court of Justice targeting an approval certificate from the Investment Center for the expansion plan. During the period from January 1, 2006 through May 31, 2008, we invested approximately $230 million in Fab 2 plant and equipment. Currently, we cannot estimate when, if at all, we will receive approval of its request for an expansion plan to commence as of January 1, 2006 or if the Investment Center will approve our request. While there can be no assurance that we will obtain the Investment Center's approval for the expansion plan, we believe that the likelihood that the Investment Center would demand that we repay all or a portion of grants already received due to our not completing investments in an amount of $1.25 billion by the end of 2005 is remote. See Item 3. Key Information - Risk Factors - Risks Affecting Our Business "Risk Factors - If the Investment Center will not approve our request for an expansion program . . ."</w:t>
      </w:r>
    </w:p>
    <w:p>
      <w:pPr>
        <w:sectPr>
          <w:pgSz w:w="11900" w:h="16838" w:orient="portrait"/>
          <w:cols w:equalWidth="0" w:num="1">
            <w:col w:w="10247"/>
          </w:cols>
          <w:pgMar w:left="212" w:top="141" w:right="1440" w:bottom="0" w:gutter="0" w:footer="0" w:header="0"/>
        </w:sectPr>
      </w:pPr>
    </w:p>
    <w:p>
      <w:pPr>
        <w:spacing w:after="0" w:line="282" w:lineRule="exact"/>
        <w:rPr>
          <w:sz w:val="20"/>
          <w:szCs w:val="20"/>
          <w:color w:val="auto"/>
        </w:rPr>
      </w:pPr>
    </w:p>
    <w:p>
      <w:pPr>
        <w:ind w:left="2608"/>
        <w:spacing w:after="0"/>
        <w:rPr>
          <w:sz w:val="20"/>
          <w:szCs w:val="20"/>
          <w:color w:val="auto"/>
        </w:rPr>
      </w:pPr>
      <w:r>
        <w:rPr>
          <w:rFonts w:ascii="Courier New" w:cs="Courier New" w:eastAsia="Courier New" w:hAnsi="Courier New"/>
          <w:sz w:val="11"/>
          <w:szCs w:val="11"/>
          <w:color w:val="auto"/>
        </w:rPr>
        <w:t>- 44 -</w:t>
      </w:r>
    </w:p>
    <w:p>
      <w:pPr>
        <w:sectPr>
          <w:pgSz w:w="11900" w:h="16838" w:orient="portrait"/>
          <w:cols w:equalWidth="0" w:num="1">
            <w:col w:w="10247"/>
          </w:cols>
          <w:pgMar w:left="212" w:top="141" w:right="1440" w:bottom="0" w:gutter="0" w:footer="0" w:header="0"/>
          <w:type w:val="continuous"/>
        </w:sectPr>
      </w:pPr>
    </w:p>
    <w:bookmarkStart w:id="26" w:name="page27"/>
    <w:bookmarkEnd w:id="26"/>
    <w:p>
      <w:pPr>
        <w:ind w:left="8"/>
        <w:spacing w:after="0"/>
        <w:rPr>
          <w:sz w:val="20"/>
          <w:szCs w:val="20"/>
          <w:color w:val="auto"/>
        </w:rPr>
      </w:pPr>
      <w:r>
        <w:rPr>
          <w:rFonts w:ascii="Courier New" w:cs="Courier New" w:eastAsia="Courier New" w:hAnsi="Courier New"/>
          <w:sz w:val="12"/>
          <w:szCs w:val="12"/>
          <w:color w:val="auto"/>
        </w:rPr>
        <w:t>PUBLIC OFFERINGS AND PRIVATE PLACEMENTS</w:t>
      </w:r>
    </w:p>
    <w:p>
      <w:pPr>
        <w:spacing w:after="0" w:line="139" w:lineRule="exact"/>
        <w:rPr>
          <w:sz w:val="20"/>
          <w:szCs w:val="20"/>
          <w:color w:val="auto"/>
        </w:rPr>
      </w:pPr>
    </w:p>
    <w:p>
      <w:pPr>
        <w:ind w:left="8" w:right="4699" w:firstLine="351"/>
        <w:spacing w:after="0" w:line="273" w:lineRule="auto"/>
        <w:rPr>
          <w:sz w:val="20"/>
          <w:szCs w:val="20"/>
          <w:color w:val="auto"/>
        </w:rPr>
      </w:pPr>
      <w:r>
        <w:rPr>
          <w:rFonts w:ascii="Courier New" w:cs="Courier New" w:eastAsia="Courier New" w:hAnsi="Courier New"/>
          <w:sz w:val="11"/>
          <w:szCs w:val="11"/>
          <w:color w:val="auto"/>
        </w:rPr>
        <w:t>Set forth below is a description of public and private offerings of securities completed by us since inception of our financing activity for Fab 2.</w:t>
      </w:r>
    </w:p>
    <w:p>
      <w:pPr>
        <w:spacing w:after="0" w:line="122" w:lineRule="exact"/>
        <w:rPr>
          <w:sz w:val="20"/>
          <w:szCs w:val="20"/>
          <w:color w:val="auto"/>
        </w:rPr>
      </w:pPr>
    </w:p>
    <w:p>
      <w:pPr>
        <w:ind w:left="8" w:right="4619"/>
        <w:spacing w:after="0" w:line="238" w:lineRule="auto"/>
        <w:rPr>
          <w:sz w:val="20"/>
          <w:szCs w:val="20"/>
          <w:color w:val="auto"/>
        </w:rPr>
      </w:pPr>
      <w:r>
        <w:rPr>
          <w:rFonts w:ascii="Courier New" w:cs="Courier New" w:eastAsia="Courier New" w:hAnsi="Courier New"/>
          <w:sz w:val="12"/>
          <w:szCs w:val="12"/>
          <w:color w:val="auto"/>
        </w:rPr>
        <w:t>PUBLIC OFFERING IN ISRAEL. January 2002. In January 2002, we completed a sale of units in Israel, composed of NIS 110,579,800 principal amount of convertible unsecured subordinated debentures and 2,211,596 options, resulting in net proceeds of approximately $21.5 million. Each debenture is NIS 1 in principal amount, and is adjusted to reflect increases in the Israeli Consumer Price Index and bears interest at a rate of 4.7% per annum, payable yearly commencing January 20, 2003. Principal is payable in four installments beginning in January of 2006 through 2009. Prior to December 31, 2008, the debentures are convertible into ordinary shares at a conversion rate of one ordinary share per NIS 41 principal amount of debentures linked to the Israel Consumer Price Index. Each option was exercisable into one ordinary share until January 20, 2006 at an exercise price of NIS 39, linked to the Israel Consumer Price Index. All options expired and none have been exercised.</w:t>
      </w:r>
    </w:p>
    <w:p>
      <w:pPr>
        <w:spacing w:after="0" w:line="139" w:lineRule="exact"/>
        <w:rPr>
          <w:sz w:val="20"/>
          <w:szCs w:val="20"/>
          <w:color w:val="auto"/>
        </w:rPr>
      </w:pPr>
    </w:p>
    <w:p>
      <w:pPr>
        <w:ind w:left="8" w:right="4979" w:firstLine="351"/>
        <w:spacing w:after="0" w:line="235" w:lineRule="auto"/>
        <w:rPr>
          <w:sz w:val="20"/>
          <w:szCs w:val="20"/>
          <w:color w:val="auto"/>
        </w:rPr>
      </w:pPr>
      <w:r>
        <w:rPr>
          <w:rFonts w:ascii="Courier New" w:cs="Courier New" w:eastAsia="Courier New" w:hAnsi="Courier New"/>
          <w:sz w:val="12"/>
          <w:szCs w:val="12"/>
          <w:color w:val="auto"/>
        </w:rPr>
        <w:t>As of May 31, 2008 the outstanding principal amount of the convertible debentures was approximately, $10 million.</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RIGHTS OFFERING 2002. In September 2002, we distributed to our shareholders and certain of our employees in Israel and the United States rights to purchase ordinary shares and warrants to purchase our ordinary shares. Substantially all of the rights exercised in connection with the rights offering were exercised by Israel Corp. and our major wafer partners. The rights offering resulted in net proceeds of approximately $19.7 million.</w:t>
      </w:r>
    </w:p>
    <w:p>
      <w:pPr>
        <w:spacing w:after="0" w:line="140" w:lineRule="exact"/>
        <w:rPr>
          <w:sz w:val="20"/>
          <w:szCs w:val="20"/>
          <w:color w:val="auto"/>
        </w:rPr>
      </w:pPr>
    </w:p>
    <w:p>
      <w:pPr>
        <w:ind w:left="8" w:right="4839" w:firstLine="351"/>
        <w:spacing w:after="0" w:line="264" w:lineRule="auto"/>
        <w:rPr>
          <w:sz w:val="20"/>
          <w:szCs w:val="20"/>
          <w:color w:val="auto"/>
        </w:rPr>
      </w:pPr>
      <w:r>
        <w:rPr>
          <w:rFonts w:ascii="Courier New" w:cs="Courier New" w:eastAsia="Courier New" w:hAnsi="Courier New"/>
          <w:sz w:val="11"/>
          <w:szCs w:val="11"/>
          <w:color w:val="auto"/>
        </w:rPr>
        <w:t>PUBLIC OFFERING- JANUARY 2004. In January 2004, we completed an underwritten public offering in the United States of 11.44 million of our ordinary shares at a price to the public of $7.00 per share. The underwritten public offering resulted in net proceeds of approximately $75.1 million.</w:t>
      </w:r>
    </w:p>
    <w:p>
      <w:pPr>
        <w:spacing w:after="0" w:line="127" w:lineRule="exact"/>
        <w:rPr>
          <w:sz w:val="20"/>
          <w:szCs w:val="20"/>
          <w:color w:val="auto"/>
        </w:rPr>
      </w:pPr>
    </w:p>
    <w:p>
      <w:pPr>
        <w:ind w:left="348"/>
        <w:spacing w:after="0"/>
        <w:rPr>
          <w:sz w:val="20"/>
          <w:szCs w:val="20"/>
          <w:color w:val="auto"/>
        </w:rPr>
      </w:pPr>
      <w:r>
        <w:rPr>
          <w:rFonts w:ascii="Courier New" w:cs="Courier New" w:eastAsia="Courier New" w:hAnsi="Courier New"/>
          <w:sz w:val="11"/>
          <w:szCs w:val="11"/>
          <w:color w:val="auto"/>
        </w:rPr>
        <w:t>RIGHTS OFFERING 2005. In December 2005, we distributed in the United States</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and Israel transferable rights to purchase up to $50 million US dollar</w:t>
      </w:r>
    </w:p>
    <w:p>
      <w:pPr>
        <w:ind w:left="8"/>
        <w:spacing w:after="0"/>
        <w:rPr>
          <w:sz w:val="20"/>
          <w:szCs w:val="20"/>
          <w:color w:val="auto"/>
        </w:rPr>
      </w:pPr>
      <w:r>
        <w:rPr>
          <w:rFonts w:ascii="Courier New" w:cs="Courier New" w:eastAsia="Courier New" w:hAnsi="Courier New"/>
          <w:sz w:val="12"/>
          <w:szCs w:val="12"/>
          <w:color w:val="auto"/>
        </w:rPr>
        <w:t>denominated debentures that are convertible into up to approximately 45.5</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million of our ordinary shares. In connection with the exercise of these rights,</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through January 2006, we issued, in the aggregate, 48.2 million convertible</w:t>
      </w:r>
    </w:p>
    <w:p>
      <w:pPr>
        <w:ind w:left="8"/>
        <w:spacing w:after="0"/>
        <w:rPr>
          <w:sz w:val="20"/>
          <w:szCs w:val="20"/>
          <w:color w:val="auto"/>
        </w:rPr>
      </w:pPr>
      <w:r>
        <w:rPr>
          <w:rFonts w:ascii="Courier New" w:cs="Courier New" w:eastAsia="Courier New" w:hAnsi="Courier New"/>
          <w:sz w:val="12"/>
          <w:szCs w:val="12"/>
          <w:color w:val="auto"/>
        </w:rPr>
        <w:t>debentures, with each debenture of $1.00 in principal amount, or a total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$48.2 million principal amount of debentures, which bear annual interest at the</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rate of 5%. The principal of the debentures, together with accrued interest, is</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payable in one installment on January 12, 2012. The debentures are convertible</w:t>
      </w:r>
    </w:p>
    <w:p>
      <w:pPr>
        <w:ind w:left="8"/>
        <w:spacing w:after="0"/>
        <w:rPr>
          <w:sz w:val="20"/>
          <w:szCs w:val="20"/>
          <w:color w:val="auto"/>
        </w:rPr>
      </w:pPr>
      <w:r>
        <w:rPr>
          <w:rFonts w:ascii="Courier New" w:cs="Courier New" w:eastAsia="Courier New" w:hAnsi="Courier New"/>
          <w:sz w:val="12"/>
          <w:szCs w:val="12"/>
          <w:color w:val="auto"/>
        </w:rPr>
        <w:t>into our ordinary shares at a rate of one ordinary share per $1.10 aggregate</w:t>
      </w:r>
    </w:p>
    <w:p>
      <w:pPr>
        <w:ind w:left="8"/>
        <w:spacing w:after="0" w:line="237" w:lineRule="auto"/>
        <w:rPr>
          <w:sz w:val="20"/>
          <w:szCs w:val="20"/>
          <w:color w:val="auto"/>
        </w:rPr>
      </w:pPr>
      <w:r>
        <w:rPr>
          <w:rFonts w:ascii="Courier New" w:cs="Courier New" w:eastAsia="Courier New" w:hAnsi="Courier New"/>
          <w:sz w:val="12"/>
          <w:szCs w:val="12"/>
          <w:color w:val="auto"/>
        </w:rPr>
        <w:t>principal amount of debentures. The debentures contained a price protection</w:t>
      </w:r>
    </w:p>
    <w:p>
      <w:pPr>
        <w:ind w:left="8"/>
        <w:spacing w:after="0"/>
        <w:rPr>
          <w:sz w:val="20"/>
          <w:szCs w:val="20"/>
          <w:color w:val="auto"/>
        </w:rPr>
      </w:pPr>
      <w:r>
        <w:rPr>
          <w:rFonts w:ascii="Courier New" w:cs="Courier New" w:eastAsia="Courier New" w:hAnsi="Courier New"/>
          <w:sz w:val="12"/>
          <w:szCs w:val="12"/>
          <w:color w:val="auto"/>
        </w:rPr>
        <w:t>anti-dilution provision, which expired in December 2006 without having been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triggered. Subject to the terms of our facility agreement, we may at our option</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announce the early redemption of the debentures, provided that the outstanding</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aggregate balance of principal on account of the debentures is equal to or less</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than $500,000. The debentures and interest thereon are unsecured and rank behind</w:t>
      </w:r>
    </w:p>
    <w:p>
      <w:pPr>
        <w:spacing w:after="0" w:line="10"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our existing and future secured indebtedness. As of May 31, 2008 the outstanding</w:t>
      </w:r>
    </w:p>
    <w:p>
      <w:pPr>
        <w:spacing w:after="0" w:line="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principal amount of the convertible debentures was $27.9 million.</w:t>
      </w:r>
    </w:p>
    <w:p>
      <w:pPr>
        <w:spacing w:after="0" w:line="139" w:lineRule="exact"/>
        <w:rPr>
          <w:sz w:val="20"/>
          <w:szCs w:val="20"/>
          <w:color w:val="auto"/>
        </w:rPr>
      </w:pPr>
    </w:p>
    <w:p>
      <w:pPr>
        <w:ind w:left="8" w:right="4619" w:firstLine="351"/>
        <w:spacing w:after="0" w:line="260" w:lineRule="auto"/>
        <w:rPr>
          <w:sz w:val="20"/>
          <w:szCs w:val="20"/>
          <w:color w:val="auto"/>
        </w:rPr>
      </w:pPr>
      <w:r>
        <w:rPr>
          <w:rFonts w:ascii="Courier New" w:cs="Courier New" w:eastAsia="Courier New" w:hAnsi="Courier New"/>
          <w:sz w:val="11"/>
          <w:szCs w:val="11"/>
          <w:color w:val="auto"/>
        </w:rPr>
        <w:t>PUBLIC OFFERING IN ISRAEL 2006. In June 2006, we completed an underwritten public offering of our securities on the TASE in Israel resulting in gross proceeds of approximately NIS 140 million (approximately $31 million). In the offering the following securities were issued, in the aggregate, (i) convertible debentures in the face amount of NIS 163,800,000 (approximately $36.7 million),</w:t>
      </w:r>
    </w:p>
    <w:p>
      <w:pPr>
        <w:spacing w:after="0" w:line="1" w:lineRule="exact"/>
        <w:rPr>
          <w:sz w:val="20"/>
          <w:szCs w:val="20"/>
          <w:color w:val="auto"/>
        </w:rPr>
      </w:pPr>
    </w:p>
    <w:p>
      <w:pPr>
        <w:ind w:left="8" w:right="4619" w:hanging="8"/>
        <w:spacing w:after="0" w:line="237" w:lineRule="auto"/>
        <w:tabs>
          <w:tab w:leader="none" w:pos="359" w:val="left"/>
        </w:tabs>
        <w:numPr>
          <w:ilvl w:val="0"/>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390,000 options each exercisable for three months ended September 27, 2006 for NIS 100 principal amount of convertible debentures at an exercise price equal to 85% of their face amount linked to the Israeli Consumer Price Index ("CPI"), (iii) 10,920,000 warrants each exercisable for three months ended September 27, 2006 for one ordinary share at a price of NIS 6.75 linked to the CPI and (iv) 5,460,000 warrants each exercisable for three years ending June 30, 2009 for one ordinary share at a price of NIS 7.40 (approximately $2.2), linked to the CPI. In addition, the Company sold the same securities through a private placement to its market maker in connection with the offering in consideration for NIS 526,000.</w:t>
      </w:r>
    </w:p>
    <w:p>
      <w:pPr>
        <w:spacing w:after="0" w:line="274"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45 -</w:t>
      </w:r>
    </w:p>
    <w:p>
      <w:pPr>
        <w:spacing w:after="0" w:line="391"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The options and warrants described in (ii) and (iii) above expired in September 2006 and the warrants described in (iv) above expire on June 28, 2009. The convertible debentures are convertible into ordinary shares at a conversion rate of one ordinary share per NIS 8.40 (approximately $2.5) principal amount of convertible debentures. The convertible debentures carry a zero coupon with principal payable at maturity in December 2011, at a premium of 37% over face value, linked to the Israeli Consumer Price Index (CPI). Under the terms of the convertible debentures, to the extent that the weighted average of the closing price of our shares on the Tel-Aviv Stock Exchange during the thirty trading days preceding June 27, 2008 is below NIS 6.60, the conversion rate will be decreased by the difference, expressed as a percentage, between NIS 6.60 and such weighted average. As of May 31, 2008 the outstanding principal amount of the convertible debentures was approximately $65.1 million.</w:t>
      </w:r>
    </w:p>
    <w:p>
      <w:pPr>
        <w:spacing w:after="0" w:line="130" w:lineRule="exact"/>
        <w:rPr>
          <w:sz w:val="20"/>
          <w:szCs w:val="20"/>
          <w:color w:val="auto"/>
        </w:rPr>
      </w:pPr>
    </w:p>
    <w:p>
      <w:pPr>
        <w:ind w:left="8" w:right="4759" w:firstLine="351"/>
        <w:spacing w:after="0" w:line="237" w:lineRule="auto"/>
        <w:rPr>
          <w:sz w:val="20"/>
          <w:szCs w:val="20"/>
          <w:color w:val="auto"/>
        </w:rPr>
      </w:pPr>
      <w:r>
        <w:rPr>
          <w:rFonts w:ascii="Courier New" w:cs="Courier New" w:eastAsia="Courier New" w:hAnsi="Courier New"/>
          <w:sz w:val="12"/>
          <w:szCs w:val="12"/>
          <w:color w:val="auto"/>
        </w:rPr>
        <w:t>PRIVATE PLACEMENT IN ISRAEL 2006. In the fourth quarter of 2006, we received and accepted orders from Israeli investors in private placements for 11,615,000 Ordinary Shares and 5,227,500 warrants ("Series 5 Warrants") in the aggregate. The price of the Ordinary Shares was equal to the closing price of our shares on the Tel-Aviv Stock Exchange prior to the relevant private placements and the warrants were issued for no consideration. Total immediate gross proceeds amounted to approximately $22 million.</w:t>
      </w:r>
    </w:p>
    <w:p>
      <w:pPr>
        <w:spacing w:after="0" w:line="141"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Each of the Series 5 Warrants is exercisable at any time during a period of four years ending in December 2010 at a price per share equal to NIS 9.48 (approximately $2.9) linked to the CPI, reflecting a 25% premium to the market price of the Company's shares at the date the prospectus was published.</w:t>
      </w:r>
    </w:p>
    <w:p>
      <w:pPr>
        <w:spacing w:after="0" w:line="141"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PRIVATE PLACEMENT IN THE US - MARCH 2007. In March 2007, we completed a private placement of our securities in which we sold ordinary shares and warrants for the purchase of ordinary shares, raising a total of approximately $29 million in gross proceeds. In the private placement, the Company issued approximately 18.8 million shares, warrants exercisable for approximately 9.4 million shares at an exercise price of $2.04 (subject to downward adjustments), exercisable until March 15, 2012 ("Series I Warrants"), and short-term warrants exercisable for approximately 18.8 million shares at an exercise price of $1.70, which was identical to the closing price of the Company's ordinary shares on the NASDAQ on the trading day immediately prior to the closing of the private placement ("Series II Warrants"), exercisable until December 31, 2007. All of the Series II Warrants have expired by their terms without exercise.</w:t>
      </w:r>
    </w:p>
    <w:p>
      <w:pPr>
        <w:spacing w:after="0" w:line="130" w:lineRule="exact"/>
        <w:rPr>
          <w:sz w:val="20"/>
          <w:szCs w:val="20"/>
          <w:color w:val="auto"/>
        </w:rPr>
      </w:pPr>
    </w:p>
    <w:p>
      <w:pPr>
        <w:ind w:left="8" w:right="4619" w:firstLine="351"/>
        <w:spacing w:after="0" w:line="262" w:lineRule="auto"/>
        <w:rPr>
          <w:sz w:val="20"/>
          <w:szCs w:val="20"/>
          <w:color w:val="auto"/>
        </w:rPr>
      </w:pPr>
      <w:r>
        <w:rPr>
          <w:rFonts w:ascii="Courier New" w:cs="Courier New" w:eastAsia="Courier New" w:hAnsi="Courier New"/>
          <w:sz w:val="11"/>
          <w:szCs w:val="11"/>
          <w:color w:val="auto"/>
        </w:rPr>
        <w:t>LONG TERM DEBENTURES ISSUED IN ISRAEL - 2007. In the second half of 2007, in a private placement with Israeli investors, we accepted orders for 342 units, resulting in gross proceeds of approximately NIS 167 million (approximately $40 million). Each unit was comprised of: (i) long-term non-convertible bonds, repayable in six equal annual installments between the dates of December 2011 and December 2016, with a face amount of NIS 250,000 (approximately $59,700) and</w:t>
      </w:r>
    </w:p>
    <w:p>
      <w:pPr>
        <w:sectPr>
          <w:pgSz w:w="11900" w:h="16838" w:orient="portrait"/>
          <w:cols w:equalWidth="0" w:num="1">
            <w:col w:w="10247"/>
          </w:cols>
          <w:pgMar w:left="212" w:top="407" w:right="1440" w:bottom="0" w:gutter="0" w:footer="0" w:header="0"/>
        </w:sectPr>
      </w:pPr>
    </w:p>
    <w:bookmarkStart w:id="27" w:name="page28"/>
    <w:bookmarkEnd w:id="27"/>
    <w:p>
      <w:pPr>
        <w:ind w:left="8" w:right="4619"/>
        <w:spacing w:after="0" w:line="261" w:lineRule="auto"/>
        <w:rPr>
          <w:sz w:val="20"/>
          <w:szCs w:val="20"/>
          <w:color w:val="auto"/>
        </w:rPr>
      </w:pPr>
      <w:r>
        <w:rPr>
          <w:rFonts w:ascii="Courier New" w:cs="Courier New" w:eastAsia="Courier New" w:hAnsi="Courier New"/>
          <w:sz w:val="11"/>
          <w:szCs w:val="11"/>
          <w:color w:val="auto"/>
        </w:rPr>
        <w:t>carrying an annual interest rate of 8 percent; (ii) long-term convertible bonds repayable in December 2012 with a 17.2 NIS conversion price (approximately $5.2) and with a face amount of NIS 262,500 (approximately $62,700), carrying an annual interest rate of 8 percent, and (iii) 5,800 warrants, each exercisable for four years from the date the below mentioned prospectus is published, for one ordinary share at a price of $2.04). Principal and interest on the bonds, including the convertible bonds, are linked to the Israeli consumer price index, or CPI, and were issued at 95.5% of par value. The conversion and exercise prices are subject to reduction in certain limited circumstances.</w:t>
      </w:r>
    </w:p>
    <w:p>
      <w:pPr>
        <w:spacing w:after="0" w:line="262"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- 46 -</w:t>
      </w:r>
    </w:p>
    <w:p>
      <w:pPr>
        <w:spacing w:after="0" w:line="391" w:lineRule="exact"/>
        <w:rPr>
          <w:sz w:val="20"/>
          <w:szCs w:val="20"/>
          <w:color w:val="auto"/>
        </w:rPr>
      </w:pPr>
    </w:p>
    <w:p>
      <w:pPr>
        <w:ind w:left="8" w:right="4759" w:firstLine="351"/>
        <w:spacing w:after="0" w:line="262" w:lineRule="auto"/>
        <w:rPr>
          <w:sz w:val="20"/>
          <w:szCs w:val="20"/>
          <w:color w:val="auto"/>
        </w:rPr>
      </w:pPr>
      <w:r>
        <w:rPr>
          <w:rFonts w:ascii="Courier New" w:cs="Courier New" w:eastAsia="Courier New" w:hAnsi="Courier New"/>
          <w:sz w:val="11"/>
          <w:szCs w:val="11"/>
          <w:color w:val="auto"/>
        </w:rPr>
        <w:t>In September 2007, we expanded our series of long-term debentures and warrants, by selling 12,118 units, each comprised of long-term non-convertible debentures, with a face amount of NIS 2,500 (approximately $620), long-term convertible debentures, with a face amount of NIS 2,625 (approximately $650), and 58 warrants. The debentures were issued at 90% of par value and with the same terms as the debentures and the warrants issued in the private placement. In this expansion, we raised gross proceeds of approximately $14 million.</w:t>
      </w:r>
    </w:p>
    <w:p>
      <w:pPr>
        <w:spacing w:after="0" w:line="129" w:lineRule="exact"/>
        <w:rPr>
          <w:sz w:val="20"/>
          <w:szCs w:val="20"/>
          <w:color w:val="auto"/>
        </w:rPr>
      </w:pPr>
    </w:p>
    <w:p>
      <w:pPr>
        <w:ind w:left="8" w:right="4899" w:firstLine="351"/>
        <w:spacing w:after="0" w:line="237" w:lineRule="auto"/>
        <w:rPr>
          <w:sz w:val="20"/>
          <w:szCs w:val="20"/>
          <w:color w:val="auto"/>
        </w:rPr>
      </w:pPr>
      <w:r>
        <w:rPr>
          <w:rFonts w:ascii="Courier New" w:cs="Courier New" w:eastAsia="Courier New" w:hAnsi="Courier New"/>
          <w:sz w:val="12"/>
          <w:szCs w:val="12"/>
          <w:color w:val="auto"/>
        </w:rPr>
        <w:t>On January 4, 2008 we expanded our series of long-term convertible debentures which were issued at 85% of par value in consideration for gross proceeds of approximately $1.4 million. As of May 31, 2008 the outstanding principal amount of the long-term convertible bonds amount was approximately $40.9million and the amount of long-term non-convertible bonds was (approximately $37million.</w:t>
      </w:r>
    </w:p>
    <w:p>
      <w:pPr>
        <w:spacing w:after="0" w:line="140" w:lineRule="exact"/>
        <w:rPr>
          <w:sz w:val="20"/>
          <w:szCs w:val="20"/>
          <w:color w:val="auto"/>
        </w:rPr>
      </w:pPr>
    </w:p>
    <w:p>
      <w:pPr>
        <w:ind w:left="8" w:right="4759" w:firstLine="351"/>
        <w:spacing w:after="0" w:line="237" w:lineRule="auto"/>
        <w:rPr>
          <w:sz w:val="20"/>
          <w:szCs w:val="20"/>
          <w:color w:val="auto"/>
        </w:rPr>
      </w:pPr>
      <w:r>
        <w:rPr>
          <w:rFonts w:ascii="Courier New" w:cs="Courier New" w:eastAsia="Courier New" w:hAnsi="Courier New"/>
          <w:sz w:val="12"/>
          <w:szCs w:val="12"/>
          <w:color w:val="auto"/>
        </w:rPr>
        <w:t>REGISTRATION STATEMENT In January 2008, we filed a shelf registration statement on Form F-3 with the U.S. Securities and Exchange Commission, registering the possible offer and sale from time to time of up to $40 million of securities which we may elect to offer and sell during the three years following the effective date of the registration statement. The registration form was declared effective in February 2008.</w:t>
      </w:r>
    </w:p>
    <w:p>
      <w:pPr>
        <w:spacing w:after="0" w:line="13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C. RESEARCH AND DEVELOPMENT, PATENTS AND LICENSES</w:t>
      </w:r>
    </w:p>
    <w:p>
      <w:pPr>
        <w:spacing w:after="0" w:line="139" w:lineRule="exact"/>
        <w:rPr>
          <w:sz w:val="20"/>
          <w:szCs w:val="20"/>
          <w:color w:val="auto"/>
        </w:rPr>
      </w:pPr>
    </w:p>
    <w:p>
      <w:pPr>
        <w:ind w:left="8" w:right="4619" w:firstLine="351"/>
        <w:spacing w:after="0" w:line="238" w:lineRule="auto"/>
        <w:rPr>
          <w:sz w:val="20"/>
          <w:szCs w:val="20"/>
          <w:color w:val="auto"/>
        </w:rPr>
      </w:pPr>
      <w:r>
        <w:rPr>
          <w:rFonts w:ascii="Courier New" w:cs="Courier New" w:eastAsia="Courier New" w:hAnsi="Courier New"/>
          <w:sz w:val="12"/>
          <w:szCs w:val="12"/>
          <w:color w:val="auto"/>
        </w:rPr>
        <w:t>Our research and development activities have related primarily to our process development, and have been sponsored and funded by us with some participation by the Israeli government. Research and development expenses for the years ended December 31, 2007, 2006 and 2005 were $13.8 million, $15.0 million and $16.0 million net of government participation of $2.6 million, $1.9 million and $1.0 million, respectively We have also incurred costs in connection with the transfer of Toshiba and Freescale technology for use in Fab 2, some of which have been amortized over the estimated economic life of the technology following the commencement of production in Fab 2 during the third quarter of 2003 (see also in this Item "Critical Accounting Policies - Depreciation and Amortization"). For a description of our research &amp; development policies and our patents and licenses, see "Item 4. Information on the Company-4.B. Business Overview".</w:t>
      </w:r>
    </w:p>
    <w:p>
      <w:pPr>
        <w:spacing w:after="0" w:line="135"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D. TREND INFORMATION</w:t>
      </w:r>
    </w:p>
    <w:p>
      <w:pPr>
        <w:spacing w:after="0" w:line="139" w:lineRule="exact"/>
        <w:rPr>
          <w:sz w:val="20"/>
          <w:szCs w:val="20"/>
          <w:color w:val="auto"/>
        </w:rPr>
      </w:pPr>
    </w:p>
    <w:p>
      <w:pPr>
        <w:ind w:left="8" w:right="4759" w:firstLine="351"/>
        <w:spacing w:after="0" w:line="237" w:lineRule="auto"/>
        <w:rPr>
          <w:sz w:val="20"/>
          <w:szCs w:val="20"/>
          <w:color w:val="auto"/>
        </w:rPr>
      </w:pPr>
      <w:r>
        <w:rPr>
          <w:rFonts w:ascii="Courier New" w:cs="Courier New" w:eastAsia="Courier New" w:hAnsi="Courier New"/>
          <w:sz w:val="12"/>
          <w:szCs w:val="12"/>
          <w:color w:val="auto"/>
        </w:rPr>
        <w:t>The semiconductor industry has historically been highly cyclical on a seasonal and long-term basis. On a long-term basis, the market has fluctuated, cycling through periods of weak demand, production overcapacity, excess inventory and lower sales prices and periods of strong demand, full capacity utilization, product shortages and higher sales prices.</w:t>
      </w:r>
    </w:p>
    <w:p>
      <w:pPr>
        <w:spacing w:after="0" w:line="13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There is a trend within the semiconductor industry toward ever-smaller features and ever-growing wafer sizes. State-of-the-art fabs are currently using process geometries of 90-nanometer and below and wafer sizes of 300-mm. As demand for smaller geometries increases, there is downward pressure on the pricing of larger geometry products and increasing underutilization of fabs that are limited to manufacturing larger geometry products, which results in less profitability for manufacturers of larger geometry products. Fab 1 is limited to geometries of 0.35-micron and above on 150-mm wafers and Fab 2 currently offers process geometries of 0.18 and 0.13-micron and produces 200-mm wafers.</w:t>
      </w:r>
    </w:p>
    <w:p>
      <w:pPr>
        <w:spacing w:after="0" w:line="127"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E. OFF-BALANCE SHEET ARRANGEMENTS</w:t>
      </w:r>
    </w:p>
    <w:p>
      <w:pPr>
        <w:spacing w:after="0" w:line="139" w:lineRule="exact"/>
        <w:rPr>
          <w:sz w:val="20"/>
          <w:szCs w:val="20"/>
          <w:color w:val="auto"/>
        </w:rPr>
      </w:pPr>
    </w:p>
    <w:p>
      <w:pPr>
        <w:jc w:val="both"/>
        <w:ind w:left="8" w:right="4759" w:firstLine="351"/>
        <w:spacing w:after="0" w:line="236" w:lineRule="auto"/>
        <w:rPr>
          <w:sz w:val="20"/>
          <w:szCs w:val="20"/>
          <w:color w:val="auto"/>
        </w:rPr>
      </w:pPr>
      <w:r>
        <w:rPr>
          <w:rFonts w:ascii="Courier New" w:cs="Courier New" w:eastAsia="Courier New" w:hAnsi="Courier New"/>
          <w:sz w:val="12"/>
          <w:szCs w:val="12"/>
          <w:color w:val="auto"/>
        </w:rPr>
        <w:t>We are not a party to any material off-balance sheet arrangements except for purchase commitments, standby letters of credit and guarantees detailed in section F below.</w:t>
      </w:r>
    </w:p>
    <w:p>
      <w:pPr>
        <w:spacing w:after="0" w:line="270"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- 47 -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F. TABULAR DISCLOSURE OF CONTRACTUAL OBLIGATIONS</w:t>
      </w:r>
    </w:p>
    <w:p>
      <w:pPr>
        <w:spacing w:after="0" w:line="139" w:lineRule="exact"/>
        <w:rPr>
          <w:sz w:val="20"/>
          <w:szCs w:val="20"/>
          <w:color w:val="auto"/>
        </w:rPr>
      </w:pPr>
    </w:p>
    <w:p>
      <w:pPr>
        <w:jc w:val="both"/>
        <w:ind w:left="8" w:right="4759" w:firstLine="351"/>
        <w:spacing w:after="0" w:line="235" w:lineRule="auto"/>
        <w:rPr>
          <w:sz w:val="20"/>
          <w:szCs w:val="20"/>
          <w:color w:val="auto"/>
        </w:rPr>
      </w:pPr>
      <w:r>
        <w:rPr>
          <w:rFonts w:ascii="Courier New" w:cs="Courier New" w:eastAsia="Courier New" w:hAnsi="Courier New"/>
          <w:sz w:val="12"/>
          <w:szCs w:val="12"/>
          <w:color w:val="auto"/>
        </w:rPr>
        <w:t>The following table summarizes our contractual obligations and commercial commitments as of December 31, 2007:</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PAYMENT DUE</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480" w:type="dxa"/>
            <w:vAlign w:val="bottom"/>
          </w:tcPr>
          <w:p>
            <w:pPr>
              <w:spacing w:after="0"/>
              <w:rPr>
                <w:sz w:val="11"/>
                <w:szCs w:val="11"/>
                <w:color w:val="auto"/>
              </w:rPr>
            </w:pPr>
          </w:p>
        </w:tc>
        <w:tc>
          <w:tcPr>
            <w:tcW w:w="6580" w:type="dxa"/>
            <w:vAlign w:val="bottom"/>
            <w:gridSpan w:val="7"/>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LESS THAN</w:t>
            </w:r>
          </w:p>
        </w:tc>
        <w:tc>
          <w:tcPr>
            <w:tcW w:w="8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AFTER 5</w:t>
            </w:r>
          </w:p>
        </w:tc>
      </w:tr>
      <w:tr>
        <w:trPr>
          <w:trHeight w:val="135"/>
        </w:trPr>
        <w:tc>
          <w:tcPr>
            <w:tcW w:w="2480" w:type="dxa"/>
            <w:vAlign w:val="bottom"/>
          </w:tcPr>
          <w:p>
            <w:pPr>
              <w:spacing w:after="0"/>
              <w:rPr>
                <w:sz w:val="11"/>
                <w:szCs w:val="11"/>
                <w:color w:val="auto"/>
              </w:rPr>
            </w:pPr>
          </w:p>
        </w:tc>
        <w:tc>
          <w:tcPr>
            <w:tcW w:w="8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TOTAL</w:t>
            </w:r>
          </w:p>
        </w:tc>
        <w:tc>
          <w:tcPr>
            <w:tcW w:w="10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 YEAR</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 YEARS</w:t>
            </w:r>
          </w:p>
        </w:tc>
        <w:tc>
          <w:tcPr>
            <w:tcW w:w="12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3 YEARS</w:t>
            </w: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 YEARS</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 YEARS</w:t>
            </w:r>
          </w:p>
        </w:tc>
        <w:tc>
          <w:tcPr>
            <w:tcW w:w="7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YEARS</w:t>
            </w:r>
          </w:p>
        </w:tc>
      </w:tr>
      <w:tr>
        <w:trPr>
          <w:trHeight w:val="135"/>
        </w:trPr>
        <w:tc>
          <w:tcPr>
            <w:tcW w:w="2480" w:type="dxa"/>
            <w:vAlign w:val="bottom"/>
          </w:tcPr>
          <w:p>
            <w:pPr>
              <w:spacing w:after="0"/>
              <w:rPr>
                <w:sz w:val="11"/>
                <w:szCs w:val="11"/>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(IN THOUSANDS)</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70"/>
        </w:trPr>
        <w:tc>
          <w:tcPr>
            <w:tcW w:w="2480" w:type="dxa"/>
            <w:vAlign w:val="bottom"/>
          </w:tcPr>
          <w:p>
            <w:pPr>
              <w:spacing w:after="0"/>
              <w:rPr>
                <w:sz w:val="20"/>
                <w:szCs w:val="20"/>
                <w:color w:val="auto"/>
              </w:rPr>
            </w:pPr>
            <w:r>
              <w:rPr>
                <w:rFonts w:ascii="Courier New" w:cs="Courier New" w:eastAsia="Courier New" w:hAnsi="Courier New"/>
                <w:sz w:val="12"/>
                <w:szCs w:val="12"/>
                <w:color w:val="auto"/>
              </w:rPr>
              <w:t>CONTRACTUAL OBLIGATIONS</w:t>
            </w:r>
          </w:p>
        </w:tc>
        <w:tc>
          <w:tcPr>
            <w:tcW w:w="8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35"/>
        </w:trPr>
        <w:tc>
          <w:tcPr>
            <w:tcW w:w="2480" w:type="dxa"/>
            <w:vAlign w:val="bottom"/>
          </w:tcPr>
          <w:p>
            <w:pPr>
              <w:spacing w:after="0"/>
              <w:rPr>
                <w:sz w:val="20"/>
                <w:szCs w:val="20"/>
                <w:color w:val="auto"/>
              </w:rPr>
            </w:pPr>
            <w:r>
              <w:rPr>
                <w:rFonts w:ascii="Courier New" w:cs="Courier New" w:eastAsia="Courier New" w:hAnsi="Courier New"/>
                <w:sz w:val="12"/>
                <w:szCs w:val="12"/>
                <w:color w:val="auto"/>
              </w:rPr>
              <w:t>Short Term Debt(1)</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49,025</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49,025</w:t>
            </w:r>
          </w:p>
        </w:tc>
        <w:tc>
          <w:tcPr>
            <w:tcW w:w="8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480" w:type="dxa"/>
            <w:vAlign w:val="bottom"/>
          </w:tcPr>
          <w:p>
            <w:pPr>
              <w:spacing w:after="0"/>
              <w:rPr>
                <w:sz w:val="20"/>
                <w:szCs w:val="20"/>
                <w:color w:val="auto"/>
              </w:rPr>
            </w:pPr>
            <w:r>
              <w:rPr>
                <w:rFonts w:ascii="Courier New" w:cs="Courier New" w:eastAsia="Courier New" w:hAnsi="Courier New"/>
                <w:sz w:val="12"/>
                <w:szCs w:val="12"/>
                <w:color w:val="auto"/>
              </w:rPr>
              <w:t>Other current liabilities(1)</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10,797</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10,797</w:t>
            </w:r>
          </w:p>
        </w:tc>
        <w:tc>
          <w:tcPr>
            <w:tcW w:w="8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480" w:type="dxa"/>
            <w:vAlign w:val="bottom"/>
          </w:tcPr>
          <w:p>
            <w:pPr>
              <w:spacing w:after="0"/>
              <w:rPr>
                <w:sz w:val="20"/>
                <w:szCs w:val="20"/>
                <w:color w:val="auto"/>
              </w:rPr>
            </w:pPr>
            <w:r>
              <w:rPr>
                <w:rFonts w:ascii="Courier New" w:cs="Courier New" w:eastAsia="Courier New" w:hAnsi="Courier New"/>
                <w:sz w:val="12"/>
                <w:szCs w:val="12"/>
                <w:color w:val="auto"/>
              </w:rPr>
              <w:t>Long term debt(2)</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483,479</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32,600</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116,456</w:t>
            </w:r>
          </w:p>
        </w:tc>
        <w:tc>
          <w:tcPr>
            <w:tcW w:w="12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139,709</w:t>
            </w: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131,796</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62,918</w:t>
            </w:r>
          </w:p>
        </w:tc>
        <w:tc>
          <w:tcPr>
            <w:tcW w:w="740" w:type="dxa"/>
            <w:vAlign w:val="bottom"/>
          </w:tcPr>
          <w:p>
            <w:pPr>
              <w:spacing w:after="0"/>
              <w:rPr>
                <w:sz w:val="11"/>
                <w:szCs w:val="11"/>
                <w:color w:val="auto"/>
              </w:rPr>
            </w:pPr>
          </w:p>
        </w:tc>
      </w:tr>
      <w:tr>
        <w:trPr>
          <w:trHeight w:val="135"/>
        </w:trPr>
        <w:tc>
          <w:tcPr>
            <w:tcW w:w="2480" w:type="dxa"/>
            <w:vAlign w:val="bottom"/>
          </w:tcPr>
          <w:p>
            <w:pPr>
              <w:spacing w:after="0"/>
              <w:rPr>
                <w:sz w:val="20"/>
                <w:szCs w:val="20"/>
                <w:color w:val="auto"/>
              </w:rPr>
            </w:pPr>
            <w:r>
              <w:rPr>
                <w:rFonts w:ascii="Courier New" w:cs="Courier New" w:eastAsia="Courier New" w:hAnsi="Courier New"/>
                <w:sz w:val="12"/>
                <w:szCs w:val="12"/>
                <w:color w:val="auto"/>
              </w:rPr>
              <w:t>Convertible Debenture(3)</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214,577</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18,417</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18,041</w:t>
            </w:r>
          </w:p>
        </w:tc>
        <w:tc>
          <w:tcPr>
            <w:tcW w:w="12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9,674</w:t>
            </w: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68,386</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72,773</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27,286</w:t>
            </w:r>
          </w:p>
        </w:tc>
      </w:tr>
      <w:tr>
        <w:trPr>
          <w:trHeight w:val="135"/>
        </w:trPr>
        <w:tc>
          <w:tcPr>
            <w:tcW w:w="2480" w:type="dxa"/>
            <w:vAlign w:val="bottom"/>
          </w:tcPr>
          <w:p>
            <w:pPr>
              <w:spacing w:after="0"/>
              <w:rPr>
                <w:sz w:val="20"/>
                <w:szCs w:val="20"/>
                <w:color w:val="auto"/>
              </w:rPr>
            </w:pPr>
            <w:r>
              <w:rPr>
                <w:rFonts w:ascii="Courier New" w:cs="Courier New" w:eastAsia="Courier New" w:hAnsi="Courier New"/>
                <w:sz w:val="12"/>
                <w:szCs w:val="12"/>
                <w:color w:val="auto"/>
              </w:rPr>
              <w:t>Operating leases</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4,211</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2,544</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1,248</w:t>
            </w:r>
          </w:p>
        </w:tc>
        <w:tc>
          <w:tcPr>
            <w:tcW w:w="12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419</w:t>
            </w: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480" w:type="dxa"/>
            <w:vAlign w:val="bottom"/>
          </w:tcPr>
          <w:p>
            <w:pPr>
              <w:spacing w:after="0"/>
              <w:rPr>
                <w:sz w:val="20"/>
                <w:szCs w:val="20"/>
                <w:color w:val="auto"/>
              </w:rPr>
            </w:pPr>
            <w:r>
              <w:rPr>
                <w:rFonts w:ascii="Courier New" w:cs="Courier New" w:eastAsia="Courier New" w:hAnsi="Courier New"/>
                <w:sz w:val="12"/>
                <w:szCs w:val="12"/>
                <w:color w:val="auto"/>
              </w:rPr>
              <w:t>Construction &amp; equipment purchase</w:t>
            </w: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5"/>
        </w:trPr>
        <w:tc>
          <w:tcPr>
            <w:tcW w:w="2480" w:type="dxa"/>
            <w:vAlign w:val="bottom"/>
          </w:tcPr>
          <w:p>
            <w:pPr>
              <w:spacing w:after="0"/>
              <w:rPr>
                <w:sz w:val="20"/>
                <w:szCs w:val="20"/>
                <w:color w:val="auto"/>
              </w:rPr>
            </w:pPr>
            <w:r>
              <w:rPr>
                <w:rFonts w:ascii="Courier New" w:cs="Courier New" w:eastAsia="Courier New" w:hAnsi="Courier New"/>
                <w:sz w:val="12"/>
                <w:szCs w:val="12"/>
                <w:color w:val="auto"/>
              </w:rPr>
              <w:t>agreements(4)</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45,606</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45,606</w:t>
            </w:r>
          </w:p>
        </w:tc>
        <w:tc>
          <w:tcPr>
            <w:tcW w:w="8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270"/>
        </w:trPr>
        <w:tc>
          <w:tcPr>
            <w:tcW w:w="2480" w:type="dxa"/>
            <w:vAlign w:val="bottom"/>
          </w:tcPr>
          <w:p>
            <w:pPr>
              <w:spacing w:after="0"/>
              <w:rPr>
                <w:sz w:val="20"/>
                <w:szCs w:val="20"/>
                <w:color w:val="auto"/>
              </w:rPr>
            </w:pPr>
            <w:r>
              <w:rPr>
                <w:rFonts w:ascii="Courier New" w:cs="Courier New" w:eastAsia="Courier New" w:hAnsi="Courier New"/>
                <w:sz w:val="12"/>
                <w:szCs w:val="12"/>
                <w:color w:val="auto"/>
              </w:rPr>
              <w:t>Other long-term liabilities</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36,103</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8,297</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10,738</w:t>
            </w:r>
          </w:p>
        </w:tc>
        <w:tc>
          <w:tcPr>
            <w:tcW w:w="12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5,307</w:t>
            </w: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2,382</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2,337</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7,042</w:t>
            </w:r>
          </w:p>
        </w:tc>
      </w:tr>
      <w:tr>
        <w:trPr>
          <w:trHeight w:val="135"/>
        </w:trPr>
        <w:tc>
          <w:tcPr>
            <w:tcW w:w="2480" w:type="dxa"/>
            <w:vAlign w:val="bottom"/>
          </w:tcPr>
          <w:p>
            <w:pPr>
              <w:spacing w:after="0"/>
              <w:rPr>
                <w:sz w:val="20"/>
                <w:szCs w:val="20"/>
                <w:color w:val="auto"/>
              </w:rPr>
            </w:pPr>
            <w:r>
              <w:rPr>
                <w:rFonts w:ascii="Courier New" w:cs="Courier New" w:eastAsia="Courier New" w:hAnsi="Courier New"/>
                <w:sz w:val="12"/>
                <w:szCs w:val="12"/>
                <w:color w:val="auto"/>
              </w:rPr>
              <w:t>Purchase obligations</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25,370</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2,716</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2,668</w:t>
            </w:r>
          </w:p>
        </w:tc>
        <w:tc>
          <w:tcPr>
            <w:tcW w:w="12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2,702</w:t>
            </w: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2,682</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2,586</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12,016</w:t>
            </w:r>
          </w:p>
        </w:tc>
      </w:tr>
      <w:tr>
        <w:trPr>
          <w:trHeight w:val="135"/>
        </w:trPr>
        <w:tc>
          <w:tcPr>
            <w:tcW w:w="2480" w:type="dxa"/>
            <w:vAlign w:val="bottom"/>
          </w:tcPr>
          <w:p>
            <w:pPr>
              <w:spacing w:after="0"/>
              <w:rPr>
                <w:sz w:val="11"/>
                <w:szCs w:val="11"/>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2480" w:type="dxa"/>
            <w:vAlign w:val="bottom"/>
          </w:tcPr>
          <w:p>
            <w:pPr>
              <w:spacing w:after="0"/>
              <w:rPr>
                <w:sz w:val="20"/>
                <w:szCs w:val="20"/>
                <w:color w:val="auto"/>
              </w:rPr>
            </w:pPr>
            <w:r>
              <w:rPr>
                <w:rFonts w:ascii="Courier New" w:cs="Courier New" w:eastAsia="Courier New" w:hAnsi="Courier New"/>
                <w:sz w:val="12"/>
                <w:szCs w:val="12"/>
                <w:color w:val="auto"/>
              </w:rPr>
              <w:t>Total contractual obligations</w:t>
            </w: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869,168</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170,002</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149,151</w:t>
            </w:r>
          </w:p>
        </w:tc>
        <w:tc>
          <w:tcPr>
            <w:tcW w:w="12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157,811</w:t>
            </w: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205,246</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140,614</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46,344</w:t>
            </w:r>
          </w:p>
        </w:tc>
      </w:tr>
      <w:tr>
        <w:trPr>
          <w:trHeight w:val="135"/>
        </w:trPr>
        <w:tc>
          <w:tcPr>
            <w:tcW w:w="2480" w:type="dxa"/>
            <w:vAlign w:val="bottom"/>
          </w:tcPr>
          <w:p>
            <w:pPr>
              <w:spacing w:after="0"/>
              <w:rPr>
                <w:sz w:val="11"/>
                <w:szCs w:val="11"/>
                <w:color w:val="auto"/>
              </w:rPr>
            </w:pPr>
          </w:p>
        </w:tc>
        <w:tc>
          <w:tcPr>
            <w:tcW w:w="8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348" w:right="4839" w:hanging="348"/>
        <w:spacing w:after="0" w:line="273" w:lineRule="auto"/>
        <w:tabs>
          <w:tab w:leader="none" w:pos="348" w:val="left"/>
        </w:tabs>
        <w:numPr>
          <w:ilvl w:val="0"/>
          <w:numId w:val="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Short-term debt and Other current liabilities include our trade accounts payable for equipment and services that have already been supplied.</w:t>
      </w:r>
    </w:p>
    <w:p>
      <w:pPr>
        <w:spacing w:after="0" w:line="121" w:lineRule="exact"/>
        <w:rPr>
          <w:rFonts w:ascii="Courier New" w:cs="Courier New" w:eastAsia="Courier New" w:hAnsi="Courier New"/>
          <w:sz w:val="11"/>
          <w:szCs w:val="11"/>
          <w:color w:val="auto"/>
        </w:rPr>
      </w:pPr>
    </w:p>
    <w:p>
      <w:pPr>
        <w:jc w:val="both"/>
        <w:ind w:left="348" w:right="4699" w:hanging="348"/>
        <w:spacing w:after="0" w:line="236" w:lineRule="auto"/>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Long-term debt includes principal and interest payments in accordance with the terms of the credit facility, as amended in September 2006, as well as the impact of our hedging transactions.</w:t>
      </w:r>
    </w:p>
    <w:p>
      <w:pPr>
        <w:spacing w:after="0" w:line="139" w:lineRule="exact"/>
        <w:rPr>
          <w:rFonts w:ascii="Courier New" w:cs="Courier New" w:eastAsia="Courier New" w:hAnsi="Courier New"/>
          <w:sz w:val="12"/>
          <w:szCs w:val="12"/>
          <w:color w:val="auto"/>
        </w:rPr>
      </w:pPr>
    </w:p>
    <w:p>
      <w:pPr>
        <w:ind w:left="348" w:right="4979" w:hanging="348"/>
        <w:spacing w:after="0" w:line="235" w:lineRule="auto"/>
        <w:tabs>
          <w:tab w:leader="none" w:pos="348" w:val="left"/>
        </w:tabs>
        <w:numPr>
          <w:ilvl w:val="0"/>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Total amounts include expected principal and interest payments for the presented periods.</w:t>
      </w:r>
    </w:p>
    <w:p>
      <w:pPr>
        <w:spacing w:after="0" w:line="139" w:lineRule="exact"/>
        <w:rPr>
          <w:rFonts w:ascii="Courier New" w:cs="Courier New" w:eastAsia="Courier New" w:hAnsi="Courier New"/>
          <w:sz w:val="12"/>
          <w:szCs w:val="12"/>
          <w:color w:val="auto"/>
        </w:rPr>
      </w:pPr>
    </w:p>
    <w:p>
      <w:pPr>
        <w:ind w:left="348" w:right="4699" w:hanging="348"/>
        <w:spacing w:after="0" w:line="266" w:lineRule="auto"/>
        <w:tabs>
          <w:tab w:leader="none" w:pos="348" w:val="left"/>
        </w:tabs>
        <w:numPr>
          <w:ilvl w:val="0"/>
          <w:numId w:val="20"/>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These amounts primarily consist of ordered equipment that has not yet been received. In addition to these contractual obligations, we have committed approximately $7.4 million in standby letters of credit and guarantees to</w:t>
      </w:r>
    </w:p>
    <w:p>
      <w:pPr>
        <w:sectPr>
          <w:pgSz w:w="11900" w:h="16838" w:orient="portrait"/>
          <w:cols w:equalWidth="0" w:num="1">
            <w:col w:w="10247"/>
          </w:cols>
          <w:pgMar w:left="212" w:top="141" w:right="1440" w:bottom="0" w:gutter="0" w:footer="0" w:header="0"/>
        </w:sectPr>
      </w:pPr>
    </w:p>
    <w:bookmarkStart w:id="28" w:name="page29"/>
    <w:bookmarkEnd w:id="28"/>
    <w:p>
      <w:pPr>
        <w:ind w:left="340"/>
        <w:spacing w:after="0"/>
        <w:rPr>
          <w:sz w:val="20"/>
          <w:szCs w:val="20"/>
          <w:color w:val="auto"/>
        </w:rPr>
      </w:pPr>
      <w:r>
        <w:rPr>
          <w:rFonts w:ascii="Courier New" w:cs="Courier New" w:eastAsia="Courier New" w:hAnsi="Courier New"/>
          <w:sz w:val="12"/>
          <w:szCs w:val="12"/>
          <w:color w:val="auto"/>
        </w:rPr>
        <w:t>secure our Fab 2 equipment obligations.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The above table does not include other contractual obligations or commitments we have, such as undertakings pursuant to royalty agreements, commissions and service agreements. We are unable to reasonably estimate the total amounts or the time table for such payments to be paid under the terms of these agreements, as the royalties, commissions and required services are a function of future sales revenues, the volume of business and hourly-based fees. In addition, the above table does not include our liability with respect to our customers, which as of December 31, 2007, amounted to approximately $29.9 million that may be utilized by them against future purchases of products. We are unable to reasonably estimate the total amounts that may be utilized by our customers since we can not reasonably estimate their future orders in the periods set forth in the above chart.</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- 48 -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6. DIRECTORS, SENIOR MANAGEMENT AND EMPLOYEES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A. DIRECTORS AND SENIOR MANAGEMENT</w:t>
      </w:r>
    </w:p>
    <w:p>
      <w:pPr>
        <w:spacing w:after="0" w:line="139" w:lineRule="exact"/>
        <w:rPr>
          <w:sz w:val="20"/>
          <w:szCs w:val="20"/>
          <w:color w:val="auto"/>
        </w:rPr>
      </w:pPr>
    </w:p>
    <w:p>
      <w:pPr>
        <w:ind w:right="4619" w:firstLine="351"/>
        <w:spacing w:after="0" w:line="235" w:lineRule="auto"/>
        <w:rPr>
          <w:sz w:val="20"/>
          <w:szCs w:val="20"/>
          <w:color w:val="auto"/>
        </w:rPr>
      </w:pPr>
      <w:r>
        <w:rPr>
          <w:rFonts w:ascii="Courier New" w:cs="Courier New" w:eastAsia="Courier New" w:hAnsi="Courier New"/>
          <w:sz w:val="12"/>
          <w:szCs w:val="12"/>
          <w:color w:val="auto"/>
        </w:rPr>
        <w:t>Set forth below is information regarding the members of our administrative, supervisory or management bodies and our directors.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540" w:type="dxa"/>
            <w:vAlign w:val="bottom"/>
          </w:tcPr>
          <w:p>
            <w:pPr>
              <w:spacing w:after="0"/>
              <w:rPr>
                <w:sz w:val="20"/>
                <w:szCs w:val="20"/>
                <w:color w:val="auto"/>
              </w:rPr>
            </w:pPr>
            <w:r>
              <w:rPr>
                <w:rFonts w:ascii="Courier New" w:cs="Courier New" w:eastAsia="Courier New" w:hAnsi="Courier New"/>
                <w:sz w:val="12"/>
                <w:szCs w:val="12"/>
                <w:color w:val="auto"/>
              </w:rPr>
              <w:t>SENIOR MANAGEMENT</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AGE</w:t>
            </w:r>
          </w:p>
        </w:tc>
        <w:tc>
          <w:tcPr>
            <w:tcW w:w="3800" w:type="dxa"/>
            <w:vAlign w:val="bottom"/>
          </w:tcPr>
          <w:p>
            <w:pPr>
              <w:ind w:left="1200"/>
              <w:spacing w:after="0"/>
              <w:rPr>
                <w:sz w:val="20"/>
                <w:szCs w:val="20"/>
                <w:color w:val="auto"/>
              </w:rPr>
            </w:pPr>
            <w:r>
              <w:rPr>
                <w:rFonts w:ascii="Courier New" w:cs="Courier New" w:eastAsia="Courier New" w:hAnsi="Courier New"/>
                <w:sz w:val="12"/>
                <w:szCs w:val="12"/>
                <w:color w:val="auto"/>
              </w:rPr>
              <w:t>TITLE</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w w:val="95"/>
              </w:rPr>
              <w:t>- --------------------</w:t>
            </w:r>
          </w:p>
        </w:tc>
        <w:tc>
          <w:tcPr>
            <w:tcW w:w="42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3800" w:type="dxa"/>
            <w:vAlign w:val="bottom"/>
          </w:tcPr>
          <w:p>
            <w:pPr>
              <w:ind w:left="220"/>
              <w:spacing w:after="0"/>
              <w:rPr>
                <w:sz w:val="20"/>
                <w:szCs w:val="20"/>
                <w:color w:val="auto"/>
              </w:rPr>
            </w:pPr>
            <w:r>
              <w:rPr>
                <w:rFonts w:ascii="Courier New" w:cs="Courier New" w:eastAsia="Courier New" w:hAnsi="Courier New"/>
                <w:sz w:val="12"/>
                <w:szCs w:val="12"/>
                <w:color w:val="auto"/>
                <w:w w:val="96"/>
              </w:rPr>
              <w:t>---------------------------------------------------</w:t>
            </w:r>
          </w:p>
        </w:tc>
      </w:tr>
      <w:tr>
        <w:trPr>
          <w:trHeight w:val="270"/>
        </w:trPr>
        <w:tc>
          <w:tcPr>
            <w:tcW w:w="1540" w:type="dxa"/>
            <w:vAlign w:val="bottom"/>
          </w:tcPr>
          <w:p>
            <w:pPr>
              <w:spacing w:after="0"/>
              <w:rPr>
                <w:sz w:val="20"/>
                <w:szCs w:val="20"/>
                <w:color w:val="auto"/>
              </w:rPr>
            </w:pPr>
            <w:r>
              <w:rPr>
                <w:rFonts w:ascii="Courier New" w:cs="Courier New" w:eastAsia="Courier New" w:hAnsi="Courier New"/>
                <w:sz w:val="12"/>
                <w:szCs w:val="12"/>
                <w:color w:val="auto"/>
              </w:rPr>
              <w:t>Russell C. Ellwanger</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53</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Chief Executive Officer</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Oren Shirazi</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38</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Acting Chief Financial Officer</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Dr. Itzhak Edrei</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48</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Senior Vice President of Product Lines and Sales</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Rafi Nave</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58</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Chief Technology Officer and Vice President of QA</w:t>
            </w:r>
          </w:p>
        </w:tc>
      </w:tr>
      <w:tr>
        <w:trPr>
          <w:trHeight w:val="135"/>
        </w:trPr>
        <w:tc>
          <w:tcPr>
            <w:tcW w:w="1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and Reliability</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Ephie Koltin</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46</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Vice President and Fab 1, Test and Facility Manager</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Dalit Dahan</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40</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Vice President of Human Resources and IT</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Shimon Dahan</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45</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Vice President and Fab 2 and Supply Chain and</w:t>
            </w:r>
          </w:p>
        </w:tc>
      </w:tr>
      <w:tr>
        <w:trPr>
          <w:trHeight w:val="135"/>
        </w:trPr>
        <w:tc>
          <w:tcPr>
            <w:tcW w:w="1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Procurement Manager</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Nati Somekh Gilboa</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33</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Corporate Secretary and General Counsel</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Rafi Mor</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44</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Vice President of Business Development</w:t>
            </w:r>
          </w:p>
        </w:tc>
      </w:tr>
      <w:tr>
        <w:trPr>
          <w:trHeight w:val="270"/>
        </w:trPr>
        <w:tc>
          <w:tcPr>
            <w:tcW w:w="1540" w:type="dxa"/>
            <w:vAlign w:val="bottom"/>
          </w:tcPr>
          <w:p>
            <w:pPr>
              <w:spacing w:after="0"/>
              <w:rPr>
                <w:sz w:val="20"/>
                <w:szCs w:val="20"/>
                <w:color w:val="auto"/>
              </w:rPr>
            </w:pPr>
            <w:r>
              <w:rPr>
                <w:rFonts w:ascii="Courier New" w:cs="Courier New" w:eastAsia="Courier New" w:hAnsi="Courier New"/>
                <w:sz w:val="12"/>
                <w:szCs w:val="12"/>
                <w:color w:val="auto"/>
              </w:rPr>
              <w:t>DIRECTORS</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AGE</w:t>
            </w:r>
          </w:p>
        </w:tc>
        <w:tc>
          <w:tcPr>
            <w:tcW w:w="3800" w:type="dxa"/>
            <w:vAlign w:val="bottom"/>
          </w:tcPr>
          <w:p>
            <w:pPr>
              <w:ind w:left="1200"/>
              <w:spacing w:after="0"/>
              <w:rPr>
                <w:sz w:val="20"/>
                <w:szCs w:val="20"/>
                <w:color w:val="auto"/>
              </w:rPr>
            </w:pPr>
            <w:r>
              <w:rPr>
                <w:rFonts w:ascii="Courier New" w:cs="Courier New" w:eastAsia="Courier New" w:hAnsi="Courier New"/>
                <w:sz w:val="12"/>
                <w:szCs w:val="12"/>
                <w:color w:val="auto"/>
              </w:rPr>
              <w:t>TITLE</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w w:val="95"/>
              </w:rPr>
              <w:t>- --------------------</w:t>
            </w:r>
          </w:p>
        </w:tc>
        <w:tc>
          <w:tcPr>
            <w:tcW w:w="42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3800" w:type="dxa"/>
            <w:vAlign w:val="bottom"/>
          </w:tcPr>
          <w:p>
            <w:pPr>
              <w:ind w:left="220"/>
              <w:spacing w:after="0"/>
              <w:rPr>
                <w:sz w:val="20"/>
                <w:szCs w:val="20"/>
                <w:color w:val="auto"/>
              </w:rPr>
            </w:pPr>
            <w:r>
              <w:rPr>
                <w:rFonts w:ascii="Courier New" w:cs="Courier New" w:eastAsia="Courier New" w:hAnsi="Courier New"/>
                <w:sz w:val="12"/>
                <w:szCs w:val="12"/>
                <w:color w:val="auto"/>
                <w:w w:val="96"/>
              </w:rPr>
              <w:t>---------------------------------------------------</w:t>
            </w:r>
          </w:p>
        </w:tc>
      </w:tr>
      <w:tr>
        <w:trPr>
          <w:trHeight w:val="270"/>
        </w:trPr>
        <w:tc>
          <w:tcPr>
            <w:tcW w:w="1540" w:type="dxa"/>
            <w:vAlign w:val="bottom"/>
          </w:tcPr>
          <w:p>
            <w:pPr>
              <w:spacing w:after="0"/>
              <w:rPr>
                <w:sz w:val="20"/>
                <w:szCs w:val="20"/>
                <w:color w:val="auto"/>
              </w:rPr>
            </w:pPr>
            <w:r>
              <w:rPr>
                <w:rFonts w:ascii="Courier New" w:cs="Courier New" w:eastAsia="Courier New" w:hAnsi="Courier New"/>
                <w:sz w:val="12"/>
                <w:szCs w:val="12"/>
                <w:color w:val="auto"/>
              </w:rPr>
              <w:t>Dov Moran</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52</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Chairman of the Board</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Russell C. Ellwanger</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53</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Director</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Miin Wu</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59</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Director</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Ron Moskovitz</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45</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Director</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Nir Gilad</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51</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Director</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Kalman Kaufman</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63</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Independent Director</w:t>
            </w:r>
          </w:p>
        </w:tc>
      </w:tr>
      <w:tr>
        <w:trPr>
          <w:trHeight w:val="135"/>
        </w:trPr>
        <w:tc>
          <w:tcPr>
            <w:tcW w:w="1540" w:type="dxa"/>
            <w:vAlign w:val="bottom"/>
          </w:tcPr>
          <w:p>
            <w:pPr>
              <w:spacing w:after="0"/>
              <w:rPr>
                <w:sz w:val="20"/>
                <w:szCs w:val="20"/>
                <w:color w:val="auto"/>
              </w:rPr>
            </w:pPr>
            <w:r>
              <w:rPr>
                <w:rFonts w:ascii="Courier New" w:cs="Courier New" w:eastAsia="Courier New" w:hAnsi="Courier New"/>
                <w:sz w:val="12"/>
                <w:szCs w:val="12"/>
                <w:color w:val="auto"/>
              </w:rPr>
              <w:t>Miri Katz</w:t>
            </w:r>
          </w:p>
        </w:tc>
        <w:tc>
          <w:tcPr>
            <w:tcW w:w="420" w:type="dxa"/>
            <w:vAlign w:val="bottom"/>
          </w:tcPr>
          <w:p>
            <w:pPr>
              <w:spacing w:after="0"/>
              <w:rPr>
                <w:sz w:val="20"/>
                <w:szCs w:val="20"/>
                <w:color w:val="auto"/>
              </w:rPr>
            </w:pPr>
            <w:r>
              <w:rPr>
                <w:rFonts w:ascii="Courier New" w:cs="Courier New" w:eastAsia="Courier New" w:hAnsi="Courier New"/>
                <w:sz w:val="12"/>
                <w:szCs w:val="12"/>
                <w:color w:val="auto"/>
              </w:rPr>
              <w:t>57</w:t>
            </w:r>
          </w:p>
        </w:tc>
        <w:tc>
          <w:tcPr>
            <w:tcW w:w="3800" w:type="dxa"/>
            <w:vAlign w:val="bottom"/>
          </w:tcPr>
          <w:p>
            <w:pPr>
              <w:ind w:left="60"/>
              <w:spacing w:after="0"/>
              <w:rPr>
                <w:sz w:val="20"/>
                <w:szCs w:val="20"/>
                <w:color w:val="auto"/>
              </w:rPr>
            </w:pPr>
            <w:r>
              <w:rPr>
                <w:rFonts w:ascii="Courier New" w:cs="Courier New" w:eastAsia="Courier New" w:hAnsi="Courier New"/>
                <w:sz w:val="12"/>
                <w:szCs w:val="12"/>
                <w:color w:val="auto"/>
              </w:rPr>
              <w:t>Independent and External Director</w:t>
            </w:r>
          </w:p>
        </w:tc>
      </w:tr>
    </w:tbl>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RUSSELL C. ELLWANGER has served as our Chief Executive Officer since May 2005.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OREN SHIRAZI was appointed as our acting Chief Financial Officer in November 2004. Mr. Shirazi joined us in October 1998 and served as our controller since July 2000, after serving as vice controller since October 1998. Prior to joining us, Mr. Shirazi was employed as an Audit Manager in the accounting firm of Ratzkovski-Fried &amp; Co., which merged into Ernst &amp; Young (Israel). Mr. Shirazi is a Certified Public Accountant in Israel (CPA). He has an MBA from the Graduate School of Business of Haifa University with honors and a BA in economics and accounting from the Haifa University.</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- 49 -</w:t>
      </w:r>
    </w:p>
    <w:p>
      <w:pPr>
        <w:spacing w:after="0" w:line="391"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DR. ITZHAK EDREI was appointed Senior Vice President of Product Lines and Sales in August 2005 after serving as Vice President of Research and Development since August 2001, having served as Director of Research and Development since 1996. From 1994 to 1996, Dr. Edrei served as our Device and Yield Department Manager. Prior to joining Tower, Dr. Edrei was employed by National Semiconductor as Device Section Head. Dr. Edrei earned his Ph.D. in physics from Bar Ilan University and his post-doctorate from Rutgers University.</w:t>
      </w:r>
    </w:p>
    <w:p>
      <w:pPr>
        <w:spacing w:after="0" w:line="12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RAFI NAVE has served as our Chief Technology Officer since August 2005 and was appointed as Vice President of QA and Reliability in January 2008, after serving as a Vice President of Customer Services since August 2003. From 1996 to 2003, Mr. Nave served as Vice President of Research and Development for NDS Group. From 1974 to 1995, Mr. Nave was employed by Intel Corporation in a variety of positions of increasing responsibility, among them chip design engineer and General Manager of Intel's design center in Israel. Mr. Nave earned master and bachelor degrees in electrical engineering from the Technion - Israel Institute of Technology.</w:t>
      </w:r>
    </w:p>
    <w:p>
      <w:pPr>
        <w:spacing w:after="0" w:line="143"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EPHIE KOLTIN has served as Vice President Fab 1 since April 2007, and has served as Test and Facility Manager since January 2008, after serving as Vice President of Business Development since August 2005, as Vice President, General Foundry and Mixed Signal Technology since 2003 and as Senior Director, FAB 2 Process Engineering since 2000. From 1996-1999, Mr. Koltin served in several senior positions as Director, NVM Technology, CIS technology and ERS manager, Fab 1. Prior to joining Tower, Mr. Koltin was employed at National Semiconductor and the Technion - Israel Institute of Technology. Mr. Koltin holds a B.Sc. in Mechanical Engineering and M.Sc. in Materials Engineering from the Technion - Israel Institute of Technology.</w:t>
      </w:r>
    </w:p>
    <w:p>
      <w:pPr>
        <w:spacing w:after="0" w:line="144"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DALIT DAHAN serves as Vice President of Human Resources and was appointed IT Manager in January 2008, after serving as Vice President of Human Resources since April 2004. Ms. Dahan joined us in November 1993 and served as Personnel Manager since April 2000, after having served as Compensation &amp; Benefits Manager and in various other positions in the Human Resources Department. Prior to joining us, Ms. Dahan served as Manager of the North Branch of O.R.S - Manpower Company for 3 years. Ms. Dahan holds a bachelor's degree in social science from Haifa University and an MBA from the University of Derby.</w:t>
      </w:r>
    </w:p>
    <w:p>
      <w:pPr>
        <w:spacing w:after="0" w:line="138"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SHIMON DAHAN serves as Vice President and Supply Chain and Procurement</w:t>
      </w:r>
    </w:p>
    <w:p>
      <w:pPr>
        <w:spacing w:after="0" w:line="4"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1"/>
          <w:szCs w:val="11"/>
          <w:color w:val="auto"/>
        </w:rPr>
        <w:t>Manager as was appointed as Fab 2 Manager in January 2008, after serving as Vice</w:t>
      </w:r>
    </w:p>
    <w:p>
      <w:pPr>
        <w:sectPr>
          <w:pgSz w:w="11900" w:h="16838" w:orient="portrait"/>
          <w:cols w:equalWidth="0" w:num="1">
            <w:col w:w="10239"/>
          </w:cols>
          <w:pgMar w:left="220" w:top="137" w:right="1440" w:bottom="0" w:gutter="0" w:footer="0" w:header="0"/>
        </w:sectPr>
      </w:pPr>
    </w:p>
    <w:bookmarkStart w:id="29" w:name="page30"/>
    <w:bookmarkEnd w:id="29"/>
    <w:p>
      <w:pPr>
        <w:ind w:right="4619"/>
        <w:spacing w:after="0" w:line="237" w:lineRule="auto"/>
        <w:rPr>
          <w:sz w:val="20"/>
          <w:szCs w:val="20"/>
          <w:color w:val="auto"/>
        </w:rPr>
      </w:pPr>
      <w:r>
        <w:rPr>
          <w:rFonts w:ascii="Courier New" w:cs="Courier New" w:eastAsia="Courier New" w:hAnsi="Courier New"/>
          <w:sz w:val="12"/>
          <w:szCs w:val="12"/>
          <w:color w:val="auto"/>
        </w:rPr>
        <w:t>President of Manufacturing Services since January 2006, having served previously as Test &amp; MTG manager since August 2005 and prior to that as Research and Development Operation Manager from November 2000. Prior to that, Mr. Dahan was employed by National Semiconductor in various capacities. Mr. Dahan holds a bachelors degree in Political Science from Haifa University, and an MBA from the University of Derby.</w:t>
      </w:r>
    </w:p>
    <w:p>
      <w:pPr>
        <w:spacing w:after="0" w:line="140" w:lineRule="exact"/>
        <w:rPr>
          <w:sz w:val="20"/>
          <w:szCs w:val="20"/>
          <w:color w:val="auto"/>
        </w:rPr>
      </w:pPr>
    </w:p>
    <w:p>
      <w:pPr>
        <w:jc w:val="both"/>
        <w:ind w:right="4619" w:firstLine="351"/>
        <w:spacing w:after="0" w:line="260" w:lineRule="auto"/>
        <w:rPr>
          <w:sz w:val="20"/>
          <w:szCs w:val="20"/>
          <w:color w:val="auto"/>
        </w:rPr>
      </w:pPr>
      <w:r>
        <w:rPr>
          <w:rFonts w:ascii="Courier New" w:cs="Courier New" w:eastAsia="Courier New" w:hAnsi="Courier New"/>
          <w:sz w:val="11"/>
          <w:szCs w:val="11"/>
          <w:color w:val="auto"/>
        </w:rPr>
        <w:t>NATI SOMEKH GILBOA was appointed as Corporate Secretary and General Counsel in March 2005, has served as our Associate General Counsel since May 2004. From 2001 to 2004, Ms. Somekh Gilboa was employed by Goldsobel &amp; Kirshen, Adv. Ms.</w:t>
      </w:r>
    </w:p>
    <w:p>
      <w:pPr>
        <w:ind w:right="4619"/>
        <w:spacing w:after="0" w:line="236" w:lineRule="auto"/>
        <w:rPr>
          <w:sz w:val="20"/>
          <w:szCs w:val="20"/>
          <w:color w:val="auto"/>
        </w:rPr>
      </w:pPr>
      <w:r>
        <w:rPr>
          <w:rFonts w:ascii="Courier New" w:cs="Courier New" w:eastAsia="Courier New" w:hAnsi="Courier New"/>
          <w:sz w:val="12"/>
          <w:szCs w:val="12"/>
          <w:color w:val="auto"/>
        </w:rPr>
        <w:t>Somekh Gilboa holds an LL.M. and J.D. from Boston University and a B.A. from Johns Hopkins University. She is a member of the Israeli Bar Association and the New York bar.</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RAFI MOR was appointed Vice President of Business Development since April 2007, having served previously as Vice President and Fab 2 Manager since August 2005, as Fab 1 Manager since August 2003 and Senior Director and Fab 1 Manager since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earned master and bachelor degrees in chemical engineering from Ben Gurion University.</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- 50 -</w:t>
      </w:r>
    </w:p>
    <w:p>
      <w:pPr>
        <w:spacing w:after="0" w:line="39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DOV MORAN has served as Chairman of the Board since December 2006. Mr. Moran was a founder of M-Systems and served as a director, President, Chief Executive Officer and Chairman of the Board of Directors of M-Systems from 1989 until September 2006. From 1984 to 1989, Mr. Moran was an independent consultant in the computer industry. Mr. Moran holds a B.Sc. in Computers and Electronic Engineering from the Technion Israel Institute of Technology.</w:t>
      </w:r>
    </w:p>
    <w:p>
      <w:pPr>
        <w:spacing w:after="0" w:line="140"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RON MOSKOWITZ has served as a director since October 2007. From July 2002 until November 2007, Mr. Moskovitz served as Senior Vice President and Chief Financial Officer of Amdocs Limited. From 1998 until July 2002, Mr. Moskovitz served as Vice President of Finance of Amdocs Limited. Between 1994 and 1998, Mr. Moskovitz served in various senior financial positions in Tower Semiconductor Ltd. Mr. Moskovitz is a certified public accountant in Israel. He holds a B.A. in accounting and economics from Haifa University and an MBA from Tel-Aviv University.</w:t>
      </w:r>
    </w:p>
    <w:p>
      <w:pPr>
        <w:spacing w:after="0" w:line="142"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MIIN WU has served as a director since January 2001. Mr. Wu serves as Chairman and Chief Executive Officer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14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KALMAN KAUFMAN has served as a director and as a member of our Audit Committee since August 2005 and as a members of our Stock Option and Compensation Committee since May 2008. Mr. Kaufman also served as Corporate Vice President at Applied Materials from 1994 to 2005. Between 1985 and 1994, Mr. Kaufman served as President of KLA Instruments Israel, a company he founded, and General Manager of Kulicke and Soffa Israel. Mr. Kaufman is currently the Chairman of Solgel Nanotechnology and is a member of several boards of directors. He holds engineering degrees from the Technion - Israel Institute of Technology.</w:t>
      </w:r>
    </w:p>
    <w:p>
      <w:pPr>
        <w:spacing w:after="0" w:line="143"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MIRI KATZ has served as a director and member of the Audit Committee and the Stock Option and Compensation Committee since January 2007. Ms. Katz has been a member of the board of directors of bank Leumi Le-Israel since June 2008. Ms. Katz has been a member of the board of directors of Itamar Medical Ltd. since 2007. Ms. Katz has been a member of the board of trustees of The Hebrew University of Jerusalem and a member of its Committee for Academic Policy, the Audit Committee and the Constitution Committee since 2004. Ms. Katz has been of counsel at Ophir Katz &amp;Co. and has served as a director of The Caesarea Foundation and The Caesarea Edmond Benjamin de Rothschild Development Corporation Ltd. since 2003. From 1997-2002, Ms. Katz served as the chairperson of the Israel Securities Authority. Ms. Katz holds an LL.B. from The Hebrew University of Jerusalem.</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NIR GILAD has served as a director since May 2007. Mr. Gilad has served as Chief Executive Officer of Israel Corp. since June 2007; he previously served as Vice-Chief Executive Officer of the Israel Corporation from May 2006 to May 2007. From 2004-2006, Mr. Gilad served as vice-Chief Executive Officer of Migdal Holdings Insurance and Financings Ltd., Chief Executive Officer of Migdal Investment Management 2001 Ltd. and chairman of Migdal Capital Markets Ltd. In addition, from 1999-2003, Mr. Gilad served as General Comptroller of the Treasury Office of the State of Israel. Throughout the years, Mr. Gilad was a member and chairman of several boards of directors. Mr. Gilad holds a B.A. in Economics and Agricultural Management in Natural Sciences from the Hebrew University of Jerusalem and an M.A. in business administration from Bar Ilan University.</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- 51 -</w:t>
      </w:r>
    </w:p>
    <w:p>
      <w:pPr>
        <w:spacing w:after="0" w:line="39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Pursuant to a shareholders agreement dated January 18, 2001, SanDisk, Alliance Semiconductor, Israel Corp. and Macronix have agreed to vote all their respective shares for nominees designated by each shareholder and for the election of a nominee of Israel Corp. as Chairman of the Board, unless agreed to otherwise.</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B. COMPENSATION</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For the year ended December 31, 2007, we paid to all our directors and senior management, as a group, an aggregate of $2.7 million, in salaries, fees and bonuses, excluding management fees paid to Israel Corp. The total amount set aside or accrued in the year ended December 31, 2007 to provide for severance, retirement and similar benefits for such persons was $0.3 million.</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During 2001, the Audit Committee, Board of Directors and shareholders approved a stock option plan which provides for the grant to our Board members of options to purchase up to 400,000 ordinary shares. During 2007, we granted 80,000 options to our directors under this plan at a weighted average exercise price of $1.74. As of December 31, 2007, 190,000 options to purchase ordinary shares were outstanding under this plan, with a weighted average exercise price of $3.68. These options vest over a four-year period, according to various vesting schedules and are generally not exercisable following the fifth anniversary of their vesting date.</w:t>
      </w:r>
    </w:p>
    <w:p>
      <w:pPr>
        <w:spacing w:after="0" w:line="143"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Since October 2001, our directors have foregone their directors' fees, except for fees required by law to be paid to our independent directors. The aggregate amount payable to each of our external directors with respect to the year ended December 31, 2007 was approximately $26,000. Each of these directors also receives a per meeting fee.</w:t>
      </w:r>
    </w:p>
    <w:p>
      <w:pPr>
        <w:sectPr>
          <w:pgSz w:w="11900" w:h="16838" w:orient="portrait"/>
          <w:cols w:equalWidth="0" w:num="1">
            <w:col w:w="10239"/>
          </w:cols>
          <w:pgMar w:left="220" w:top="141" w:right="1440" w:bottom="0" w:gutter="0" w:footer="0" w:header="0"/>
        </w:sectPr>
      </w:pPr>
    </w:p>
    <w:bookmarkStart w:id="30" w:name="page31"/>
    <w:bookmarkEnd w:id="30"/>
    <w:p>
      <w:pPr>
        <w:ind w:right="4619" w:firstLine="351"/>
        <w:spacing w:after="0" w:line="261" w:lineRule="auto"/>
        <w:rPr>
          <w:sz w:val="20"/>
          <w:szCs w:val="20"/>
          <w:color w:val="auto"/>
        </w:rPr>
      </w:pPr>
      <w:r>
        <w:rPr>
          <w:rFonts w:ascii="Courier New" w:cs="Courier New" w:eastAsia="Courier New" w:hAnsi="Courier New"/>
          <w:sz w:val="11"/>
          <w:szCs w:val="11"/>
          <w:color w:val="auto"/>
        </w:rPr>
        <w:t>On January 31, 2007, our shareholders approved, following our Board of Directors' and Audit Committee approvals, the grant to each independent director of the Company who is not affiliated with our major shareholders, and is not an employee of the Company, initial options to purchase Ordinary Shares that equal 150,000 less the number of unvested options to purchase Ordinary Shares held by such independent director as of the date of the shareholders' meeting. These initial options vest over three years, one third on the first month anniversary of the date the shareholders approved the grant, and thereafter, the remaining two-thirds pro-rata on a monthly basis over the remaining two years until fully vested. The exercise price per initial option is $1.88, which was the closing price of our shares on the NASDAQ on the trading day immediately prior to the date the shareholders approved the grant. On January 31, 2007, our shareholders approved (i) the payment of annual fees and participation fees (per meeting) to the Independent Directors; and (ii) the reimbursement of out-of-pocket expenses of the independent directors, in both cases, to the maximum extent permitted under applicable Israeli law and regulations.</w:t>
      </w:r>
    </w:p>
    <w:p>
      <w:pPr>
        <w:spacing w:after="0" w:line="264" w:lineRule="exact"/>
        <w:rPr>
          <w:sz w:val="20"/>
          <w:szCs w:val="20"/>
          <w:color w:val="auto"/>
        </w:rPr>
      </w:pPr>
    </w:p>
    <w:p>
      <w:pPr>
        <w:jc w:val="both"/>
        <w:ind w:right="4619" w:firstLine="351"/>
        <w:spacing w:after="0" w:line="236" w:lineRule="auto"/>
        <w:rPr>
          <w:sz w:val="20"/>
          <w:szCs w:val="20"/>
          <w:color w:val="auto"/>
        </w:rPr>
      </w:pPr>
      <w:r>
        <w:rPr>
          <w:rFonts w:ascii="Courier New" w:cs="Courier New" w:eastAsia="Courier New" w:hAnsi="Courier New"/>
          <w:sz w:val="12"/>
          <w:szCs w:val="12"/>
          <w:color w:val="auto"/>
        </w:rPr>
        <w:t>Each new independent director appointed will be granted 150,000 options to purchase Ordinary Shares, exercisable at the closing price of our shares on the NASDAQ on the trading day immediately prior to the relevant date of appointment, with the same vesting terms as the initial grants.</w:t>
      </w:r>
    </w:p>
    <w:p>
      <w:pPr>
        <w:spacing w:after="0" w:line="14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Upon each third anniversary of a previous grant of options to an independent director, each such Independent Director shall be granted an additional 150,000 options to purchase Ordinary Shares, which will vest over 3 years on a monthly basis until fully vested. The exercise price per each such option shall be the closing price of our shares on the NASDAQ on the trading day immediately prior to the relevant grant date. Subject to certain conditions, the options that have vested shall be exercisable by an independent director for a period of ten years following the date on which the relevant options, as the case may be, first vested. So long as this option plan remains in effect, no future grants will be made to independent directors under the 2001 plan mentioned above. During 2007, we granted 430,000 options to our independent directors under this plan at a weighted average exercise price of $1.91. As of December 31, 2007, all such options were outstanding.</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- 52 -</w:t>
      </w:r>
    </w:p>
    <w:p>
      <w:pPr>
        <w:spacing w:after="0" w:line="39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On January 31, 2007, our shareholders approved the appointment of Dov Moran as Chairman of the Board of Directors and approved the grant to him of options to purchase 3,158,090 Ordinary Shares, which represented 1.0% of our issued and outstanding share capital on a fully diluted basis. The exercise price of these options is $1.88, which was the closing price of our shares on the NASDAQ on the trading day immediately prior to the date of the shareholder approval. These options vest over four years as follows: 25% will vest on the 12 month anniversary of the shareholders approval date and 6.25% will vest each three months thereafter until fully vested.</w:t>
      </w:r>
    </w:p>
    <w:p>
      <w:pPr>
        <w:spacing w:after="0" w:line="143"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April 2005, our Board of Directors approved the grant of options to purchase up to 1,325,724 of our ordinary shares (which represented 1.6% of our issued and outstanding shares as of June 30, 2006) to Russell Ellwanger, our then newly-appointed Chief Executive Officer, who was also appointed as a director, which was further approved by our shareholders in October 2005. These options are exercisable at an exercise price of $1.56, which was the closing market price of our shares on the last trading day prior to the board approval of the grant. These options vest over a four-year period, with 25% vesting over each year of employment. The options granted are exercisable for a period of ten years from the date of grant.</w:t>
      </w:r>
    </w:p>
    <w:p>
      <w:pPr>
        <w:spacing w:after="0" w:line="144"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In addition, in May 2006, our Audit Committee and Board of Directors approved the grant of options to Mr. Ellwanger in addition to the options granted to him in April 2005, such that in total, he will hold options to purchase shares that represent 4% of our issued and outstanding shares on a fully diluted basis during the two-year period beginning May 16, 2006 (the date of the approval of the Audit Committee). This was further approved by our shareholders on September 28, 2006. The exercise price of the initial grant of approximately 4.3 million additional options was $1.45, the 90 day average closing price of our shares prior to May 17, 2006 (the date of the Board of Directors' approval). In future dilutive events following May 2006, additional options were granted to the CEO with an exercise price equal to the price per share of the newly issued securities. The vesting period of the new options will be identical to the vesting period of the existing options. Any decrease in the Company's shares on a fully diluted basis during the two-year period from the approval of the Audit Committee will be followed by the cancellation of the corresponding options granted to the CEO. No additional options will be granted to the CEO under the April 2005 option grant. As of May 31, 2008, a total of 14,861,812 options were outstanding to our CEO at a weighted average exercise price of $1.65.</w:t>
      </w:r>
    </w:p>
    <w:p>
      <w:pPr>
        <w:spacing w:after="0" w:line="141"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On January 31, 2007, our shareholders approved: (i) an eight percent (8%) increase in Mr. Ellwanger's annual base salary from $350,000 to $378,000, effective January 1, 2007; and (ii) a performance-based bonus of up to $525,000 for the year ending December 31, 2006.</w:t>
      </w:r>
    </w:p>
    <w:p>
      <w:pPr>
        <w:spacing w:after="0" w:line="141" w:lineRule="exact"/>
        <w:rPr>
          <w:sz w:val="20"/>
          <w:szCs w:val="20"/>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In December 2007 our shareholders approved: (i) the procurement of a life insurance policy for Mr. Ellwanger; (ii) the payment to Mr. Ellwanger of an annual salary (together with social benefits) of approximately $505,950, effective as of April 1, 2007; (iii) the reimbursement of Mr. Ellwanger for the difference, if any, between: (a) payments made by him, or on his behalf, to the Israeli tax authorities in respect of his aggregate base salary and performance-based bonuses from the Company, and (b) the amount that he would have been required to pay to the United States tax authorities had he been subject to United States taxation in respect of such amounts; (iv) the re-imbursement of Mr. Ellwanger for expenses associated with his relocation to Israel of up to approximately $280,000 on an annual basis; and (v) a performance-based bonus of up to $408,240 for the year ended December 31, 2007.</w:t>
      </w:r>
    </w:p>
    <w:p>
      <w:pPr>
        <w:spacing w:after="0" w:line="130" w:lineRule="exact"/>
        <w:rPr>
          <w:sz w:val="20"/>
          <w:szCs w:val="20"/>
          <w:color w:val="auto"/>
        </w:rPr>
      </w:pPr>
    </w:p>
    <w:p>
      <w:pPr>
        <w:ind w:right="4759" w:firstLine="351"/>
        <w:spacing w:after="0" w:line="262" w:lineRule="auto"/>
        <w:rPr>
          <w:sz w:val="20"/>
          <w:szCs w:val="20"/>
          <w:color w:val="auto"/>
        </w:rPr>
      </w:pPr>
      <w:r>
        <w:rPr>
          <w:rFonts w:ascii="Courier New" w:cs="Courier New" w:eastAsia="Courier New" w:hAnsi="Courier New"/>
          <w:sz w:val="11"/>
          <w:szCs w:val="11"/>
          <w:color w:val="auto"/>
        </w:rPr>
        <w:t>In May 2006, our board of directors approved a plan to offer each of our current employees, including senior management, the opportunity to exchange their existing options to purchase our ordinary shares for new options with an exercise price of $1.45, which was the average closing price of our shares on the NASDAQ during the 90 consecutive trading days prior to the board of directors' approval in May 2006. The new options were granted based on terms similar to our existing employee option plan with new vesting periods.</w:t>
      </w:r>
    </w:p>
    <w:p>
      <w:pPr>
        <w:spacing w:after="0" w:line="25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- 53 -</w:t>
      </w:r>
    </w:p>
    <w:p>
      <w:pPr>
        <w:spacing w:after="0" w:line="39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May 2006, our board of directors further approved the allocation of additional options to be made available for grant to our employees if the total number of employee options, including the options to our CEO and senior management, during the 24 months period ended May 2008, will represent less than 8% of our shares on a fully diluted basis</w:t>
      </w:r>
    </w:p>
    <w:p>
      <w:pPr>
        <w:spacing w:after="0" w:line="139" w:lineRule="exact"/>
        <w:rPr>
          <w:sz w:val="20"/>
          <w:szCs w:val="20"/>
          <w:color w:val="auto"/>
        </w:rPr>
      </w:pPr>
    </w:p>
    <w:p>
      <w:pPr>
        <w:ind w:right="4759" w:firstLine="351"/>
        <w:spacing w:after="0" w:line="273" w:lineRule="auto"/>
        <w:rPr>
          <w:sz w:val="20"/>
          <w:szCs w:val="20"/>
          <w:color w:val="auto"/>
        </w:rPr>
      </w:pPr>
      <w:r>
        <w:rPr>
          <w:rFonts w:ascii="Courier New" w:cs="Courier New" w:eastAsia="Courier New" w:hAnsi="Courier New"/>
          <w:sz w:val="11"/>
          <w:szCs w:val="11"/>
          <w:color w:val="auto"/>
        </w:rPr>
        <w:t>During 2007, we granted a total of 995,000 options to purchase ordinary shares to our senior managers as a group (excluding the options granted to our</w:t>
      </w:r>
    </w:p>
    <w:p>
      <w:pPr>
        <w:sectPr>
          <w:pgSz w:w="11900" w:h="16838" w:orient="portrait"/>
          <w:cols w:equalWidth="0" w:num="1">
            <w:col w:w="10239"/>
          </w:cols>
          <w:pgMar w:left="220" w:top="276" w:right="1440" w:bottom="0" w:gutter="0" w:footer="0" w:header="0"/>
        </w:sectPr>
      </w:pPr>
    </w:p>
    <w:bookmarkStart w:id="31" w:name="page32"/>
    <w:bookmarkEnd w:id="31"/>
    <w:p>
      <w:pPr>
        <w:ind w:right="4839"/>
        <w:spacing w:after="0" w:line="273" w:lineRule="auto"/>
        <w:rPr>
          <w:sz w:val="20"/>
          <w:szCs w:val="20"/>
          <w:color w:val="auto"/>
        </w:rPr>
      </w:pPr>
      <w:r>
        <w:rPr>
          <w:rFonts w:ascii="Courier New" w:cs="Courier New" w:eastAsia="Courier New" w:hAnsi="Courier New"/>
          <w:sz w:val="11"/>
          <w:szCs w:val="11"/>
          <w:color w:val="auto"/>
        </w:rPr>
        <w:t>CEO described above). These options have a weighted average exercise price of $1.71 per share with vesting periods over four years and expire in 2017.</w:t>
      </w:r>
    </w:p>
    <w:p>
      <w:pPr>
        <w:spacing w:after="0" w:line="122"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As of May 31, 2008, options to purchase approximately 14,073,953 ordinary shares held by our employees (excluding the options granted to our CEO and directors described above), with exercise prices ranging from $1.06 to $25, with weighted average exercise price of $1.72 were outstanding under employees share options plans. Also as of such date, 787,000 options were available for future grants under our share options plans.</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C. BOARD PRACTICES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Articles of Association provide that the Board of Directors shall consist of at least five and no more than 11 members. All directors, except for external directors, hold office until their successors are elected at the next annual general meeting of shareholders. Our officers are appointed by the Board of Directors and (subject, in certain cases, to employment agreement provisions that require 270 days notice of termination) continue to serve at the discretion of the Board of Directors. The Board of Directors may grant the CEO the power to appoint officers.</w:t>
      </w:r>
    </w:p>
    <w:p>
      <w:pPr>
        <w:spacing w:after="0" w:line="142"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Our Articles of Association provide that any director may, by written notice to us, appoint another person to serve as an alternate director, and may cancel such appointment. Any person who is not already a director may act as an alternate, and the same person may not act as the alternate for more than one director at a time. The term of appointment of an alternate director may be for one meeting of the Board of Directors or for a specified period or until notice is given of the cancellation of the appointment.</w:t>
      </w:r>
    </w:p>
    <w:p>
      <w:pPr>
        <w:spacing w:after="0" w:line="141" w:lineRule="exact"/>
        <w:rPr>
          <w:sz w:val="20"/>
          <w:szCs w:val="20"/>
          <w:color w:val="auto"/>
        </w:rPr>
      </w:pPr>
    </w:p>
    <w:p>
      <w:pPr>
        <w:ind w:right="4759" w:firstLine="351"/>
        <w:spacing w:after="0" w:line="235" w:lineRule="auto"/>
        <w:rPr>
          <w:sz w:val="20"/>
          <w:szCs w:val="20"/>
          <w:color w:val="auto"/>
        </w:rPr>
      </w:pPr>
      <w:r>
        <w:rPr>
          <w:rFonts w:ascii="Courier New" w:cs="Courier New" w:eastAsia="Courier New" w:hAnsi="Courier New"/>
          <w:sz w:val="12"/>
          <w:szCs w:val="12"/>
          <w:color w:val="auto"/>
        </w:rPr>
        <w:t>None of the members of the Board are entitled to receive any severance or similar benefits upon termination of service with the Board of Directors.</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The Israeli Companies Law - 1999 (the "Companies Law") requires Israeli companies with shares that have been offered to the public in or outside of Israel to appoint no less than two external directors. No person may be appointed as an external director if the person or the person's relative, partner, employer or any entity under the person's control, has or had, on or within the two years preceding the date of the person's appointment to serve as external director, any affiliation with the company or any entity controlling, controlled by or under common control with the company. The term "affiliation" includes:</w:t>
      </w:r>
    </w:p>
    <w:p>
      <w:pPr>
        <w:spacing w:after="0" w:line="139" w:lineRule="exact"/>
        <w:rPr>
          <w:sz w:val="20"/>
          <w:szCs w:val="20"/>
          <w:color w:val="auto"/>
        </w:rPr>
      </w:pPr>
    </w:p>
    <w:p>
      <w:pPr>
        <w:ind w:left="700" w:hanging="357"/>
        <w:spacing w:after="0"/>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employment relationship;</w:t>
      </w:r>
    </w:p>
    <w:p>
      <w:pPr>
        <w:spacing w:after="0" w:line="13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a business or professional relationship maintained on a regular basis;</w:t>
      </w:r>
    </w:p>
    <w:p>
      <w:pPr>
        <w:spacing w:after="0" w:line="141" w:lineRule="exact"/>
        <w:rPr>
          <w:rFonts w:ascii="Courier New" w:cs="Courier New" w:eastAsia="Courier New" w:hAnsi="Courier New"/>
          <w:sz w:val="11"/>
          <w:szCs w:val="11"/>
          <w:color w:val="auto"/>
        </w:rPr>
      </w:pPr>
    </w:p>
    <w:p>
      <w:pPr>
        <w:ind w:left="700" w:hanging="357"/>
        <w:spacing w:after="0"/>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control; and</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service as an office holder.</w:t>
      </w:r>
    </w:p>
    <w:p>
      <w:pPr>
        <w:spacing w:after="0" w:line="269"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54 -</w:t>
      </w:r>
    </w:p>
    <w:p>
      <w:pPr>
        <w:spacing w:after="0" w:line="391"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A person shall be qualified to serve as an external director only if he or she possesses accounting and financial expertise or professional qualifications. At least one external director must possess accounting and financial expertise. The conditions and criteria for possessing accounting and financial expertise or professional qualifications were determined in regulations promulgated by the Israeli Minister of Justice in consultation with the Israeli Securities Authority. The regulations mandate that a person is deemed to have "expertise in finance and accounting" if his or her education, experience and qualifications provide him or her with expertise and understanding in business matters - accounting and financial statements, in a way that allows him or her to understand, in depth, the company's financial statements and to encourage discussion about the manner in which the financial data is presented.</w:t>
      </w:r>
    </w:p>
    <w:p>
      <w:pPr>
        <w:spacing w:after="0" w:line="13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company's board of directors must evaluate the proposed external director's expertise in finance and accounting, by considering, among other things, his or her education, experience and knowledge in the following: (i) accounting and auditing issues typical to the field in which the company operates and to companies of a size and complexity similar to such company; (ii) a company's external public accountant's duties and obligations; (iii) preparing company financial statements and their approval in accordance with the Companies Law and the Israeli Securities Law.</w:t>
      </w:r>
    </w:p>
    <w:p>
      <w:pPr>
        <w:spacing w:after="0" w:line="142"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A director is deemed to be "professionally qualified" if he or she meets any of the following criteria: (i) has an academic degree in any of the following professions: economics, business administration, accounting, law or public administration; (ii) has a different academic degree or has completed higher education in a field that is the company's main field of operations, or a field relevant to his or her position; or (iii) has at least five years experience in any of the following, or has a total of five years experience in at least two of the following: (A) a senior position in the business management of a corporation with significant operations, (B) a senior public position or a senior position in public service, or (C) a senior position in the company's main field of operations. The board of directors here too must evaluate the proposed external director's "professional qualification" in accordance with the criteria set forth above.</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The declaration required by law to be signed by a candidate to serve as an external director must include a statement by such candidate concerning his or her education and experience, if relevant, in order that the board of directors may properly evaluate whether such candidate meets the requirements set forth in the regulations. Additionally, the candidate should submit documents and certificates that support the statements set forth in the declaration.</w:t>
      </w:r>
    </w:p>
    <w:p>
      <w:pPr>
        <w:spacing w:after="0" w:line="13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No person may serve as an external director if the person's position or other business activities create, or may create, a conflict of interest with the person's responsibilities as an external director or may otherwise interfere with the person's ability to serve as an external director. If, at the time external directors are to be appointed, all current members of the board of directors are of the same gender, then at least one external director must be of the other gender.</w:t>
      </w:r>
    </w:p>
    <w:p>
      <w:pPr>
        <w:spacing w:after="0" w:line="141" w:lineRule="exact"/>
        <w:rPr>
          <w:sz w:val="20"/>
          <w:szCs w:val="20"/>
          <w:color w:val="auto"/>
        </w:rPr>
      </w:pPr>
    </w:p>
    <w:p>
      <w:pPr>
        <w:ind w:right="4699" w:firstLine="351"/>
        <w:spacing w:after="0" w:line="235" w:lineRule="auto"/>
        <w:rPr>
          <w:sz w:val="20"/>
          <w:szCs w:val="20"/>
          <w:color w:val="auto"/>
        </w:rPr>
      </w:pPr>
      <w:r>
        <w:rPr>
          <w:rFonts w:ascii="Courier New" w:cs="Courier New" w:eastAsia="Courier New" w:hAnsi="Courier New"/>
          <w:sz w:val="12"/>
          <w:szCs w:val="12"/>
          <w:color w:val="auto"/>
        </w:rPr>
        <w:t>External directors are to be elected by a majority vote at a shareholders' meeting, provided that either:</w:t>
      </w:r>
    </w:p>
    <w:p>
      <w:pPr>
        <w:spacing w:after="0" w:line="139" w:lineRule="exact"/>
        <w:rPr>
          <w:sz w:val="20"/>
          <w:szCs w:val="20"/>
          <w:color w:val="auto"/>
        </w:rPr>
      </w:pPr>
    </w:p>
    <w:p>
      <w:pPr>
        <w:ind w:left="700" w:right="4839" w:hanging="357"/>
        <w:spacing w:after="0" w:line="266" w:lineRule="auto"/>
        <w:tabs>
          <w:tab w:leader="none" w:pos="700" w:val="left"/>
        </w:tabs>
        <w:numPr>
          <w:ilvl w:val="0"/>
          <w:numId w:val="22"/>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majority of shares voted at the meeting, including at least one-third of the shares held by non-controlling shareholders that voted at the meeting, vote in favor of election of the director; or</w:t>
      </w:r>
    </w:p>
    <w:p>
      <w:pPr>
        <w:spacing w:after="0" w:line="126" w:lineRule="exact"/>
        <w:rPr>
          <w:rFonts w:ascii="Courier New" w:cs="Courier New" w:eastAsia="Courier New" w:hAnsi="Courier New"/>
          <w:sz w:val="11"/>
          <w:szCs w:val="11"/>
          <w:color w:val="auto"/>
        </w:rPr>
      </w:pPr>
    </w:p>
    <w:p>
      <w:pPr>
        <w:ind w:left="700" w:right="4699" w:hanging="357"/>
        <w:spacing w:after="0" w:line="236" w:lineRule="auto"/>
        <w:tabs>
          <w:tab w:leader="none" w:pos="700" w:val="left"/>
        </w:tabs>
        <w:numPr>
          <w:ilvl w:val="0"/>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total number of shares held by non-controlling shareholders voted against the election of the director does not exceed one percent of the aggregate voting rights in the company.</w:t>
      </w:r>
    </w:p>
    <w:p>
      <w:pPr>
        <w:spacing w:after="0" w:line="270"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55 -</w:t>
      </w:r>
    </w:p>
    <w:p>
      <w:pPr>
        <w:sectPr>
          <w:pgSz w:w="11900" w:h="16838" w:orient="portrait"/>
          <w:cols w:equalWidth="0" w:num="1">
            <w:col w:w="10239"/>
          </w:cols>
          <w:pgMar w:left="220" w:top="141" w:right="1440" w:bottom="76" w:gutter="0" w:footer="0" w:header="0"/>
        </w:sectPr>
      </w:pPr>
    </w:p>
    <w:bookmarkStart w:id="32" w:name="page33"/>
    <w:bookmarkEnd w:id="32"/>
    <w:p>
      <w:pPr>
        <w:ind w:right="4619" w:firstLine="351"/>
        <w:spacing w:after="0" w:line="262" w:lineRule="auto"/>
        <w:rPr>
          <w:sz w:val="20"/>
          <w:szCs w:val="20"/>
          <w:color w:val="auto"/>
        </w:rPr>
      </w:pPr>
      <w:r>
        <w:rPr>
          <w:rFonts w:ascii="Courier New" w:cs="Courier New" w:eastAsia="Courier New" w:hAnsi="Courier New"/>
          <w:sz w:val="11"/>
          <w:szCs w:val="11"/>
          <w:color w:val="auto"/>
        </w:rPr>
        <w:t>The initial term of an external director is three years and may be extended for additional three year terms, subject to certain conditions. External directors may be removed only by the same percentage of shareholders as is required for their election, or by a court, and then only if the external directors cease to meet the statutory qualifications for their appointment or if they violate their duty of loyalty to the company. Each committee of a company's board of directors must include at least one external director.</w:t>
      </w:r>
    </w:p>
    <w:p>
      <w:pPr>
        <w:spacing w:after="0" w:line="12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Ms. Miri Katz currently serves as our external director. Ms. Katz was appointed for an initial three-year term expiring in January 2010. Mr. Hans Rohrer's term serving as an external director expired in April 2008 and we will promptly call a shareholders' meeting to appoint an external director in his place.</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An external director is entitled to compensation, as provided in regulations adopted under the Israeli Companies Law, and is otherwise prohibited from receiving any other compensation, directly or indirectly, in connection with service provided as an external director.</w:t>
      </w:r>
    </w:p>
    <w:p>
      <w:pPr>
        <w:spacing w:after="0" w:line="141"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The Companies Law requires public companies to appoint an audit committee. The responsibilities of the audit committee include reviewing the company's financial statements, monitoring the company's independent auditors, identifying irregularities in the management of the company's business and approving related party transactions as required by law. An audit committee must consist of at least three directors, including the external directors of the company. The chairman of the board of directors, any director employed by or otherwise providing services to the company, and a controlling shareholder or any relative of a controlling shareholder, may not be a member of the audit committee. An employee, executive officer or director of a controlling shareholder of an Israeli company may serve as a member of an audit committee under Israeli law, unless such individual controls more than 50% of the controlling shareholder. Each of our external directors are members of our audit committee.</w:t>
      </w:r>
    </w:p>
    <w:p>
      <w:pPr>
        <w:spacing w:after="0" w:line="130"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Under the Companies Law, the board of directors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an affiliate, or a relative of an office holder or affiliate, and he may not be the company's independent auditor or its representative.</w:t>
      </w:r>
    </w:p>
    <w:p>
      <w:pPr>
        <w:spacing w:after="0" w:line="141" w:lineRule="exact"/>
        <w:rPr>
          <w:sz w:val="20"/>
          <w:szCs w:val="20"/>
          <w:color w:val="auto"/>
        </w:rPr>
      </w:pPr>
    </w:p>
    <w:p>
      <w:pPr>
        <w:ind w:right="4839" w:firstLine="351"/>
        <w:spacing w:after="0" w:line="237" w:lineRule="auto"/>
        <w:rPr>
          <w:sz w:val="20"/>
          <w:szCs w:val="20"/>
          <w:color w:val="auto"/>
        </w:rPr>
      </w:pPr>
      <w:r>
        <w:rPr>
          <w:rFonts w:ascii="Courier New" w:cs="Courier New" w:eastAsia="Courier New" w:hAnsi="Courier New"/>
          <w:sz w:val="12"/>
          <w:szCs w:val="12"/>
          <w:color w:val="auto"/>
        </w:rPr>
        <w:t>Mr. Moran, Mr. Kalman and Ms. Katz serve on the stock option and compensation committee. The committee meets at least once a year. The primary function of this committee is to approve our employee compensation policy and determine remuneration and other terms of employment for our officers. In setting our remuneration policy, the committee considers a number of factors including:</w:t>
      </w:r>
    </w:p>
    <w:p>
      <w:pPr>
        <w:spacing w:after="0" w:line="136" w:lineRule="exact"/>
        <w:rPr>
          <w:sz w:val="20"/>
          <w:szCs w:val="20"/>
          <w:color w:val="auto"/>
        </w:rPr>
      </w:pPr>
    </w:p>
    <w:p>
      <w:pPr>
        <w:ind w:left="700" w:hanging="357"/>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overall employment market environment;</w:t>
      </w:r>
    </w:p>
    <w:p>
      <w:pPr>
        <w:spacing w:after="0" w:line="138" w:lineRule="exact"/>
        <w:rPr>
          <w:rFonts w:ascii="Courier New" w:cs="Courier New" w:eastAsia="Courier New" w:hAnsi="Courier New"/>
          <w:sz w:val="12"/>
          <w:szCs w:val="12"/>
          <w:color w:val="auto"/>
        </w:rPr>
      </w:pPr>
    </w:p>
    <w:p>
      <w:pPr>
        <w:ind w:left="700" w:right="4839" w:hanging="357"/>
        <w:spacing w:after="0" w:line="235" w:lineRule="auto"/>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basic salaries and benefits available to comparable officers at comparable companies;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need to attract and retain officers of an appropriate caliber;</w:t>
      </w:r>
    </w:p>
    <w:p>
      <w:pPr>
        <w:spacing w:after="0" w:line="138"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need to ensure such executives' commitment to the future success of our company by means of incentive schemes;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performance of the officer; and</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financial and operating results of our company.</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D. EMPLOYEES</w:t>
      </w:r>
    </w:p>
    <w:p>
      <w:pPr>
        <w:spacing w:after="0" w:line="139" w:lineRule="exact"/>
        <w:rPr>
          <w:sz w:val="20"/>
          <w:szCs w:val="20"/>
          <w:color w:val="auto"/>
        </w:rPr>
      </w:pPr>
    </w:p>
    <w:p>
      <w:pPr>
        <w:ind w:right="4699" w:firstLine="351"/>
        <w:spacing w:after="0" w:line="235" w:lineRule="auto"/>
        <w:rPr>
          <w:sz w:val="20"/>
          <w:szCs w:val="20"/>
          <w:color w:val="auto"/>
        </w:rPr>
      </w:pPr>
      <w:r>
        <w:rPr>
          <w:rFonts w:ascii="Courier New" w:cs="Courier New" w:eastAsia="Courier New" w:hAnsi="Courier New"/>
          <w:sz w:val="12"/>
          <w:szCs w:val="12"/>
          <w:color w:val="auto"/>
        </w:rPr>
        <w:t>The following table sets forth for the last three fiscal years, the number of our employees engaged in the specified activities.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220" w:type="dxa"/>
            <w:vAlign w:val="bottom"/>
          </w:tcPr>
          <w:p>
            <w:pPr>
              <w:ind w:left="2600"/>
              <w:spacing w:after="0"/>
              <w:rPr>
                <w:sz w:val="20"/>
                <w:szCs w:val="20"/>
                <w:color w:val="auto"/>
              </w:rPr>
            </w:pPr>
            <w:r>
              <w:rPr>
                <w:rFonts w:ascii="Courier New" w:cs="Courier New" w:eastAsia="Courier New" w:hAnsi="Courier New"/>
                <w:sz w:val="12"/>
                <w:szCs w:val="12"/>
                <w:color w:val="auto"/>
              </w:rPr>
              <w:t>- 56 -</w:t>
            </w:r>
          </w:p>
        </w:tc>
        <w:tc>
          <w:tcPr>
            <w:tcW w:w="6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522"/>
        </w:trPr>
        <w:tc>
          <w:tcPr>
            <w:tcW w:w="3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rPr>
              <w:t>AS OF DECEMBER 31,</w:t>
            </w:r>
          </w:p>
        </w:tc>
        <w:tc>
          <w:tcPr>
            <w:tcW w:w="420" w:type="dxa"/>
            <w:vAlign w:val="bottom"/>
          </w:tcPr>
          <w:p>
            <w:pPr>
              <w:spacing w:after="0"/>
              <w:rPr>
                <w:sz w:val="24"/>
                <w:szCs w:val="24"/>
                <w:color w:val="auto"/>
              </w:rPr>
            </w:pPr>
          </w:p>
        </w:tc>
      </w:tr>
      <w:tr>
        <w:trPr>
          <w:trHeight w:val="135"/>
        </w:trPr>
        <w:tc>
          <w:tcPr>
            <w:tcW w:w="3220" w:type="dxa"/>
            <w:vAlign w:val="bottom"/>
          </w:tcPr>
          <w:p>
            <w:pPr>
              <w:spacing w:after="0"/>
              <w:rPr>
                <w:sz w:val="11"/>
                <w:szCs w:val="11"/>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20" w:type="dxa"/>
            <w:vAlign w:val="bottom"/>
          </w:tcPr>
          <w:p>
            <w:pPr>
              <w:spacing w:after="0"/>
              <w:rPr>
                <w:sz w:val="11"/>
                <w:szCs w:val="11"/>
                <w:color w:val="auto"/>
              </w:rPr>
            </w:pPr>
          </w:p>
        </w:tc>
        <w:tc>
          <w:tcPr>
            <w:tcW w:w="6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2007</w:t>
            </w:r>
          </w:p>
        </w:tc>
        <w:tc>
          <w:tcPr>
            <w:tcW w:w="1340" w:type="dxa"/>
            <w:vAlign w:val="bottom"/>
          </w:tcPr>
          <w:p>
            <w:pPr>
              <w:jc w:val="right"/>
              <w:ind w:right="521"/>
              <w:spacing w:after="0"/>
              <w:rPr>
                <w:sz w:val="20"/>
                <w:szCs w:val="20"/>
                <w:color w:val="auto"/>
              </w:rPr>
            </w:pPr>
            <w:r>
              <w:rPr>
                <w:rFonts w:ascii="Courier New" w:cs="Courier New" w:eastAsia="Courier New" w:hAnsi="Courier New"/>
                <w:sz w:val="12"/>
                <w:szCs w:val="12"/>
                <w:color w:val="auto"/>
              </w:rPr>
              <w:t>2006</w:t>
            </w:r>
          </w:p>
        </w:tc>
        <w:tc>
          <w:tcPr>
            <w:tcW w:w="4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32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w w:val="92"/>
              </w:rPr>
              <w:t>------</w:t>
            </w:r>
          </w:p>
        </w:tc>
      </w:tr>
      <w:tr>
        <w:trPr>
          <w:trHeight w:val="270"/>
        </w:trPr>
        <w:tc>
          <w:tcPr>
            <w:tcW w:w="3220" w:type="dxa"/>
            <w:vAlign w:val="bottom"/>
          </w:tcPr>
          <w:p>
            <w:pPr>
              <w:spacing w:after="0"/>
              <w:rPr>
                <w:sz w:val="20"/>
                <w:szCs w:val="20"/>
                <w:color w:val="auto"/>
              </w:rPr>
            </w:pPr>
            <w:r>
              <w:rPr>
                <w:rFonts w:ascii="Courier New" w:cs="Courier New" w:eastAsia="Courier New" w:hAnsi="Courier New"/>
                <w:sz w:val="12"/>
                <w:szCs w:val="12"/>
                <w:color w:val="auto"/>
              </w:rPr>
              <w:t>Process and product engineering, R&amp;D, design</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308</w:t>
            </w:r>
          </w:p>
        </w:tc>
        <w:tc>
          <w:tcPr>
            <w:tcW w:w="134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343</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293</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Manufacturing, operations</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904</w:t>
            </w:r>
          </w:p>
        </w:tc>
        <w:tc>
          <w:tcPr>
            <w:tcW w:w="134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879</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734</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Manufacturing support</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82</w:t>
            </w:r>
          </w:p>
        </w:tc>
        <w:tc>
          <w:tcPr>
            <w:tcW w:w="134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113</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115</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Administration, marketing, finance</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135</w:t>
            </w:r>
          </w:p>
        </w:tc>
        <w:tc>
          <w:tcPr>
            <w:tcW w:w="134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111</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96</w:t>
            </w:r>
          </w:p>
        </w:tc>
      </w:tr>
      <w:tr>
        <w:trPr>
          <w:trHeight w:val="135"/>
        </w:trPr>
        <w:tc>
          <w:tcPr>
            <w:tcW w:w="32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w w:val="92"/>
              </w:rPr>
              <w:t>------</w:t>
            </w:r>
          </w:p>
        </w:tc>
      </w:tr>
      <w:tr>
        <w:trPr>
          <w:trHeight w:val="135"/>
        </w:trPr>
        <w:tc>
          <w:tcPr>
            <w:tcW w:w="322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1,429</w:t>
            </w:r>
          </w:p>
        </w:tc>
        <w:tc>
          <w:tcPr>
            <w:tcW w:w="134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1,446</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1,238</w:t>
            </w:r>
          </w:p>
        </w:tc>
      </w:tr>
      <w:tr>
        <w:trPr>
          <w:trHeight w:val="135"/>
        </w:trPr>
        <w:tc>
          <w:tcPr>
            <w:tcW w:w="3220" w:type="dxa"/>
            <w:vAlign w:val="bottom"/>
          </w:tcPr>
          <w:p>
            <w:pPr>
              <w:spacing w:after="0"/>
              <w:rPr>
                <w:sz w:val="11"/>
                <w:szCs w:val="11"/>
                <w:color w:val="auto"/>
              </w:rPr>
            </w:pPr>
          </w:p>
        </w:tc>
        <w:tc>
          <w:tcPr>
            <w:tcW w:w="6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44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w w:val="92"/>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Except for an arrangement regarding pension contributions, we have no collective bargaining agreements with any of our employees. However, by administrative order, certain provisions of the collective bargaining agreements between the Histadrut (General Federation of Labor in Israel) and the Coordination Bureau of Economic Organizations, relating primarily to the length of the work day, minimum wages, pension contributions, insurance for work-related accidents, procedures for dismissing employees, determination of severance pay and other conditions of employment are applicable to our employees. In accordance with these provisions, the salaries of our employees are partially indexed to the Consumer Price Index in Israel.</w:t>
      </w:r>
    </w:p>
    <w:p>
      <w:pPr>
        <w:spacing w:after="0" w:line="144"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Under the special collective bargaining agreement to which we are party, we are required to contribute funds to an employee's "Manager's Insurance" fund and/or pension fund. Such funds generally provide a combination of savings plans, insurance and severance pay benefits to the employee, securing his or her right to receive pension or giving the employee a lump sum payment upon retirement, under certain circumstances, if legally entitled, upon termination of employment. To the Manager's Insurance fund, the employee usually contributes an amount equal to 5% of his or her wages and the employer usually contributes an additional 13.3% to 15.8%. To the pension fund the employee usually contributes an amount equal to between 5% and 6% of his or her wages and the employer usually contributes an additional 13.7% to 17.3%. Israeli law generally requires severance pay upon the retirement or death of an employee or termination of employment without due cause. Under our special collective bargaining agreement, we are exempt from such payment as long as, and for period during which, we contribute the above mentioned benefits to such employee's pension fund and/or Manager's Insurance.</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E. SHARE OWNERSHIP</w:t>
      </w:r>
    </w:p>
    <w:p>
      <w:pPr>
        <w:spacing w:after="0" w:line="139" w:lineRule="exact"/>
        <w:rPr>
          <w:sz w:val="20"/>
          <w:szCs w:val="20"/>
          <w:color w:val="auto"/>
        </w:rPr>
      </w:pPr>
    </w:p>
    <w:p>
      <w:pPr>
        <w:ind w:right="4899" w:firstLine="351"/>
        <w:spacing w:after="0" w:line="263" w:lineRule="auto"/>
        <w:rPr>
          <w:sz w:val="20"/>
          <w:szCs w:val="20"/>
          <w:color w:val="auto"/>
        </w:rPr>
      </w:pPr>
      <w:r>
        <w:rPr>
          <w:rFonts w:ascii="Courier New" w:cs="Courier New" w:eastAsia="Courier New" w:hAnsi="Courier New"/>
          <w:sz w:val="11"/>
          <w:szCs w:val="11"/>
          <w:color w:val="auto"/>
        </w:rPr>
        <w:t>All of the persons listed above under the caption "Directors and Senior Management" own ordinary shares and/or options to purchase ordinary shares. Except as described below, none of such persons own shares and/or options amounting to 1% or more of the outstanding ordinary shares. Information regarding our share option plans and warrants presented in Note 14B to our</w:t>
      </w:r>
    </w:p>
    <w:p>
      <w:pPr>
        <w:sectPr>
          <w:pgSz w:w="11900" w:h="16838" w:orient="portrait"/>
          <w:cols w:equalWidth="0" w:num="1">
            <w:col w:w="10239"/>
          </w:cols>
          <w:pgMar w:left="220" w:top="141" w:right="1440" w:bottom="0" w:gutter="0" w:footer="0" w:header="0"/>
        </w:sectPr>
      </w:pPr>
    </w:p>
    <w:bookmarkStart w:id="33" w:name="page34"/>
    <w:bookmarkEnd w:id="33"/>
    <w:p>
      <w:pPr>
        <w:ind w:left="8"/>
        <w:spacing w:after="0"/>
        <w:rPr>
          <w:sz w:val="20"/>
          <w:szCs w:val="20"/>
          <w:color w:val="auto"/>
        </w:rPr>
      </w:pPr>
      <w:r>
        <w:rPr>
          <w:rFonts w:ascii="Courier New" w:cs="Courier New" w:eastAsia="Courier New" w:hAnsi="Courier New"/>
          <w:sz w:val="12"/>
          <w:szCs w:val="12"/>
          <w:color w:val="auto"/>
        </w:rPr>
        <w:t>consolidated financial statements is incorporated herein by reference.</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- 57 -</w:t>
      </w:r>
    </w:p>
    <w:p>
      <w:pPr>
        <w:spacing w:after="0" w:line="38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7. MAJOR SHAREHOLDERS AND RELATED PARTY TRANSACTIONS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D. MAJOR SHAREHOLDERS</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The following table and notes thereto set forth information, as of May 31, 2008, concerning the beneficial ownership (as defined in Rule 13d-3 under the Securities Exchange Act of 1934, as amended), and on a diluted basis, of ordinary shares by any person who is known to own at least 5% of our issued and outstanding ordinary shares. As of such date, 125,364,021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140"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2660" w:type="dxa"/>
            <w:vAlign w:val="bottom"/>
          </w:tcPr>
          <w:p>
            <w:pPr>
              <w:spacing w:after="0"/>
              <w:rPr>
                <w:sz w:val="11"/>
                <w:szCs w:val="11"/>
                <w:color w:val="auto"/>
              </w:rPr>
            </w:pPr>
          </w:p>
        </w:tc>
        <w:tc>
          <w:tcPr>
            <w:tcW w:w="1580" w:type="dxa"/>
            <w:vAlign w:val="bottom"/>
          </w:tcPr>
          <w:p>
            <w:pPr>
              <w:jc w:val="right"/>
              <w:ind w:right="601"/>
              <w:spacing w:after="0"/>
              <w:rPr>
                <w:sz w:val="20"/>
                <w:szCs w:val="20"/>
                <w:color w:val="auto"/>
              </w:rPr>
            </w:pPr>
            <w:r>
              <w:rPr>
                <w:rFonts w:ascii="Courier New" w:cs="Courier New" w:eastAsia="Courier New" w:hAnsi="Courier New"/>
                <w:sz w:val="12"/>
                <w:szCs w:val="12"/>
                <w:color w:val="auto"/>
              </w:rPr>
              <w:t>AMOUNT</w:t>
            </w:r>
          </w:p>
        </w:tc>
        <w:tc>
          <w:tcPr>
            <w:tcW w:w="130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PERCENT OF</w:t>
            </w:r>
          </w:p>
        </w:tc>
        <w:tc>
          <w:tcPr>
            <w:tcW w:w="1260" w:type="dxa"/>
            <w:vAlign w:val="bottom"/>
          </w:tcPr>
          <w:p>
            <w:pPr>
              <w:jc w:val="right"/>
              <w:spacing w:after="0"/>
              <w:rPr>
                <w:sz w:val="20"/>
                <w:szCs w:val="20"/>
                <w:color w:val="auto"/>
              </w:rPr>
            </w:pPr>
            <w:r>
              <w:rPr>
                <w:rFonts w:ascii="Courier New" w:cs="Courier New" w:eastAsia="Courier New" w:hAnsi="Courier New"/>
                <w:sz w:val="12"/>
                <w:szCs w:val="12"/>
                <w:color w:val="auto"/>
              </w:rPr>
              <w:t>PERCENT OF CLASS</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rPr>
              <w:t>IDENTITY OF PERSON OR GROUP</w:t>
            </w:r>
          </w:p>
        </w:tc>
        <w:tc>
          <w:tcPr>
            <w:tcW w:w="1580" w:type="dxa"/>
            <w:vAlign w:val="bottom"/>
          </w:tcPr>
          <w:p>
            <w:pPr>
              <w:jc w:val="right"/>
              <w:ind w:right="541"/>
              <w:spacing w:after="0"/>
              <w:rPr>
                <w:sz w:val="20"/>
                <w:szCs w:val="20"/>
                <w:color w:val="auto"/>
              </w:rPr>
            </w:pPr>
            <w:r>
              <w:rPr>
                <w:rFonts w:ascii="Courier New" w:cs="Courier New" w:eastAsia="Courier New" w:hAnsi="Courier New"/>
                <w:sz w:val="12"/>
                <w:szCs w:val="12"/>
                <w:color w:val="auto"/>
              </w:rPr>
              <w:t>OWNED (1)</w:t>
            </w:r>
          </w:p>
        </w:tc>
        <w:tc>
          <w:tcPr>
            <w:tcW w:w="1300" w:type="dxa"/>
            <w:vAlign w:val="bottom"/>
          </w:tcPr>
          <w:p>
            <w:pPr>
              <w:ind w:left="380"/>
              <w:spacing w:after="0"/>
              <w:rPr>
                <w:sz w:val="20"/>
                <w:szCs w:val="20"/>
                <w:color w:val="auto"/>
              </w:rPr>
            </w:pPr>
            <w:r>
              <w:rPr>
                <w:rFonts w:ascii="Courier New" w:cs="Courier New" w:eastAsia="Courier New" w:hAnsi="Courier New"/>
                <w:sz w:val="12"/>
                <w:szCs w:val="12"/>
                <w:color w:val="auto"/>
              </w:rPr>
              <w:t>CLASS(1)</w:t>
            </w:r>
          </w:p>
        </w:tc>
        <w:tc>
          <w:tcPr>
            <w:tcW w:w="12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(DILUTED)(2)</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158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1300" w:type="dxa"/>
            <w:vAlign w:val="bottom"/>
          </w:tcPr>
          <w:p>
            <w:pPr>
              <w:ind w:left="380"/>
              <w:spacing w:after="0"/>
              <w:rPr>
                <w:sz w:val="20"/>
                <w:szCs w:val="20"/>
                <w:color w:val="auto"/>
              </w:rPr>
            </w:pPr>
            <w:r>
              <w:rPr>
                <w:rFonts w:ascii="Courier New" w:cs="Courier New" w:eastAsia="Courier New" w:hAnsi="Courier New"/>
                <w:sz w:val="12"/>
                <w:szCs w:val="12"/>
                <w:color w:val="auto"/>
              </w:rPr>
              <w:t>-----------</w:t>
            </w:r>
          </w:p>
        </w:tc>
        <w:tc>
          <w:tcPr>
            <w:tcW w:w="12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2660" w:type="dxa"/>
            <w:vAlign w:val="bottom"/>
          </w:tcPr>
          <w:p>
            <w:pPr>
              <w:spacing w:after="0"/>
              <w:rPr>
                <w:sz w:val="20"/>
                <w:szCs w:val="20"/>
                <w:color w:val="auto"/>
              </w:rPr>
            </w:pPr>
            <w:r>
              <w:rPr>
                <w:rFonts w:ascii="Courier New" w:cs="Courier New" w:eastAsia="Courier New" w:hAnsi="Courier New"/>
                <w:sz w:val="12"/>
                <w:szCs w:val="12"/>
                <w:color w:val="auto"/>
              </w:rPr>
              <w:t>Israel Corporation Ltd. (3)</w:t>
            </w:r>
          </w:p>
        </w:tc>
        <w:tc>
          <w:tcPr>
            <w:tcW w:w="15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101,231,883(4)</w:t>
            </w:r>
          </w:p>
        </w:tc>
        <w:tc>
          <w:tcPr>
            <w:tcW w:w="13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47.68%</w:t>
            </w:r>
          </w:p>
        </w:tc>
        <w:tc>
          <w:tcPr>
            <w:tcW w:w="12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27.29%</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rPr>
              <w:t>SanDisk Corporation (3)</w:t>
            </w:r>
          </w:p>
        </w:tc>
        <w:tc>
          <w:tcPr>
            <w:tcW w:w="15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19,060,790(5)</w:t>
            </w:r>
          </w:p>
        </w:tc>
        <w:tc>
          <w:tcPr>
            <w:tcW w:w="13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14.83%</w:t>
            </w:r>
          </w:p>
        </w:tc>
        <w:tc>
          <w:tcPr>
            <w:tcW w:w="12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5.14%</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rPr>
              <w:t>Macronix International Co. Ltd.(3)</w:t>
            </w:r>
          </w:p>
        </w:tc>
        <w:tc>
          <w:tcPr>
            <w:tcW w:w="15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9,682,485(6)</w:t>
            </w:r>
          </w:p>
        </w:tc>
        <w:tc>
          <w:tcPr>
            <w:tcW w:w="13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7.67%</w:t>
            </w:r>
          </w:p>
        </w:tc>
        <w:tc>
          <w:tcPr>
            <w:tcW w:w="12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2.61%</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rPr>
              <w:t>Bank Leumi Le-Israel, B.M</w:t>
            </w:r>
          </w:p>
        </w:tc>
        <w:tc>
          <w:tcPr>
            <w:tcW w:w="15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31,567,372(7)</w:t>
            </w:r>
          </w:p>
        </w:tc>
        <w:tc>
          <w:tcPr>
            <w:tcW w:w="13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20.12%</w:t>
            </w:r>
          </w:p>
        </w:tc>
        <w:tc>
          <w:tcPr>
            <w:tcW w:w="12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8.51%</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rPr>
              <w:t>Bank Hapoalim, B.M</w:t>
            </w:r>
          </w:p>
        </w:tc>
        <w:tc>
          <w:tcPr>
            <w:tcW w:w="15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32,037,960(8)</w:t>
            </w:r>
          </w:p>
        </w:tc>
        <w:tc>
          <w:tcPr>
            <w:tcW w:w="13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20.35%</w:t>
            </w:r>
          </w:p>
        </w:tc>
        <w:tc>
          <w:tcPr>
            <w:tcW w:w="12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8.64%</w:t>
            </w:r>
          </w:p>
        </w:tc>
      </w:tr>
      <w:tr>
        <w:trPr>
          <w:trHeight w:val="135"/>
        </w:trPr>
        <w:tc>
          <w:tcPr>
            <w:tcW w:w="2660" w:type="dxa"/>
            <w:vAlign w:val="bottom"/>
          </w:tcPr>
          <w:p>
            <w:pPr>
              <w:spacing w:after="0"/>
              <w:rPr>
                <w:sz w:val="20"/>
                <w:szCs w:val="20"/>
                <w:color w:val="auto"/>
              </w:rPr>
            </w:pPr>
            <w:r>
              <w:rPr>
                <w:rFonts w:ascii="Courier New" w:cs="Courier New" w:eastAsia="Courier New" w:hAnsi="Courier New"/>
                <w:sz w:val="12"/>
                <w:szCs w:val="12"/>
                <w:color w:val="auto"/>
              </w:rPr>
              <w:t>Prisma Investment House Ltd.</w:t>
            </w:r>
          </w:p>
        </w:tc>
        <w:tc>
          <w:tcPr>
            <w:tcW w:w="158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10,055,527(9)</w:t>
            </w:r>
          </w:p>
        </w:tc>
        <w:tc>
          <w:tcPr>
            <w:tcW w:w="13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7.81%</w:t>
            </w:r>
          </w:p>
        </w:tc>
        <w:tc>
          <w:tcPr>
            <w:tcW w:w="12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2.71%</w:t>
            </w:r>
          </w:p>
        </w:tc>
      </w:tr>
    </w:tbl>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 ----------</w:t>
      </w:r>
    </w:p>
    <w:p>
      <w:pPr>
        <w:spacing w:after="0" w:line="139" w:lineRule="exact"/>
        <w:rPr>
          <w:sz w:val="20"/>
          <w:szCs w:val="20"/>
          <w:color w:val="auto"/>
        </w:rPr>
      </w:pPr>
    </w:p>
    <w:p>
      <w:pPr>
        <w:ind w:left="348" w:right="4839" w:hanging="348"/>
        <w:spacing w:after="0" w:line="235" w:lineRule="auto"/>
        <w:tabs>
          <w:tab w:leader="none" w:pos="348"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Assumes the holder's beneficial ownership of all ordinary shares and all securities that the holder has a right to purchase within 60 days.</w:t>
      </w:r>
    </w:p>
    <w:p>
      <w:pPr>
        <w:spacing w:after="0" w:line="139" w:lineRule="exact"/>
        <w:rPr>
          <w:rFonts w:ascii="Courier New" w:cs="Courier New" w:eastAsia="Courier New" w:hAnsi="Courier New"/>
          <w:sz w:val="12"/>
          <w:szCs w:val="12"/>
          <w:color w:val="auto"/>
        </w:rPr>
      </w:pPr>
    </w:p>
    <w:p>
      <w:pPr>
        <w:ind w:left="348" w:right="4699" w:hanging="348"/>
        <w:spacing w:after="0" w:line="236" w:lineRule="auto"/>
        <w:tabs>
          <w:tab w:leader="none" w:pos="348"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Assumes that all currently outstanding securities to purchase ordinary shares, other than those which cannot be calculated as of the date of this registration statement, have been exercised by all holders.</w:t>
      </w:r>
    </w:p>
    <w:p>
      <w:pPr>
        <w:spacing w:after="0" w:line="139" w:lineRule="exact"/>
        <w:rPr>
          <w:rFonts w:ascii="Courier New" w:cs="Courier New" w:eastAsia="Courier New" w:hAnsi="Courier New"/>
          <w:sz w:val="12"/>
          <w:szCs w:val="12"/>
          <w:color w:val="auto"/>
        </w:rPr>
      </w:pPr>
    </w:p>
    <w:p>
      <w:pPr>
        <w:ind w:left="348" w:right="4899" w:hanging="348"/>
        <w:spacing w:after="0" w:line="237" w:lineRule="auto"/>
        <w:tabs>
          <w:tab w:leader="none" w:pos="348"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Pursuant to a shareholders agreement among Israel Corp., SanDisk Corporation and Macronix Co. Ltd., each of Israel Corp., SanDisk Corporation and Macronix Co. Ltd. may be said to have shared voting and dispositive control over approximately 31% of the outstanding shares of Tower.</w:t>
      </w:r>
    </w:p>
    <w:p>
      <w:pPr>
        <w:spacing w:after="0" w:line="139" w:lineRule="exact"/>
        <w:rPr>
          <w:rFonts w:ascii="Courier New" w:cs="Courier New" w:eastAsia="Courier New" w:hAnsi="Courier New"/>
          <w:sz w:val="12"/>
          <w:szCs w:val="12"/>
          <w:color w:val="auto"/>
        </w:rPr>
      </w:pPr>
    </w:p>
    <w:p>
      <w:pPr>
        <w:ind w:left="348" w:right="4619" w:hanging="348"/>
        <w:spacing w:after="0" w:line="237" w:lineRule="auto"/>
        <w:tabs>
          <w:tab w:leader="none" w:pos="348"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Israel Corp., represents 14,260,504 shares currently owned by Israel Corp., 18,181,823 shares issuable upon conversion of debentures, 65,789,474 shares issuable upon conversion of capital notes, 2,941,176 shares issuable upon the exercise of warrants at an exercise price per share of $2.04 and 58,906 shares issuable upon the exercise of warrants at an exercise price per share of $6.17.</w:t>
      </w:r>
    </w:p>
    <w:p>
      <w:pPr>
        <w:spacing w:after="0" w:line="140" w:lineRule="exact"/>
        <w:rPr>
          <w:rFonts w:ascii="Courier New" w:cs="Courier New" w:eastAsia="Courier New" w:hAnsi="Courier New"/>
          <w:sz w:val="12"/>
          <w:szCs w:val="12"/>
          <w:color w:val="auto"/>
        </w:rPr>
      </w:pPr>
    </w:p>
    <w:p>
      <w:pPr>
        <w:ind w:left="348" w:right="4619" w:hanging="348"/>
        <w:spacing w:after="0" w:line="236" w:lineRule="auto"/>
        <w:tabs>
          <w:tab w:leader="none" w:pos="348"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SanDisk, represents 15,878,972 shares currently owned by SanDisk and 3,181,818 shares issuable upon conversion of debentures.</w:t>
      </w:r>
    </w:p>
    <w:p>
      <w:pPr>
        <w:spacing w:after="0" w:line="139" w:lineRule="exact"/>
        <w:rPr>
          <w:rFonts w:ascii="Courier New" w:cs="Courier New" w:eastAsia="Courier New" w:hAnsi="Courier New"/>
          <w:sz w:val="12"/>
          <w:szCs w:val="12"/>
          <w:color w:val="auto"/>
        </w:rPr>
      </w:pPr>
    </w:p>
    <w:p>
      <w:pPr>
        <w:ind w:left="348" w:right="4699" w:hanging="348"/>
        <w:spacing w:after="0" w:line="236" w:lineRule="auto"/>
        <w:tabs>
          <w:tab w:leader="none" w:pos="348"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Macronix, represents 8,773,395 shares currently owned by Macronix and 909,090 shares issuable upon conversion of debentures.</w:t>
      </w:r>
    </w:p>
    <w:p>
      <w:pPr>
        <w:spacing w:after="0" w:line="139" w:lineRule="exact"/>
        <w:rPr>
          <w:rFonts w:ascii="Courier New" w:cs="Courier New" w:eastAsia="Courier New" w:hAnsi="Courier New"/>
          <w:sz w:val="12"/>
          <w:szCs w:val="12"/>
          <w:color w:val="auto"/>
        </w:rPr>
      </w:pPr>
    </w:p>
    <w:p>
      <w:pPr>
        <w:ind w:left="348" w:right="4619" w:hanging="348"/>
        <w:spacing w:after="0" w:line="237" w:lineRule="auto"/>
        <w:tabs>
          <w:tab w:leader="none" w:pos="348"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Bank Leumi, represents 25,986,842 shares issuable upon conversion of capital notes, 4,132,232 shares issuable upon the exercise of warrants at an exercise price per share of $1.21, 1,000,000 shares issuable upon exercise of warrants at an exercise price per share of $2.04 and 448,298 ordinary shares issuable upon exercise of warrants at an exercise price per share of $6.17.</w:t>
      </w:r>
    </w:p>
    <w:p>
      <w:pPr>
        <w:spacing w:after="0" w:line="271"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58 -</w:t>
      </w:r>
    </w:p>
    <w:p>
      <w:pPr>
        <w:spacing w:after="0" w:line="390" w:lineRule="exact"/>
        <w:rPr>
          <w:rFonts w:ascii="Courier New" w:cs="Courier New" w:eastAsia="Courier New" w:hAnsi="Courier New"/>
          <w:sz w:val="12"/>
          <w:szCs w:val="12"/>
          <w:color w:val="auto"/>
        </w:rPr>
      </w:pPr>
    </w:p>
    <w:p>
      <w:pPr>
        <w:ind w:left="348" w:right="4619" w:hanging="348"/>
        <w:spacing w:after="0" w:line="237" w:lineRule="auto"/>
        <w:tabs>
          <w:tab w:leader="none" w:pos="348"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Bank Hapoalim represents 25,986,842 shares issuable upon conversion of capital notes, 4,132,232 shares issuable upon the exercise of warrants at an exercise price per share of $1.21, 1,470,588 shares issuable upon exercise of warrants at an exercise price per share of $2.04 and 448,298 ordinary shares issuable upon exercise of warrants issued to Tarshish Hahzakot Vehashkaot Hapoalim Ltd at an exercise price per share of $6.17.</w:t>
      </w:r>
    </w:p>
    <w:p>
      <w:pPr>
        <w:spacing w:after="0" w:line="141" w:lineRule="exact"/>
        <w:rPr>
          <w:rFonts w:ascii="Courier New" w:cs="Courier New" w:eastAsia="Courier New" w:hAnsi="Courier New"/>
          <w:sz w:val="12"/>
          <w:szCs w:val="12"/>
          <w:color w:val="auto"/>
        </w:rPr>
      </w:pPr>
    </w:p>
    <w:p>
      <w:pPr>
        <w:ind w:left="348" w:right="4699" w:hanging="348"/>
        <w:spacing w:after="0" w:line="236" w:lineRule="auto"/>
        <w:tabs>
          <w:tab w:leader="none" w:pos="348" w:val="left"/>
        </w:tabs>
        <w:numPr>
          <w:ilvl w:val="0"/>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information provided by Prisma represents 6,596,526 shares currently owned by Prisma and 3,459,001 shares issuable upon conversion of debentures.</w:t>
      </w:r>
    </w:p>
    <w:p>
      <w:pPr>
        <w:spacing w:after="0" w:line="139"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unless agreed to otherwise (as was agreed in December 2006 with the appointment of Dov Moran as Chairman of the Board of Directors), and against the election of any other persons to the Board of Directors. In addition, subject to certain exceptions, each shareholder agreed to restrictions on the transfer of its shares, including certain rights of first refusal.</w:t>
      </w:r>
    </w:p>
    <w:p>
      <w:pPr>
        <w:spacing w:after="0" w:line="145"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As of June 4, 2008, there were a total of 34 holders of record of our ordinary shares, of which 21 were registered with addresses in the United States. Such United States record holders were, as of such date, the holders of record of approximately 63% of our outstanding ordinary shares. The number of record holders in the United States is not representative of the number of beneficial holders nor is it representative of where such beneficial holders are resident since many of these ordinary shares were held of record by brokers or other nominees (including one U.S. nominee company, CEDE &amp; Co., which held approximately 50% of our outstanding ordinary shares as of said date).</w:t>
      </w:r>
    </w:p>
    <w:p>
      <w:pPr>
        <w:spacing w:after="0" w:line="127"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B. RELATED PARTY TRANSACTIONS</w:t>
      </w:r>
    </w:p>
    <w:p>
      <w:pPr>
        <w:spacing w:after="0" w:line="139" w:lineRule="exact"/>
        <w:rPr>
          <w:sz w:val="20"/>
          <w:szCs w:val="20"/>
          <w:color w:val="auto"/>
        </w:rPr>
      </w:pPr>
    </w:p>
    <w:p>
      <w:pPr>
        <w:ind w:left="8" w:right="4619" w:firstLine="351"/>
        <w:spacing w:after="0" w:line="261" w:lineRule="auto"/>
        <w:rPr>
          <w:sz w:val="20"/>
          <w:szCs w:val="20"/>
          <w:color w:val="auto"/>
        </w:rPr>
      </w:pPr>
      <w:r>
        <w:rPr>
          <w:rFonts w:ascii="Courier New" w:cs="Courier New" w:eastAsia="Courier New" w:hAnsi="Courier New"/>
          <w:sz w:val="11"/>
          <w:szCs w:val="11"/>
          <w:color w:val="auto"/>
        </w:rPr>
        <w:t>EXEMPTION AND INDEMNIFICATION AGREEMENTS WITH DIRECTORS. In December 2001, we entered into exemption and indemnification agreements with the members of our Board of Directors, pursuant to which, subject to the limitations set forth in the Israeli Companies Law and our Articles of Association, they will be exempt from liability for breaches of the duty of care owed by them to the Company or indemnified for certain costs, expenses and liabilities with respect to events specified in the exemption and indemnification agreements. In September 2005, we entered into amended exemption and indemnification agreements with the members of our Board of Directors to reflect certain amendments to the Companies Law that came into effect in March 2005. Our shareholders approved these amended</w:t>
      </w:r>
    </w:p>
    <w:p>
      <w:pPr>
        <w:sectPr>
          <w:pgSz w:w="11900" w:h="16838" w:orient="portrait"/>
          <w:cols w:equalWidth="0" w:num="1">
            <w:col w:w="10247"/>
          </w:cols>
          <w:pgMar w:left="212" w:top="137" w:right="1440" w:bottom="0" w:gutter="0" w:footer="0" w:header="0"/>
        </w:sectPr>
      </w:pPr>
    </w:p>
    <w:bookmarkStart w:id="34" w:name="page35"/>
    <w:bookmarkEnd w:id="34"/>
    <w:p>
      <w:pPr>
        <w:spacing w:after="0"/>
        <w:rPr>
          <w:sz w:val="20"/>
          <w:szCs w:val="20"/>
          <w:color w:val="auto"/>
        </w:rPr>
      </w:pPr>
      <w:r>
        <w:rPr>
          <w:rFonts w:ascii="Courier New" w:cs="Courier New" w:eastAsia="Courier New" w:hAnsi="Courier New"/>
          <w:sz w:val="12"/>
          <w:szCs w:val="12"/>
          <w:color w:val="auto"/>
        </w:rPr>
        <w:t>exemption and indemnification agreements in October 2005.</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AGREEMENTS WITH CERTAIN OF OUR WAFER PARTNERS AND ISRAEL CORP. We are party to several agreements with our wafer partners, including SanDisk and Alliance, and Israel Corp related to the financing of Fab 2 and manufacture of products as described under the caption "Fab 2 Agreements" in "Item 5. Operating and Financial Review and Prospects Reference" of this annual report and Note 11A to the consolidated financial statements included in this annual report, which discussions are incorporated by reference herein.</w:t>
      </w:r>
    </w:p>
    <w:p>
      <w:pPr>
        <w:spacing w:after="0" w:line="141"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AGREEMENTS WITH ISRAEL CORP. Discussed under "Item 4. Information on the Company -A. History and Development of the Company - Recent Developments" which discussion is incorporated by reference herein.</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GRANT OF OPTIONS TO OUR CEO AND DIRECTOR. Discussed under "Item 6 -</w:t>
      </w:r>
    </w:p>
    <w:p>
      <w:pPr>
        <w:spacing w:after="0"/>
        <w:rPr>
          <w:sz w:val="20"/>
          <w:szCs w:val="20"/>
          <w:color w:val="auto"/>
        </w:rPr>
      </w:pPr>
      <w:r>
        <w:rPr>
          <w:rFonts w:ascii="Courier New" w:cs="Courier New" w:eastAsia="Courier New" w:hAnsi="Courier New"/>
          <w:sz w:val="12"/>
          <w:szCs w:val="12"/>
          <w:color w:val="auto"/>
        </w:rPr>
        <w:t>Directors, Senior Management and Employees - E. Share Ownership", which</w:t>
      </w:r>
    </w:p>
    <w:p>
      <w:pPr>
        <w:spacing w:after="0" w:line="237" w:lineRule="auto"/>
        <w:rPr>
          <w:sz w:val="20"/>
          <w:szCs w:val="20"/>
          <w:color w:val="auto"/>
        </w:rPr>
      </w:pPr>
      <w:r>
        <w:rPr>
          <w:rFonts w:ascii="Courier New" w:cs="Courier New" w:eastAsia="Courier New" w:hAnsi="Courier New"/>
          <w:sz w:val="12"/>
          <w:szCs w:val="12"/>
          <w:color w:val="auto"/>
        </w:rPr>
        <w:t>discussion is incorporated by reference herein.</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- 59 -</w:t>
      </w:r>
    </w:p>
    <w:p>
      <w:pPr>
        <w:spacing w:after="0" w:line="38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C. INTERESTS OF EXPERTS AND COUNSEL</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8. FINANCIAL INFORMATION</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A. CONSOLIDATED STATEMENTS AND OTHER FINANCIAL INFORMATION</w:t>
      </w:r>
    </w:p>
    <w:p>
      <w:pPr>
        <w:spacing w:after="0" w:line="139" w:lineRule="exact"/>
        <w:rPr>
          <w:sz w:val="20"/>
          <w:szCs w:val="20"/>
          <w:color w:val="auto"/>
        </w:rPr>
      </w:pPr>
    </w:p>
    <w:p>
      <w:pPr>
        <w:ind w:right="4699" w:firstLine="351"/>
        <w:spacing w:after="0" w:line="235" w:lineRule="auto"/>
        <w:rPr>
          <w:sz w:val="20"/>
          <w:szCs w:val="20"/>
          <w:color w:val="auto"/>
        </w:rPr>
      </w:pPr>
      <w:r>
        <w:rPr>
          <w:rFonts w:ascii="Courier New" w:cs="Courier New" w:eastAsia="Courier New" w:hAnsi="Courier New"/>
          <w:sz w:val="12"/>
          <w:szCs w:val="12"/>
          <w:color w:val="auto"/>
        </w:rPr>
        <w:t>Our consolidated financial statements are incorporated herein by reference to pages following the signature page of this Annual Report.</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LEGAL PROCEEDINGS</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In May 2008, we filed a petition with the Israeli High Court of Justice in which we asked the Court to order that our expansion plan be brought before the relevant Israeli governmental bodies for their respective approvals without delay. This petition was filed after making repeated requests over an extended period of time and after we sent letters in March, April and May of 2008 to the Israeli Ministry of Finance, the Israeli Ministry for Industry, Trade and Labor and the Investment Center, in which we noted among other things, that absent the expansion program being brought before the relevant governmental bodies within a specified period of time, a petition would be filed with the Court to compel the same. On May 29, 2008 the Court ordered that the respondents (the Israeli Ministry of Finance, the Israeli Ministry for Industry, Trade and Labor and the Investment Center) respond to our petition within 21 days of service of the petition. See also Item 3. Key Information - Risk Factors - Risks Affecting Our Business "Risk Factors - If the Investment Center will not approve our request for an expansion program . . ."</w:t>
      </w:r>
    </w:p>
    <w:p>
      <w:pPr>
        <w:spacing w:after="0" w:line="265"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From time to time we are a party to various litigation matters incidental to the conduct of our business. There is no pending or threatened legal proceeding to which we are a party, that, in the opinion of management, is likely to have a material adverse effect on our future financial results or financial condition.</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B. SIGNIFICANT CHANGES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9. THE OFFER AND LISTING</w:t>
      </w:r>
    </w:p>
    <w:p>
      <w:pPr>
        <w:spacing w:after="0" w:line="139" w:lineRule="exact"/>
        <w:rPr>
          <w:sz w:val="20"/>
          <w:szCs w:val="20"/>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Our ordinary shares are listed and traded on the NASDAQ Global Market under the symbol "TSEM". In addition, in January 2001, our ordinary shares commenced trading on the Tel Aviv Stock Exchange (TASE) under the symbol "TSEM".</w:t>
      </w:r>
    </w:p>
    <w:p>
      <w:pPr>
        <w:spacing w:after="0" w:line="126" w:lineRule="exact"/>
        <w:rPr>
          <w:sz w:val="20"/>
          <w:szCs w:val="20"/>
          <w:color w:val="auto"/>
        </w:rPr>
      </w:pPr>
    </w:p>
    <w:p>
      <w:pPr>
        <w:jc w:val="both"/>
        <w:ind w:right="4619" w:firstLine="351"/>
        <w:spacing w:after="0" w:line="236" w:lineRule="auto"/>
        <w:rPr>
          <w:sz w:val="20"/>
          <w:szCs w:val="20"/>
          <w:color w:val="auto"/>
        </w:rPr>
      </w:pPr>
      <w:r>
        <w:rPr>
          <w:rFonts w:ascii="Courier New" w:cs="Courier New" w:eastAsia="Courier New" w:hAnsi="Courier New"/>
          <w:sz w:val="12"/>
          <w:szCs w:val="12"/>
          <w:color w:val="auto"/>
        </w:rPr>
        <w:t>The following table sets forth, for the periods indicated, the high and low reported sales prices of the ordinary shares on the NASDAQ Global Market and Tel Aviv Stock Exchange: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jc w:val="right"/>
              <w:ind w:right="421"/>
              <w:spacing w:after="0"/>
              <w:rPr>
                <w:sz w:val="20"/>
                <w:szCs w:val="20"/>
                <w:color w:val="auto"/>
              </w:rPr>
            </w:pPr>
            <w:r>
              <w:rPr>
                <w:rFonts w:ascii="Courier New" w:cs="Courier New" w:eastAsia="Courier New" w:hAnsi="Courier New"/>
                <w:sz w:val="12"/>
                <w:szCs w:val="12"/>
                <w:color w:val="auto"/>
              </w:rPr>
              <w:t>- 60 -</w:t>
            </w: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522"/>
        </w:trPr>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6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NASDAQ GLOBAL MARKET</w:t>
            </w:r>
          </w:p>
        </w:tc>
        <w:tc>
          <w:tcPr>
            <w:tcW w:w="17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TEL AVIV STOCK EXCHANGE</w:t>
            </w:r>
          </w:p>
        </w:tc>
      </w:tr>
      <w:tr>
        <w:trPr>
          <w:trHeight w:val="135"/>
        </w:trPr>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176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2"/>
                <w:szCs w:val="12"/>
                <w:color w:val="auto"/>
              </w:rPr>
              <w:t>HIGH ($)</w:t>
            </w:r>
          </w:p>
        </w:tc>
        <w:tc>
          <w:tcPr>
            <w:tcW w:w="9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LOW ($)</w:t>
            </w:r>
          </w:p>
        </w:tc>
        <w:tc>
          <w:tcPr>
            <w:tcW w:w="9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HIGH (NIS)</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LOW (NIS)</w:t>
            </w:r>
          </w:p>
        </w:tc>
      </w:tr>
      <w:tr>
        <w:trPr>
          <w:trHeight w:val="135"/>
        </w:trPr>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PERIOD</w:t>
            </w:r>
          </w:p>
        </w:tc>
        <w:tc>
          <w:tcPr>
            <w:tcW w:w="10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May 2008</w:t>
            </w:r>
          </w:p>
        </w:tc>
        <w:tc>
          <w:tcPr>
            <w:tcW w:w="1060" w:type="dxa"/>
            <w:vAlign w:val="bottom"/>
          </w:tcPr>
          <w:p>
            <w:pPr>
              <w:spacing w:after="0"/>
              <w:rPr>
                <w:sz w:val="23"/>
                <w:szCs w:val="23"/>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1.25</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0.84</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4.13</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2.90</w:t>
            </w:r>
          </w:p>
        </w:tc>
      </w:tr>
      <w:tr>
        <w:trPr>
          <w:trHeight w:val="270"/>
        </w:trPr>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rPr>
              <w:t>April 2008</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1.07</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0.83</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3.89</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2.93</w:t>
            </w:r>
          </w:p>
        </w:tc>
      </w:tr>
      <w:tr>
        <w:trPr>
          <w:trHeight w:val="270"/>
        </w:trPr>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rPr>
              <w:t>March 2008</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1.06</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0.79</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3.69</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2.63</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February</w:t>
            </w:r>
          </w:p>
        </w:tc>
        <w:tc>
          <w:tcPr>
            <w:tcW w:w="1060" w:type="dxa"/>
            <w:vAlign w:val="bottom"/>
          </w:tcPr>
          <w:p>
            <w:pPr>
              <w:jc w:val="right"/>
              <w:ind w:right="681"/>
              <w:spacing w:after="0"/>
              <w:rPr>
                <w:sz w:val="20"/>
                <w:szCs w:val="20"/>
                <w:color w:val="auto"/>
              </w:rPr>
            </w:pPr>
            <w:r>
              <w:rPr>
                <w:rFonts w:ascii="Courier New" w:cs="Courier New" w:eastAsia="Courier New" w:hAnsi="Courier New"/>
                <w:sz w:val="12"/>
                <w:szCs w:val="12"/>
                <w:color w:val="auto"/>
              </w:rPr>
              <w:t>2008</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1.19</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1.00</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4.28</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3.65</w:t>
            </w:r>
          </w:p>
        </w:tc>
      </w:tr>
      <w:tr>
        <w:trPr>
          <w:trHeight w:val="270"/>
        </w:trPr>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rPr>
              <w:t>January 2008</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1.45</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0.74</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5.50</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3.29</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w w:val="97"/>
              </w:rPr>
              <w:t>December</w:t>
            </w:r>
          </w:p>
        </w:tc>
        <w:tc>
          <w:tcPr>
            <w:tcW w:w="1060" w:type="dxa"/>
            <w:vAlign w:val="bottom"/>
          </w:tcPr>
          <w:p>
            <w:pPr>
              <w:jc w:val="right"/>
              <w:ind w:right="681"/>
              <w:spacing w:after="0"/>
              <w:rPr>
                <w:sz w:val="20"/>
                <w:szCs w:val="20"/>
                <w:color w:val="auto"/>
              </w:rPr>
            </w:pPr>
            <w:r>
              <w:rPr>
                <w:rFonts w:ascii="Courier New" w:cs="Courier New" w:eastAsia="Courier New" w:hAnsi="Courier New"/>
                <w:sz w:val="12"/>
                <w:szCs w:val="12"/>
                <w:color w:val="auto"/>
              </w:rPr>
              <w:t>2007</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1.58</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1.35</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6.17</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5.25</w:t>
            </w:r>
          </w:p>
        </w:tc>
      </w:tr>
      <w:tr>
        <w:trPr>
          <w:trHeight w:val="270"/>
        </w:trPr>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rPr>
              <w:t>First quarter 2008</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1.45</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0.74</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5.50</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2.63</w:t>
            </w:r>
          </w:p>
        </w:tc>
      </w:tr>
      <w:tr>
        <w:trPr>
          <w:trHeight w:val="270"/>
        </w:trPr>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rPr>
              <w:t>Fourth quarter 2007</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1.80</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1.35</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7.25</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5.25</w:t>
            </w:r>
          </w:p>
        </w:tc>
      </w:tr>
      <w:tr>
        <w:trPr>
          <w:trHeight w:val="270"/>
        </w:trPr>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rPr>
              <w:t>Third quarter 2007</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1.87</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1.20</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7.97</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5.38</w:t>
            </w:r>
          </w:p>
        </w:tc>
      </w:tr>
      <w:tr>
        <w:trPr>
          <w:trHeight w:val="270"/>
        </w:trPr>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rPr>
              <w:t>Second quarter 2007</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1.94</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1.42</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7.63</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6.20</w:t>
            </w:r>
          </w:p>
        </w:tc>
      </w:tr>
      <w:tr>
        <w:trPr>
          <w:trHeight w:val="270"/>
        </w:trPr>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rPr>
              <w:t>First quarter 2007</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2.08</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1.64</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8.88</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7.00</w:t>
            </w:r>
          </w:p>
        </w:tc>
      </w:tr>
      <w:tr>
        <w:trPr>
          <w:trHeight w:val="270"/>
        </w:trPr>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rPr>
              <w:t>Fourth quarter 2006</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2.18</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1.41</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9.14</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6.16</w:t>
            </w:r>
          </w:p>
        </w:tc>
      </w:tr>
      <w:tr>
        <w:trPr>
          <w:trHeight w:val="270"/>
        </w:trPr>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rPr>
              <w:t>Third quarter 2006</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1.51</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1.24</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6.69</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5.11</w:t>
            </w:r>
          </w:p>
        </w:tc>
      </w:tr>
      <w:tr>
        <w:trPr>
          <w:trHeight w:val="270"/>
        </w:trPr>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rPr>
              <w:t>Second quarter 2006</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1.75</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1.22</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7.91</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6.00</w:t>
            </w:r>
          </w:p>
        </w:tc>
      </w:tr>
      <w:tr>
        <w:trPr>
          <w:trHeight w:val="270"/>
        </w:trPr>
        <w:tc>
          <w:tcPr>
            <w:tcW w:w="1640" w:type="dxa"/>
            <w:vAlign w:val="bottom"/>
            <w:gridSpan w:val="2"/>
          </w:tcPr>
          <w:p>
            <w:pPr>
              <w:spacing w:after="0"/>
              <w:rPr>
                <w:sz w:val="20"/>
                <w:szCs w:val="20"/>
                <w:color w:val="auto"/>
              </w:rPr>
            </w:pPr>
            <w:r>
              <w:rPr>
                <w:rFonts w:ascii="Courier New" w:cs="Courier New" w:eastAsia="Courier New" w:hAnsi="Courier New"/>
                <w:sz w:val="12"/>
                <w:szCs w:val="12"/>
                <w:color w:val="auto"/>
              </w:rPr>
              <w:t>First quarter 2006</w:t>
            </w: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1.93</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1.22</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8.54</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6.03</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2007</w:t>
            </w:r>
          </w:p>
        </w:tc>
        <w:tc>
          <w:tcPr>
            <w:tcW w:w="1060" w:type="dxa"/>
            <w:vAlign w:val="bottom"/>
          </w:tcPr>
          <w:p>
            <w:pPr>
              <w:spacing w:after="0"/>
              <w:rPr>
                <w:sz w:val="23"/>
                <w:szCs w:val="23"/>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2.08</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1.20</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8.88</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5.25</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2006</w:t>
            </w:r>
          </w:p>
        </w:tc>
        <w:tc>
          <w:tcPr>
            <w:tcW w:w="1060" w:type="dxa"/>
            <w:vAlign w:val="bottom"/>
          </w:tcPr>
          <w:p>
            <w:pPr>
              <w:spacing w:after="0"/>
              <w:rPr>
                <w:sz w:val="23"/>
                <w:szCs w:val="23"/>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2.18</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1.22</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9.14</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5.11</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2005</w:t>
            </w:r>
          </w:p>
        </w:tc>
        <w:tc>
          <w:tcPr>
            <w:tcW w:w="1060" w:type="dxa"/>
            <w:vAlign w:val="bottom"/>
          </w:tcPr>
          <w:p>
            <w:pPr>
              <w:spacing w:after="0"/>
              <w:rPr>
                <w:sz w:val="23"/>
                <w:szCs w:val="23"/>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2.38</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0.92</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10.30</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5.10</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2004</w:t>
            </w:r>
          </w:p>
        </w:tc>
        <w:tc>
          <w:tcPr>
            <w:tcW w:w="1060" w:type="dxa"/>
            <w:vAlign w:val="bottom"/>
          </w:tcPr>
          <w:p>
            <w:pPr>
              <w:spacing w:after="0"/>
              <w:rPr>
                <w:sz w:val="23"/>
                <w:szCs w:val="23"/>
                <w:color w:val="auto"/>
              </w:rPr>
            </w:pPr>
          </w:p>
        </w:tc>
        <w:tc>
          <w:tcPr>
            <w:tcW w:w="9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10.80</w:t>
            </w:r>
          </w:p>
        </w:tc>
        <w:tc>
          <w:tcPr>
            <w:tcW w:w="9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1.62</w:t>
            </w:r>
          </w:p>
        </w:tc>
        <w:tc>
          <w:tcPr>
            <w:tcW w:w="98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46.39</w:t>
            </w:r>
          </w:p>
        </w:tc>
        <w:tc>
          <w:tcPr>
            <w:tcW w:w="7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7.70</w:t>
            </w:r>
          </w:p>
        </w:tc>
      </w:tr>
    </w:tbl>
    <w:p>
      <w:pPr>
        <w:sectPr>
          <w:pgSz w:w="11900" w:h="16838" w:orient="portrait"/>
          <w:cols w:equalWidth="0" w:num="1">
            <w:col w:w="10239"/>
          </w:cols>
          <w:pgMar w:left="220" w:top="137" w:right="1440" w:bottom="0" w:gutter="0" w:footer="0" w:header="0"/>
        </w:sectPr>
      </w:pPr>
    </w:p>
    <w:bookmarkStart w:id="35" w:name="page36"/>
    <w:bookmarkEnd w:id="35"/>
    <w:p>
      <w:pPr>
        <w:spacing w:after="0"/>
        <w:tabs>
          <w:tab w:leader="none" w:pos="2080" w:val="left"/>
          <w:tab w:leader="none" w:pos="3000" w:val="left"/>
          <w:tab w:leader="none" w:pos="3760" w:val="left"/>
          <w:tab w:leader="none" w:pos="4680" w:val="left"/>
        </w:tabs>
        <w:rPr>
          <w:sz w:val="20"/>
          <w:szCs w:val="20"/>
          <w:color w:val="auto"/>
        </w:rPr>
      </w:pPr>
      <w:r>
        <w:rPr>
          <w:rFonts w:ascii="Courier New" w:cs="Courier New" w:eastAsia="Courier New" w:hAnsi="Courier New"/>
          <w:sz w:val="12"/>
          <w:szCs w:val="12"/>
          <w:color w:val="auto"/>
        </w:rPr>
        <w:t>2003</w:t>
      </w:r>
      <w:r>
        <w:rPr>
          <w:sz w:val="20"/>
          <w:szCs w:val="20"/>
          <w:color w:val="auto"/>
        </w:rPr>
        <w:tab/>
      </w:r>
      <w:r>
        <w:rPr>
          <w:rFonts w:ascii="Courier New" w:cs="Courier New" w:eastAsia="Courier New" w:hAnsi="Courier New"/>
          <w:sz w:val="12"/>
          <w:szCs w:val="12"/>
          <w:color w:val="auto"/>
        </w:rPr>
        <w:t>7.90</w:t>
      </w:r>
      <w:r>
        <w:rPr>
          <w:sz w:val="20"/>
          <w:szCs w:val="20"/>
          <w:color w:val="auto"/>
        </w:rPr>
        <w:tab/>
      </w:r>
      <w:r>
        <w:rPr>
          <w:rFonts w:ascii="Courier New" w:cs="Courier New" w:eastAsia="Courier New" w:hAnsi="Courier New"/>
          <w:sz w:val="12"/>
          <w:szCs w:val="12"/>
          <w:color w:val="auto"/>
        </w:rPr>
        <w:t>2.16</w:t>
      </w:r>
      <w:r>
        <w:rPr>
          <w:sz w:val="20"/>
          <w:szCs w:val="20"/>
          <w:color w:val="auto"/>
        </w:rPr>
        <w:tab/>
      </w:r>
      <w:r>
        <w:rPr>
          <w:rFonts w:ascii="Courier New" w:cs="Courier New" w:eastAsia="Courier New" w:hAnsi="Courier New"/>
          <w:sz w:val="12"/>
          <w:szCs w:val="12"/>
          <w:color w:val="auto"/>
        </w:rPr>
        <w:t>35.00</w:t>
      </w:r>
      <w:r>
        <w:rPr>
          <w:sz w:val="20"/>
          <w:szCs w:val="20"/>
          <w:color w:val="auto"/>
        </w:rPr>
        <w:tab/>
      </w:r>
      <w:r>
        <w:rPr>
          <w:rFonts w:ascii="Courier New" w:cs="Courier New" w:eastAsia="Courier New" w:hAnsi="Courier New"/>
          <w:sz w:val="11"/>
          <w:szCs w:val="11"/>
          <w:color w:val="auto"/>
        </w:rPr>
        <w:t>10.25</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10. ADDITIONAL INFORMATION</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ARTICLES OF ASSOCIATION; ISRAELI COMPANIES LAW</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ARTICLES OF ASSOCIATION</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Our Articles of Association ("Articles") were adopted in November 2000, and as amended most recently on September 26, 2006, provide for an authorized capital of NIS 800 million divided into 800 million ordinary shares. The objective stated in the Articles is to engage in any lawful activity.</w:t>
      </w:r>
    </w:p>
    <w:p>
      <w:pPr>
        <w:spacing w:after="0" w:line="141"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We have currently outstanding only one class of equity securities, our ordinary shares, par value NIS 1.00 per share. Holders of ordinary shares have one vote per share, and are entitled to participate equally in the payment of dividends and share distributions and, in the event of liquidation of the Company, in the distribution of assets after satisfaction of liabilities to creditors. No preferred shares are currently authorized.</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- 61 -</w:t>
      </w:r>
    </w:p>
    <w:p>
      <w:pPr>
        <w:spacing w:after="0" w:line="39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Articles require that we hold our annual general meeting of shareholders each year no later than 15 months from the last annual meeting, at a time and place determined by the Board of Directors, upon at least 21 days' prior notice to our shareholders. No business may be commenced until a quorum of two or more shareholders holding at least 33% of the voting rights are present in person or by proxy. Shareholders may vote in person or by proxy, and are required to prove title to their shares as required by the Companies Law pursuant to procedures established by the Board of Directors. Resolutions regarding the following matters shall be passed by an ordinary majority of those voting at the general meeting:</w:t>
      </w:r>
    </w:p>
    <w:p>
      <w:pPr>
        <w:spacing w:after="0" w:line="139" w:lineRule="exact"/>
        <w:rPr>
          <w:sz w:val="20"/>
          <w:szCs w:val="20"/>
          <w:color w:val="auto"/>
        </w:rPr>
      </w:pPr>
    </w:p>
    <w:p>
      <w:pPr>
        <w:ind w:left="700" w:hanging="357"/>
        <w:spacing w:after="0"/>
        <w:tabs>
          <w:tab w:leader="none" w:pos="70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amendments to our Articles;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appointment and termination of our independent auditors;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appointment and dismissal of directors;</w:t>
      </w:r>
    </w:p>
    <w:p>
      <w:pPr>
        <w:spacing w:after="0" w:line="138" w:lineRule="exact"/>
        <w:rPr>
          <w:rFonts w:ascii="Courier New" w:cs="Courier New" w:eastAsia="Courier New" w:hAnsi="Courier New"/>
          <w:sz w:val="12"/>
          <w:szCs w:val="12"/>
          <w:color w:val="auto"/>
        </w:rPr>
      </w:pPr>
    </w:p>
    <w:p>
      <w:pPr>
        <w:ind w:left="700" w:right="4759" w:hanging="357"/>
        <w:spacing w:after="0" w:line="235" w:lineRule="auto"/>
        <w:tabs>
          <w:tab w:leader="none" w:pos="70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approval of acts and transactions requiring general meeting approval under the Companies Law;</w:t>
      </w:r>
    </w:p>
    <w:p>
      <w:pPr>
        <w:spacing w:after="0" w:line="139" w:lineRule="exact"/>
        <w:rPr>
          <w:rFonts w:ascii="Courier New" w:cs="Courier New" w:eastAsia="Courier New" w:hAnsi="Courier New"/>
          <w:sz w:val="12"/>
          <w:szCs w:val="12"/>
          <w:color w:val="auto"/>
        </w:rPr>
      </w:pPr>
    </w:p>
    <w:p>
      <w:pPr>
        <w:ind w:left="700" w:right="4899" w:hanging="357"/>
        <w:spacing w:after="0" w:line="235" w:lineRule="auto"/>
        <w:tabs>
          <w:tab w:leader="none" w:pos="70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increase or reduction of authorized share capital or the rights of shareholders or a class of shareholders;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merger as provided in section 320 of the Companies Law; and</w:t>
      </w:r>
    </w:p>
    <w:p>
      <w:pPr>
        <w:spacing w:after="0" w:line="138" w:lineRule="exact"/>
        <w:rPr>
          <w:rFonts w:ascii="Courier New" w:cs="Courier New" w:eastAsia="Courier New" w:hAnsi="Courier New"/>
          <w:sz w:val="12"/>
          <w:szCs w:val="12"/>
          <w:color w:val="auto"/>
        </w:rPr>
      </w:pPr>
    </w:p>
    <w:p>
      <w:pPr>
        <w:ind w:left="700" w:right="4619" w:hanging="357"/>
        <w:spacing w:after="0" w:line="264" w:lineRule="auto"/>
        <w:tabs>
          <w:tab w:leader="none" w:pos="700" w:val="left"/>
        </w:tabs>
        <w:numPr>
          <w:ilvl w:val="0"/>
          <w:numId w:val="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exercise of the Board of Directors' powers by the general meeting, if the Board of Directors is unable to exercise its powers and the exercise of any of its powers is essential for Tower's proper management, as provided in section 52(a) of the Companies Law.</w:t>
      </w:r>
    </w:p>
    <w:p>
      <w:pPr>
        <w:spacing w:after="0" w:line="127"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 special meeting may be convened by the request of two directors or by written request of 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must convene a special meeting and send out notices setting forth the date, time and place of the meeting. Subject to exceptions, such notice must be given at least 21 days but not more than 35 days prior to the special meeting.</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EXEMPTION AND INDEMNIFICATION AGREEMENTS WITH DIRECTORS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December 2001, we entered into exemption and indemnification agreements with the members of our Board of Directors, pursuant to which, subject to the limitations set forth in the Israeli Companies Law and our Articles of Association, they will be exempt from liability for breaches of the duty of care owed by them to the Company or indemnified for certain costs, expenses and liabilities with respect to events specified in the exemption and indemnification agreements. In September 2005, we entered into amended exemption and indemnification agreements with the members of our Board of Directors to reflect certain amendments to the Companies Law that came into effect in March 2005. Our shareholders approved these amended exemption and indemnification agreements in October 2005.</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COMPANIES LAW</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We are subject to the provisions of the Companies. The Companies Law codifies the fiduciary duties that "office holders," including directors and executive officers, owe to a company. An office holder, as defined in the Companies Law, is a director, general manager, chief business manager, deputy general manager, vice general manager, executive vice president, vice president, another manager directly subordinate to the managing director or any other person assuming the responsibilities of any of the foregoing positions without regard to such person's title. Each person listed in the table in "Item 6. Directors, Senior Management and Employees" above is an office holder. Under the Companies Law, all arrangements as to compensation of office holders who are not directors require approval of the board of directors. With the exception of compensation of external directors in an amount specified in the regulations adopted under the Companies Law, arrangements regarding the compensation of directors also require audit committee and shareholder approval.</w:t>
      </w:r>
    </w:p>
    <w:p>
      <w:pPr>
        <w:spacing w:after="0" w:line="396"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- 62 -</w:t>
      </w:r>
    </w:p>
    <w:p>
      <w:pPr>
        <w:spacing w:after="0" w:line="39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The Companies Law requires an office holder to promptly disclose any personal interest that he or she may have and all related material information known to him or her, in connection with any existing or proposed transaction by the company. In addition, if the transaction is an extraordinary transaction, the office holder must also disclose any personal interest held by the office holder's spouse, siblings, parents, grandparents, descendants, spouse's descendants and the spouse of any of the foregoing, or any corporation in which the office holder is a 5% or greater shareholder, holder of 5% or more of the voting power, director or general manager or in which he or she has the right to appoint at least one director or the general manager. An extraordinary transaction is defined as a transaction not in the ordinary course of business, not on market terms, or that is likely to have a material impact on the company's profitability, assets or liabilities.</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The Companies Law requires that specific types of transactions, actions and arrangements be approved as provided for in a company's articles of association and in some circumstances by the company's audit committee, board of directors and shareholders. In the case of a transaction that is not an extraordinary transaction, after the office holder complies with the above disclosure requirements, only board approval is required, unless the Articles provide otherwise. If the transaction is an extraordinary transaction, then, in addition</w:t>
      </w:r>
    </w:p>
    <w:p>
      <w:pPr>
        <w:sectPr>
          <w:pgSz w:w="11900" w:h="16838" w:orient="portrait"/>
          <w:cols w:equalWidth="0" w:num="1">
            <w:col w:w="10239"/>
          </w:cols>
          <w:pgMar w:left="220" w:top="137" w:right="1440" w:bottom="0" w:gutter="0" w:footer="0" w:header="0"/>
        </w:sectPr>
      </w:pPr>
    </w:p>
    <w:bookmarkStart w:id="36" w:name="page37"/>
    <w:bookmarkEnd w:id="36"/>
    <w:p>
      <w:pPr>
        <w:jc w:val="both"/>
        <w:ind w:right="4619"/>
        <w:spacing w:after="0" w:line="262" w:lineRule="auto"/>
        <w:rPr>
          <w:sz w:val="20"/>
          <w:szCs w:val="20"/>
          <w:color w:val="auto"/>
        </w:rPr>
      </w:pPr>
      <w:r>
        <w:rPr>
          <w:rFonts w:ascii="Courier New" w:cs="Courier New" w:eastAsia="Courier New" w:hAnsi="Courier New"/>
          <w:sz w:val="11"/>
          <w:szCs w:val="11"/>
          <w:color w:val="auto"/>
        </w:rPr>
        <w:t>to any approval required by the Articles it must be approved first by the audit committee and then by the board of directors, and, in specific circumstances, by a meeting of the shareholders. Subject to exceptions set forth in the Companies Law, an office holder who has a personal interest in a matter that is considered at a meeting of the board of directors or the audit committee may not be present during the relevant discussion at such meeting or vote on such matter.</w:t>
      </w:r>
    </w:p>
    <w:p>
      <w:pPr>
        <w:spacing w:after="0" w:line="130"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The Companies Law applies the same disclosure requirements to a controlling shareholder of a public company, which is defined as a shareholder who has the ability to direct the activities of a company, other than if this power derives solely from the shareholder's position on the board of directors or any other position with the company and includes a shareholder that holds 25% or more of the voting rights if no other shareholder owns more than 50% of the voting rights in the company. Extraordinary transactions with a controlling shareholder or in which a controlling shareholder has a personal interest, and agreements relating to employment and compensation terms of controlling shareholders require the approval of the audit committee, the board of directors and the shareholders of the company. The shareholder approval must either include at least one-third of the shares held by disinterested shareholders who are present, in person or by proxy, at the meeting, or, alternatively, the total shareholdings of the disinterested shareholders who vote against the transaction must not represent more than one percent of the voting rights in the company.</w:t>
      </w:r>
    </w:p>
    <w:p>
      <w:pPr>
        <w:spacing w:after="0" w:line="12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In addition to approval by a company's board of directors, a private placement in a public company requires approval by a company's shareholders in the following cases:</w:t>
      </w:r>
    </w:p>
    <w:p>
      <w:pPr>
        <w:spacing w:after="0" w:line="135" w:lineRule="exact"/>
        <w:rPr>
          <w:sz w:val="20"/>
          <w:szCs w:val="20"/>
          <w:color w:val="auto"/>
        </w:rPr>
      </w:pPr>
    </w:p>
    <w:p>
      <w:pPr>
        <w:ind w:left="700" w:hanging="357"/>
        <w:spacing w:after="0"/>
        <w:tabs>
          <w:tab w:leader="none" w:pos="700" w:val="left"/>
        </w:tabs>
        <w:numPr>
          <w:ilvl w:val="0"/>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private placement that meets all of the following conditions:</w:t>
      </w:r>
    </w:p>
    <w:p>
      <w:pPr>
        <w:spacing w:after="0" w:line="138" w:lineRule="exact"/>
        <w:rPr>
          <w:rFonts w:ascii="Courier New" w:cs="Courier New" w:eastAsia="Courier New" w:hAnsi="Courier New"/>
          <w:sz w:val="12"/>
          <w:szCs w:val="12"/>
          <w:color w:val="auto"/>
        </w:rPr>
      </w:pPr>
    </w:p>
    <w:p>
      <w:pPr>
        <w:ind w:left="1040" w:right="4759" w:hanging="351"/>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o20 percent or more of the voting rights in the company prior to such issuance are being offered;</w:t>
      </w:r>
    </w:p>
    <w:p>
      <w:pPr>
        <w:spacing w:after="0" w:line="139" w:lineRule="exact"/>
        <w:rPr>
          <w:rFonts w:ascii="Courier New" w:cs="Courier New" w:eastAsia="Courier New" w:hAnsi="Courier New"/>
          <w:sz w:val="12"/>
          <w:szCs w:val="12"/>
          <w:color w:val="auto"/>
        </w:rPr>
      </w:pPr>
    </w:p>
    <w:p>
      <w:pPr>
        <w:ind w:left="1040" w:right="4619" w:hanging="351"/>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oThe private placement will increase the relative holdings of a shareholder that holds five percent or more of the company's outstanding share capital (assuming the exercise of all of the securities convertible into shares held by that person), or that will cause any person to become, as a result of the issuance, a holder of five percent or more of the company's outstanding share capital; and</w:t>
      </w:r>
    </w:p>
    <w:p>
      <w:pPr>
        <w:spacing w:after="0" w:line="271"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63 -</w:t>
      </w:r>
    </w:p>
    <w:p>
      <w:pPr>
        <w:spacing w:after="0" w:line="391" w:lineRule="exact"/>
        <w:rPr>
          <w:sz w:val="20"/>
          <w:szCs w:val="20"/>
          <w:color w:val="auto"/>
        </w:rPr>
      </w:pPr>
    </w:p>
    <w:p>
      <w:pPr>
        <w:ind w:left="1040" w:right="4699" w:hanging="345"/>
        <w:spacing w:after="0" w:line="236" w:lineRule="auto"/>
        <w:tabs>
          <w:tab w:leader="none" w:pos="1040" w:val="left"/>
        </w:tabs>
        <w:numPr>
          <w:ilvl w:val="0"/>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or part of the consideration for the offering is not cash or registered securities, or the private placement is not being offered at market terms.</w:t>
      </w:r>
    </w:p>
    <w:p>
      <w:pPr>
        <w:spacing w:after="0" w:line="139" w:lineRule="exact"/>
        <w:rPr>
          <w:sz w:val="20"/>
          <w:szCs w:val="20"/>
          <w:color w:val="auto"/>
        </w:rPr>
      </w:pPr>
    </w:p>
    <w:p>
      <w:pPr>
        <w:ind w:left="700" w:right="4899" w:hanging="357"/>
        <w:spacing w:after="0" w:line="235" w:lineRule="auto"/>
        <w:tabs>
          <w:tab w:leader="none" w:pos="700" w:val="left"/>
        </w:tabs>
        <w:numPr>
          <w:ilvl w:val="0"/>
          <w:numId w:val="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private placement which results in anyone becoming a controlling shareholder.</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above transactions must not be adverse to the company's interest.</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Under the Companies Law, a shareholder has a duty to act in good faith towards the company and other shareholders and refrain from abusing his power in the company, including, among other things, vote in the general meeting of shareholders on the following matters:</w:t>
      </w:r>
    </w:p>
    <w:p>
      <w:pPr>
        <w:spacing w:after="0" w:line="136" w:lineRule="exact"/>
        <w:rPr>
          <w:sz w:val="20"/>
          <w:szCs w:val="20"/>
          <w:color w:val="auto"/>
        </w:rPr>
      </w:pPr>
    </w:p>
    <w:p>
      <w:pPr>
        <w:ind w:left="700" w:hanging="357"/>
        <w:spacing w:after="0"/>
        <w:tabs>
          <w:tab w:leader="none" w:pos="700"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amendment to the Articles;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 increase of the company's authorized share capital;</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merger; or</w:t>
      </w:r>
    </w:p>
    <w:p>
      <w:pPr>
        <w:spacing w:after="0" w:line="138" w:lineRule="exact"/>
        <w:rPr>
          <w:rFonts w:ascii="Courier New" w:cs="Courier New" w:eastAsia="Courier New" w:hAnsi="Courier New"/>
          <w:sz w:val="12"/>
          <w:szCs w:val="12"/>
          <w:color w:val="auto"/>
        </w:rPr>
      </w:pPr>
    </w:p>
    <w:p>
      <w:pPr>
        <w:ind w:left="700" w:right="4899" w:hanging="357"/>
        <w:spacing w:after="0" w:line="235" w:lineRule="auto"/>
        <w:tabs>
          <w:tab w:leader="none" w:pos="700" w:val="left"/>
        </w:tabs>
        <w:numPr>
          <w:ilvl w:val="0"/>
          <w:numId w:val="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approval of interested party transactions that require shareholder approval.</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In addition, any controlling shareholder, any shareholder who knows that it possesses power to determine the outcome of a shareholder vote and any shareholder who has the power to appoint or prevent the appointment of an office holder in the company is under a duty to act with fairness towards the company. The Companies Law does not describe the substance of this duty.</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TENDER OFFER. A person wishing to acquire shares or any class of shares of a publicly traded Israeli company and who would as a result hold over 90% of the company's issued and outstanding share capital or of a class of shares, is required by the Companies Law to make a tender offer to all of the company's shareholders for the purchase of all of the issued and outstanding shares of the company. If the shares represented by the shareholders who did not tender their shares in the tender offer constitute less than 5% of the issued and outstanding share capital of the company, all of the shares that the acquirer offered to purchase will be transferred to the acquirer by operation of law. If the dissenting shareholders hold more than 5% of the issued and outstanding share capital of the company, the acquirer may not acquire additional shares of the company from shareholders who accepted the tender offer to the extent that following such acquisition the acquirer would then own over 90% of the company's issued and outstanding share capital. The Companies Law provides for an exception regarding this threshold requirement for a shareholder that on February 1, 2000 held over 90% of the public Israeli company's issued and outstanding share capital. Shareholders may petition the court to alter the consideration for the acquisition.</w:t>
      </w:r>
    </w:p>
    <w:p>
      <w:pPr>
        <w:spacing w:after="0" w:line="141"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The Companies Law provides that, subject to certain exceptions, an acquisition of shares of an Israeli public company must be made by means of a tender offer if as a result of the acquisition the purchaser would become a holder of 25% or more of the voting rights in the company. This rule does not apply if there is already another shareholder of the company that holds 25% or more of the voting rights in the company. Similarly, the Companies Law provides that, subject to certain exceptions, an acquisition of shares in a public company must be made by means of a tender offer if as a result of the acquisition the purchaser would become a holder of more than 45% of the voting rights in the company, if there is no shareholder that holds more than 45% of the voting rights in the company.</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- 64 -</w:t>
      </w:r>
    </w:p>
    <w:p>
      <w:pPr>
        <w:spacing w:after="0" w:line="391" w:lineRule="exact"/>
        <w:rPr>
          <w:sz w:val="20"/>
          <w:szCs w:val="20"/>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MERGER. The Companies Law permits merger transactions if approved by each party's board of directors and the majority of each party's shares voted on the proposed merger at a shareholders' meeting called on at least 35 days' prior notice. Under the Companies Law, merger transactions may be approved by holders of a simple majority of our shares present, in person or by proxy, at a general meeting and voting on the transaction. In determining whether the required majority has approved the merger, if shares of a company are held by the other party to the merger, or by any person holding at least 25% of the outstanding voting shares or 25% of the means of appointing directors of the other party to the merger, then a vote against the merger by holders of the majority of the shares present and voting, excluding shares held by the other party or by such person, or anyone acting on behalf of either of them, is sufficient to reject</w:t>
      </w:r>
    </w:p>
    <w:p>
      <w:pPr>
        <w:sectPr>
          <w:pgSz w:w="11900" w:h="16838" w:orient="portrait"/>
          <w:cols w:equalWidth="0" w:num="1">
            <w:col w:w="10239"/>
          </w:cols>
          <w:pgMar w:left="220" w:top="141" w:right="1440" w:bottom="0" w:gutter="0" w:footer="0" w:header="0"/>
        </w:sectPr>
      </w:pPr>
    </w:p>
    <w:bookmarkStart w:id="37" w:name="page38"/>
    <w:bookmarkEnd w:id="37"/>
    <w:p>
      <w:pPr>
        <w:ind w:right="4699"/>
        <w:spacing w:after="0" w:line="261" w:lineRule="auto"/>
        <w:rPr>
          <w:sz w:val="20"/>
          <w:szCs w:val="20"/>
          <w:color w:val="auto"/>
        </w:rPr>
      </w:pPr>
      <w:r>
        <w:rPr>
          <w:rFonts w:ascii="Courier New" w:cs="Courier New" w:eastAsia="Courier New" w:hAnsi="Courier New"/>
          <w:sz w:val="11"/>
          <w:szCs w:val="11"/>
          <w:color w:val="auto"/>
        </w:rPr>
        <w:t>the merger transaction. If the transaction would have been approved but for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In addition, a merger may not be consummated unless at least 30 days have passed from the receipt of the shareholders' approval and 50 days have passed from the time that a merger proposal has been filed with the Israeli Registrar of Companies.</w:t>
      </w: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NASDAQ MARKETPLACE RULES AND HOME COUNTRY PRACTICES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NASDAQ's Marketplace Rule 4350 ("Rule 4350") was amended to permit foreign private issuers to follow certain home country corporate governance practices without the need to seek an individual exemption from NASDAQ. Instead, a foreign private issuer must provide NASDAQ with a letter from outside counsel in its home country certifying that the issuer's corporate governance practices are not prohibited by home country law.</w:t>
      </w:r>
    </w:p>
    <w:p>
      <w:pPr>
        <w:spacing w:after="0" w:line="140"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In July 2005, pursuant to this new exception, we provided a notice to NASDAQ required by Rule 4350, with a letter from our outside Israeli counsel informing it that in keeping with Rule 4350(a)(1) we had elected to follow the practices of our home country in lieu of those set forth in Rule 4350, to the extent permitted thereby, and provided a letter from our outside Israeli counsel certifying that our the practices being followed of amending employee share option plans that do not permit the grant of options to directors upon the approval of our board of directors, and without seeking shareholder approval (which approval is required for NASDAQ-listed companies under Marketplace Rule 4350(i)), is in place thereof were not prohibited by Israeli law.</w:t>
      </w:r>
    </w:p>
    <w:p>
      <w:pPr>
        <w:spacing w:after="0" w:line="131"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As provided by Rule 4350(a)(1), in lieu of the requirements of Rule 4350 we have chosen to follow the practices of our home country with respect to the following:</w:t>
      </w:r>
    </w:p>
    <w:p>
      <w:pPr>
        <w:spacing w:after="0" w:line="139" w:lineRule="exact"/>
        <w:rPr>
          <w:sz w:val="20"/>
          <w:szCs w:val="20"/>
          <w:color w:val="auto"/>
        </w:rPr>
      </w:pPr>
    </w:p>
    <w:p>
      <w:pPr>
        <w:ind w:left="700" w:right="4759" w:hanging="357"/>
        <w:spacing w:after="0" w:line="236" w:lineRule="auto"/>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do not supply an annual report as required by Rule 4350(b)(1)(A), but makes our audited financial statements available to our shareholders prior to our annual general meeting.</w:t>
      </w:r>
    </w:p>
    <w:p>
      <w:pPr>
        <w:spacing w:after="0" w:line="139" w:lineRule="exact"/>
        <w:rPr>
          <w:rFonts w:ascii="Courier New" w:cs="Courier New" w:eastAsia="Courier New" w:hAnsi="Courier New"/>
          <w:sz w:val="12"/>
          <w:szCs w:val="12"/>
          <w:color w:val="auto"/>
        </w:rPr>
      </w:pPr>
    </w:p>
    <w:p>
      <w:pPr>
        <w:ind w:left="700" w:right="4619" w:hanging="357"/>
        <w:spacing w:after="0" w:line="237" w:lineRule="auto"/>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majority of our Board of Directors is not comprised of directors who meet the definition of independence contained in NASDAQ Marketplace Rule 4200(a)(15), as required by Rule 4350(c)(1). Under the Companies Law a majority of the Board of Directors is not required to be comprised of independent directors. In keeping with the requirements of the Companies Law two of the members of our Board of Directors are external directors, and are independent as defined under Rule 10A-3 of the Securities Act.</w:t>
      </w:r>
    </w:p>
    <w:p>
      <w:pPr>
        <w:spacing w:after="0" w:line="142" w:lineRule="exact"/>
        <w:rPr>
          <w:rFonts w:ascii="Courier New" w:cs="Courier New" w:eastAsia="Courier New" w:hAnsi="Courier New"/>
          <w:sz w:val="12"/>
          <w:szCs w:val="12"/>
          <w:color w:val="auto"/>
        </w:rPr>
      </w:pPr>
    </w:p>
    <w:p>
      <w:pPr>
        <w:ind w:left="700" w:right="4759" w:hanging="357"/>
        <w:spacing w:after="0" w:line="237" w:lineRule="auto"/>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Board has not adopted a policy of conducting regularly scheduled meetings at which only our independent directors are present, as required by Rule 4350(c)(2). The Companies Law does not require our external directors to conduct regularly scheduled meetings at which only they are present.</w:t>
      </w:r>
    </w:p>
    <w:p>
      <w:pPr>
        <w:spacing w:after="0" w:line="270" w:lineRule="exact"/>
        <w:rPr>
          <w:rFonts w:ascii="Courier New" w:cs="Courier New" w:eastAsia="Courier New" w:hAnsi="Courier New"/>
          <w:sz w:val="12"/>
          <w:szCs w:val="12"/>
          <w:color w:val="auto"/>
        </w:rPr>
      </w:pPr>
    </w:p>
    <w:p>
      <w:pPr>
        <w:ind w:left="2740" w:hanging="149"/>
        <w:spacing w:after="0"/>
        <w:tabs>
          <w:tab w:leader="none" w:pos="2740" w:val="left"/>
        </w:tabs>
        <w:numPr>
          <w:ilvl w:val="1"/>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65 -</w:t>
      </w:r>
    </w:p>
    <w:p>
      <w:pPr>
        <w:spacing w:after="0" w:line="390" w:lineRule="exact"/>
        <w:rPr>
          <w:rFonts w:ascii="Courier New" w:cs="Courier New" w:eastAsia="Courier New" w:hAnsi="Courier New"/>
          <w:sz w:val="12"/>
          <w:szCs w:val="12"/>
          <w:color w:val="auto"/>
        </w:rPr>
      </w:pPr>
    </w:p>
    <w:p>
      <w:pPr>
        <w:ind w:left="700" w:right="4619" w:hanging="357"/>
        <w:spacing w:after="0" w:line="237" w:lineRule="auto"/>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compensation of our chief executive officer and all other executive officers is not determined, or recommended to the Board for determination, in the manner required by Rule 4350(c)(3). In accord with the Companies Law the compensation of the chief executive officer and all other officers requires the approval of our Board of Directors, however the compensation of our chief executive officer, who also serves as a director, requires also the approval of our shareholders.</w:t>
      </w:r>
    </w:p>
    <w:p>
      <w:pPr>
        <w:spacing w:after="0" w:line="142" w:lineRule="exact"/>
        <w:rPr>
          <w:rFonts w:ascii="Courier New" w:cs="Courier New" w:eastAsia="Courier New" w:hAnsi="Courier New"/>
          <w:sz w:val="12"/>
          <w:szCs w:val="12"/>
          <w:color w:val="auto"/>
        </w:rPr>
      </w:pPr>
    </w:p>
    <w:p>
      <w:pPr>
        <w:ind w:left="700" w:right="4899" w:hanging="357"/>
        <w:spacing w:after="0" w:line="273" w:lineRule="auto"/>
        <w:tabs>
          <w:tab w:leader="none" w:pos="700" w:val="left"/>
        </w:tabs>
        <w:numPr>
          <w:ilvl w:val="0"/>
          <w:numId w:val="30"/>
        </w:numPr>
        <w:rPr>
          <w:rFonts w:ascii="Courier New" w:cs="Courier New" w:eastAsia="Courier New" w:hAnsi="Courier New"/>
          <w:sz w:val="11"/>
          <w:szCs w:val="11"/>
          <w:color w:val="auto"/>
        </w:rPr>
      </w:pPr>
      <w:r>
        <w:rPr>
          <w:rFonts w:ascii="Courier New" w:cs="Courier New" w:eastAsia="Courier New" w:hAnsi="Courier New"/>
          <w:sz w:val="11"/>
          <w:szCs w:val="11"/>
          <w:color w:val="auto"/>
        </w:rPr>
        <w:t>Director nominees are not selected, or recommended for the Board's selection, as required by Rules 4350(c)(4)(A) and 4350(c)(4)(C).</w:t>
      </w:r>
    </w:p>
    <w:p>
      <w:pPr>
        <w:spacing w:after="0" w:line="121" w:lineRule="exact"/>
        <w:rPr>
          <w:rFonts w:ascii="Courier New" w:cs="Courier New" w:eastAsia="Courier New" w:hAnsi="Courier New"/>
          <w:sz w:val="11"/>
          <w:szCs w:val="11"/>
          <w:color w:val="auto"/>
        </w:rPr>
      </w:pPr>
    </w:p>
    <w:p>
      <w:pPr>
        <w:ind w:left="700" w:right="4839" w:hanging="357"/>
        <w:spacing w:after="0" w:line="236" w:lineRule="auto"/>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Board of Directors has not adopted a formal written charter or board resolution addressing the nomination process and such related matters as may be required under United States federal securities laws, as required by Rule 4350(c)(4)(B).</w:t>
      </w:r>
    </w:p>
    <w:p>
      <w:pPr>
        <w:spacing w:after="0" w:line="140" w:lineRule="exact"/>
        <w:rPr>
          <w:rFonts w:ascii="Courier New" w:cs="Courier New" w:eastAsia="Courier New" w:hAnsi="Courier New"/>
          <w:sz w:val="12"/>
          <w:szCs w:val="12"/>
          <w:color w:val="auto"/>
        </w:rPr>
      </w:pPr>
    </w:p>
    <w:p>
      <w:pPr>
        <w:ind w:left="700" w:right="4839" w:hanging="357"/>
        <w:spacing w:after="0" w:line="236" w:lineRule="auto"/>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Although we have adopted a formal written audit committee charter, there is no requirement under the Companies Law to do so and the charter as adopted may not specify all the items enumerated in Rule 4350(d)(1).</w:t>
      </w:r>
    </w:p>
    <w:p>
      <w:pPr>
        <w:spacing w:after="0" w:line="140" w:lineRule="exact"/>
        <w:rPr>
          <w:rFonts w:ascii="Courier New" w:cs="Courier New" w:eastAsia="Courier New" w:hAnsi="Courier New"/>
          <w:sz w:val="12"/>
          <w:szCs w:val="12"/>
          <w:color w:val="auto"/>
        </w:rPr>
      </w:pPr>
    </w:p>
    <w:p>
      <w:pPr>
        <w:ind w:left="700" w:right="4699" w:hanging="357"/>
        <w:spacing w:after="0" w:line="237" w:lineRule="auto"/>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audit committee does not meet with all of the requirements of Rules 4350(d)(2)(A)(i), 4350(d)(2)(A)(iii) and 4350(d)(2)(A)(iv). Though all members are independent as such term is defined under Rule 10A-3 of the Exchange Act, the audit committee does not comply with the foregoing Rule 4350 requirements, as permitted by the Companies Law.</w:t>
      </w:r>
    </w:p>
    <w:p>
      <w:pPr>
        <w:spacing w:after="0" w:line="140" w:lineRule="exact"/>
        <w:rPr>
          <w:rFonts w:ascii="Courier New" w:cs="Courier New" w:eastAsia="Courier New" w:hAnsi="Courier New"/>
          <w:sz w:val="12"/>
          <w:szCs w:val="12"/>
          <w:color w:val="auto"/>
        </w:rPr>
      </w:pPr>
    </w:p>
    <w:p>
      <w:pPr>
        <w:ind w:left="700" w:right="4699" w:hanging="357"/>
        <w:spacing w:after="0" w:line="237" w:lineRule="auto"/>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Our articles of association do not provide for a quorum of not less than 33 1/3% of the outstanding shares of our voting ordinary shares for meetings of our ordinary shareholders, as required by Rule 4350(f). Our articles of association presently require a quorum consisting of two shareholders holding a combined 33% of our ordinary shares. Under the Companies Law a quorum consisting of two shareholders holding a combined 25% of the company's voting shares is required.</w:t>
      </w:r>
    </w:p>
    <w:p>
      <w:pPr>
        <w:spacing w:after="0" w:line="142" w:lineRule="exact"/>
        <w:rPr>
          <w:rFonts w:ascii="Courier New" w:cs="Courier New" w:eastAsia="Courier New" w:hAnsi="Courier New"/>
          <w:sz w:val="12"/>
          <w:szCs w:val="12"/>
          <w:color w:val="auto"/>
        </w:rPr>
      </w:pPr>
    </w:p>
    <w:p>
      <w:pPr>
        <w:ind w:left="700" w:right="4699" w:hanging="357"/>
        <w:spacing w:after="0" w:line="236" w:lineRule="auto"/>
        <w:tabs>
          <w:tab w:leader="none" w:pos="700" w:val="left"/>
        </w:tabs>
        <w:numPr>
          <w:ilvl w:val="0"/>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 review and approve all related party transactions in accordance with the requirements and procedures for approval of interested party acts and transactions, set forth in the Companies Law, which do not fully reflect the requirements of Rule 4350(h).</w:t>
      </w:r>
    </w:p>
    <w:p>
      <w:pPr>
        <w:spacing w:after="0" w:line="140" w:lineRule="exact"/>
        <w:rPr>
          <w:rFonts w:ascii="Courier New" w:cs="Courier New" w:eastAsia="Courier New" w:hAnsi="Courier New"/>
          <w:sz w:val="12"/>
          <w:szCs w:val="12"/>
          <w:color w:val="auto"/>
        </w:rPr>
      </w:pPr>
    </w:p>
    <w:p>
      <w:pPr>
        <w:ind w:left="700" w:right="4759" w:hanging="357"/>
        <w:spacing w:after="0" w:line="266" w:lineRule="auto"/>
        <w:tabs>
          <w:tab w:leader="none" w:pos="700" w:val="left"/>
        </w:tabs>
        <w:numPr>
          <w:ilvl w:val="0"/>
          <w:numId w:val="30"/>
        </w:numPr>
        <w:rPr>
          <w:rFonts w:ascii="Courier New" w:cs="Courier New" w:eastAsia="Courier New" w:hAnsi="Courier New"/>
          <w:sz w:val="11"/>
          <w:szCs w:val="11"/>
          <w:color w:val="auto"/>
        </w:rPr>
      </w:pPr>
      <w:r>
        <w:rPr>
          <w:rFonts w:ascii="Courier New" w:cs="Courier New" w:eastAsia="Courier New" w:hAnsi="Courier New"/>
          <w:sz w:val="11"/>
          <w:szCs w:val="11"/>
          <w:color w:val="auto"/>
        </w:rPr>
        <w:t>We seek shareholder approval for all corporate action requiring such approval, in accordance with the requirements of the Companies Law, which does not fully reflect the requirements of Rule 4350(i).</w:t>
      </w:r>
    </w:p>
    <w:p>
      <w:pPr>
        <w:spacing w:after="0" w:line="126"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We may in the future provide NASDAQ with an additional such letter or letters notifying NASDAQ that we are following our own practices, consistent with the Companies Law and practices in Israel in lieu of other requirements of Marketplace Rule 4350.</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MATERIAL CONTRACTS. Discussions of these agreements are incorporated herein by reference to the discussion under the caption "Intellectual Property and Licensing Agreements" in "Item 4".Information on the Company" and under the caption "Fab 2 Agreements" in "Item 5. Operating and Financial Review and Prospects" of this annual report.</w:t>
      </w:r>
    </w:p>
    <w:p>
      <w:pPr>
        <w:spacing w:after="0" w:line="139" w:lineRule="exact"/>
        <w:rPr>
          <w:sz w:val="20"/>
          <w:szCs w:val="20"/>
          <w:color w:val="auto"/>
        </w:rPr>
      </w:pPr>
    </w:p>
    <w:p>
      <w:pPr>
        <w:ind w:right="4699" w:firstLine="351"/>
        <w:spacing w:after="0" w:line="273" w:lineRule="auto"/>
        <w:rPr>
          <w:sz w:val="20"/>
          <w:szCs w:val="20"/>
          <w:color w:val="auto"/>
        </w:rPr>
      </w:pPr>
      <w:r>
        <w:rPr>
          <w:rFonts w:ascii="Courier New" w:cs="Courier New" w:eastAsia="Courier New" w:hAnsi="Courier New"/>
          <w:sz w:val="11"/>
          <w:szCs w:val="11"/>
          <w:color w:val="auto"/>
        </w:rPr>
        <w:t>FAB 2 AGREEMENTS. Since 2000, we have entered into several important Fab 2 agreements and arrangements with a key technology partner, wafer and equity</w:t>
      </w:r>
    </w:p>
    <w:p>
      <w:pPr>
        <w:sectPr>
          <w:pgSz w:w="11900" w:h="16838" w:orient="portrait"/>
          <w:cols w:equalWidth="0" w:num="1">
            <w:col w:w="10239"/>
          </w:cols>
          <w:pgMar w:left="220" w:top="141" w:right="1440" w:bottom="0" w:gutter="0" w:footer="0" w:header="0"/>
        </w:sectPr>
      </w:pPr>
    </w:p>
    <w:bookmarkStart w:id="38" w:name="page39"/>
    <w:bookmarkEnd w:id="38"/>
    <w:p>
      <w:pPr>
        <w:ind w:right="4619"/>
        <w:spacing w:after="0" w:line="237" w:lineRule="auto"/>
        <w:rPr>
          <w:sz w:val="20"/>
          <w:szCs w:val="20"/>
          <w:color w:val="auto"/>
        </w:rPr>
      </w:pPr>
      <w:r>
        <w:rPr>
          <w:rFonts w:ascii="Courier New" w:cs="Courier New" w:eastAsia="Courier New" w:hAnsi="Courier New"/>
          <w:sz w:val="12"/>
          <w:szCs w:val="12"/>
          <w:color w:val="auto"/>
        </w:rPr>
        <w:t>financing partners, the Israeli Investment Center and two leading Israeli banks. Discussions of these agreements are incorporated herein by reference to the discussion under the caption "Fab 2 Agreements" in "Item 5. Operating and Financial Review and Prospects" of this annual report and to Note 11A to the consolidated financial statements included in this annual report.</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- 66 -</w:t>
      </w:r>
    </w:p>
    <w:p>
      <w:pPr>
        <w:spacing w:after="0" w:line="391"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INTELLECTUAL PROPERTY AND LICENSING AGREEMENTS. Discussions of these agreements are incorporated herein by reference to the discussion under the caption "Intellectual Property and Licensing Agreements" in "Item 4".Information on the Company" of this annual report.</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EXCHANGE CONTROLS</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Under Israeli law, non-residents of Israel who purchase ordinary shares with certain non-Israeli currencies (including US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at the rate of exchange prevailing at the time of conversion.</w:t>
      </w:r>
    </w:p>
    <w:p>
      <w:pPr>
        <w:spacing w:after="0" w:line="128" w:lineRule="exact"/>
        <w:rPr>
          <w:sz w:val="20"/>
          <w:szCs w:val="20"/>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Under Israeli law and our company's Articles, both residents and non-residents of Israel may freely hold, vote and trade our ordinary shares.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TAXATION</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ISRAELI CAPITAL GAINS TAX</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was determined pursuant to the Israeli Income Tax Law (Inflationary Adjustments) 1985, or to a person whose gains from selling or otherwise disposing of our securities were deemed to be business income.</w:t>
      </w:r>
    </w:p>
    <w:p>
      <w:pPr>
        <w:spacing w:after="0" w:line="130" w:lineRule="exact"/>
        <w:rPr>
          <w:sz w:val="20"/>
          <w:szCs w:val="20"/>
          <w:color w:val="auto"/>
        </w:rPr>
      </w:pPr>
    </w:p>
    <w:p>
      <w:pPr>
        <w:jc w:val="both"/>
        <w:ind w:right="4619" w:firstLine="351"/>
        <w:spacing w:after="0" w:line="236" w:lineRule="auto"/>
        <w:rPr>
          <w:sz w:val="20"/>
          <w:szCs w:val="20"/>
          <w:color w:val="auto"/>
        </w:rPr>
      </w:pPr>
      <w:r>
        <w:rPr>
          <w:rFonts w:ascii="Courier New" w:cs="Courier New" w:eastAsia="Courier New" w:hAnsi="Courier New"/>
          <w:sz w:val="12"/>
          <w:szCs w:val="12"/>
          <w:color w:val="auto"/>
        </w:rPr>
        <w:t>On January 1, 2006 an amendment to the Israeli tax regime became effective (the "2006 Tax Reform"). The 2006 Tax Reform significantly changed the tax rates applicable to income derived from shares.</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According to the 2006 Tax Reform, an individual is subject to a 20% tax rate on real capital gains derived from the sale of shares, as long as the individual is not a "substantial shareholder" (generally a shareholder with 10% or more of the right to profits, right to nominate a director or voting rights) in the company issuing the shares. The rate on the gains from publicly traded shares applicable to gains that were realized between January 1, 2003 and January 1, 2006 was 15%.</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 substantial shareholder will be subject to tax at a rate of 25%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141" w:lineRule="exact"/>
        <w:rPr>
          <w:sz w:val="20"/>
          <w:szCs w:val="20"/>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Corporations will be subject to corporate tax rates in respect of total income, including capital gains, with the corporate tax rate reduced gradually from 29% in 2007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will generally be taxed at a rate of 25% on their capital gains from the sale of their securities.</w:t>
      </w:r>
    </w:p>
    <w:p>
      <w:pPr>
        <w:spacing w:after="0" w:line="26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- 67 -</w:t>
      </w:r>
    </w:p>
    <w:p>
      <w:pPr>
        <w:spacing w:after="0" w:line="39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44" w:lineRule="exact"/>
        <w:rPr>
          <w:sz w:val="20"/>
          <w:szCs w:val="20"/>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In some instances where our shareholders may be liable to Israeli tax on the sale of their ordinary shares, the payment of the consideration may be subject to the withholding of Israeli tax at the source.</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Pursuant to the treaty between the Governments of the United States and Israel with respect to taxes on income, or the US-Israel tax treaty, the sale, exchange or disposition of our ordinary shares by a person who qualifies as a resident of the United States under the treaty and who is entitled to claim the benefits afforded to him by the treaty, will generally not be subject to Israeli capital gains tax. This exemption shall not apply to a person who held, directly or indirectly, shares representing 10% or more of the voting power in our company during any part of the 12-month period preceding the sale, exchange or disposition, subject to certain conditions. A sale, exchange or disposition of our shares by a US resident qualified under the treaty, who held, directly or indirectly, shares representing 10% or more of the voting power in our company at any time during the preceding 12-month period would be subject to Israeli tax, to the extent applicable; however, under the treaty, this US resident would be permitted to claim a credit for these taxes against the US income tax with respect to the sale, exchange or disposition, subject to the limitations in US laws applicable to foreign tax credits.</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ISRAELI TAX ON INTEREST INCOME AND ON ORIGINAL ISSUANCE DISCOUNT</w:t>
      </w:r>
    </w:p>
    <w:p>
      <w:pPr>
        <w:spacing w:after="0" w:line="139" w:lineRule="exact"/>
        <w:rPr>
          <w:sz w:val="20"/>
          <w:szCs w:val="20"/>
          <w:color w:val="auto"/>
        </w:rPr>
      </w:pPr>
    </w:p>
    <w:p>
      <w:pPr>
        <w:ind w:right="4619" w:firstLine="351"/>
        <w:spacing w:after="0" w:line="273" w:lineRule="auto"/>
        <w:rPr>
          <w:sz w:val="20"/>
          <w:szCs w:val="20"/>
          <w:color w:val="auto"/>
        </w:rPr>
      </w:pPr>
      <w:r>
        <w:rPr>
          <w:rFonts w:ascii="Courier New" w:cs="Courier New" w:eastAsia="Courier New" w:hAnsi="Courier New"/>
          <w:sz w:val="11"/>
          <w:szCs w:val="11"/>
          <w:color w:val="auto"/>
        </w:rPr>
        <w:t>Interest and Original Issuance Discount (OID) on our convertible debentures will, in general, be subject to Israeli tax of up to 20% if received by an</w:t>
      </w:r>
    </w:p>
    <w:p>
      <w:pPr>
        <w:sectPr>
          <w:pgSz w:w="11900" w:h="16838" w:orient="portrait"/>
          <w:cols w:equalWidth="0" w:num="1">
            <w:col w:w="10239"/>
          </w:cols>
          <w:pgMar w:left="220" w:top="141" w:right="1440" w:bottom="0" w:gutter="0" w:footer="0" w:header="0"/>
        </w:sectPr>
      </w:pPr>
    </w:p>
    <w:bookmarkStart w:id="39" w:name="page40"/>
    <w:bookmarkEnd w:id="39"/>
    <w:p>
      <w:pPr>
        <w:ind w:right="4619"/>
        <w:spacing w:after="0" w:line="261" w:lineRule="auto"/>
        <w:rPr>
          <w:sz w:val="20"/>
          <w:szCs w:val="20"/>
          <w:color w:val="auto"/>
        </w:rPr>
      </w:pPr>
      <w:r>
        <w:rPr>
          <w:rFonts w:ascii="Courier New" w:cs="Courier New" w:eastAsia="Courier New" w:hAnsi="Courier New"/>
          <w:sz w:val="11"/>
          <w:szCs w:val="11"/>
          <w:color w:val="auto"/>
        </w:rPr>
        <w:t>individual. This reduced rate of tax will not apply if the interest and OID are business income in the hands of the recipient, if the interest is recorded or should be recorded in the individual's accounting books, if the recipient is a substantial shareholder of our company, if financing expenses related to the purchase of the debentures were deducted by the individual in the calculation of the individual's Israeli taxable income, or if the individual is an employee, supplier, or service provider of the company and the tax authorities have not been persuaded that the payment of interest was not affected by the relationship between the parties. In such cases the regular rate of tax on Interest and OID of up to 47% will apply to the individual. Interest and OID paid to corporations will be subject to corporate tax at the regular rates of 29% in 2007, 27% in 2008, 26% in 2009 and 25% in 2010 and thereafter. As a result of the provisions related to tax withholding, as explained below, foreign resident individuals and corporations will be subject to tax of 25% or less, according to the relevant treaty relating to their domicile country.</w:t>
      </w:r>
    </w:p>
    <w:p>
      <w:pPr>
        <w:spacing w:after="0" w:line="265"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Under regulations promulgated as part of the 2006 Tax Reform, withholding tax at source from debenture interest and OID paid to resident individuals will, in general, be at a rate of 20%. However, if the individual receiving the interest and OID is a substantial shareholder, an employee, supplier or service provider of the company, tax will be withheld at the marginal rates applicable to individuals. Corporations will be subject to withholding tax at the applicable rate of corporate tax as set out above. Withholding tax at source from debenture interest and OID paid to non-resident individuals or corporations will be at a rate of 25% or less, according to the relevant treaty relating to their domicile country. In any event, under the US-Israel Tax Treaty, the maximum Israeli tax withheld on interest and OID paid on our convertible debentures due 2006 to a US treaty resident (other than a US bank, savings institution or company) is 17.5%.</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- 68 -</w:t>
      </w:r>
    </w:p>
    <w:p>
      <w:pPr>
        <w:spacing w:after="0" w:line="38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ISRAELI TAX ON DIVIDEND INCOME</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On distributions of dividends other than bonus shares, or stock dividends, to Israeli individuals and foreign resident individuals and corporations we would be required to withhold income tax at the rate of 20%. If the income out of which the dividend is being paid is attributable to an Approved Enterprise under the Law for the Encouragement of Capital Investments, 1959, the rate is 15%. A different rate may be provided for in a treaty between Israel and the shareholder's country of residence.</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37"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PFIC RULES</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40"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do not believe that we satisfied either of the tests for PFIC status in 2006 or in any prior year. However, there can be no assurance that we will not be a PFIC in 2007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39" w:lineRule="exact"/>
        <w:rPr>
          <w:sz w:val="20"/>
          <w:szCs w:val="20"/>
          <w:color w:val="auto"/>
        </w:rPr>
      </w:pPr>
    </w:p>
    <w:p>
      <w:pPr>
        <w:ind w:right="4699" w:firstLine="351"/>
        <w:spacing w:after="0" w:line="261" w:lineRule="auto"/>
        <w:rPr>
          <w:sz w:val="20"/>
          <w:szCs w:val="20"/>
          <w:color w:val="auto"/>
        </w:rPr>
      </w:pPr>
      <w:r>
        <w:rPr>
          <w:rFonts w:ascii="Courier New" w:cs="Courier New" w:eastAsia="Courier New" w:hAnsi="Courier New"/>
          <w:sz w:val="11"/>
          <w:szCs w:val="11"/>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National Market is a qualifying exchange. US holders are strongly urged to consult their own tax advisers regarding the possible application and consequences of the PFIC rules.</w:t>
      </w:r>
    </w:p>
    <w:p>
      <w:pPr>
        <w:spacing w:after="0" w:line="26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- 69 -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DOCUMENTS ON DISPLAY</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are required to file reports and other information with the SEC under the Securities Exchange Act of 1934 and the regulations thereunder applicable to foreign private issuers. Reports and other information filed by us with the SEC may be inspected and copied at the SEC's public reference facilities described below.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You may review and copy our filings with the SEC, including any exhibits and schedules, at the SEC's public reference room at 100 F Street N.E., Washington, D.C. 20549. You may call the SEC at 1-800-SEC-0330 for further information on this public reference room. As a foreign private issuer, all documents which were filed after November 4, 2002 on the SEC's EDGAR system will be available for retrieval on the SEC's website at www.sec.gov. These SEC filings are also available to the public on the Israel Securities Authority's Magna website at www.magna.isa.gov.il and from commercial document retrieval services. We also generally make available on our own web site (www.towersemi.com) our quarterly and year-end financial statements as well as other information.</w:t>
      </w:r>
    </w:p>
    <w:p>
      <w:pPr>
        <w:sectPr>
          <w:pgSz w:w="11900" w:h="16838" w:orient="portrait"/>
          <w:cols w:equalWidth="0" w:num="1">
            <w:col w:w="10239"/>
          </w:cols>
          <w:pgMar w:left="220" w:top="141" w:right="1440" w:bottom="0" w:gutter="0" w:footer="0" w:header="0"/>
        </w:sectPr>
      </w:pPr>
    </w:p>
    <w:bookmarkStart w:id="40" w:name="page41"/>
    <w:bookmarkEnd w:id="40"/>
    <w:p>
      <w:pPr>
        <w:ind w:right="4699" w:firstLine="351"/>
        <w:spacing w:after="0" w:line="263" w:lineRule="auto"/>
        <w:rPr>
          <w:sz w:val="20"/>
          <w:szCs w:val="20"/>
          <w:color w:val="auto"/>
        </w:rPr>
      </w:pPr>
      <w:r>
        <w:rPr>
          <w:rFonts w:ascii="Courier New" w:cs="Courier New" w:eastAsia="Courier New" w:hAnsi="Courier New"/>
          <w:sz w:val="11"/>
          <w:szCs w:val="11"/>
          <w:color w:val="auto"/>
        </w:rPr>
        <w:t>Any statement in this annual report about any of our contracts or other documents is not necessarily complete. If the contract or document is filed as an exhibit to a registration statement, the contract or document is deemed to modify the description contained in this annual report. We urge you to review the exhibits themselves for a complete description of the contract or document.</w:t>
      </w:r>
    </w:p>
    <w:p>
      <w:pPr>
        <w:spacing w:after="0" w:line="12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11. QUANTITATIVE AND QUALITATIVE DISCLOSURES ABOUT MARKET RISK</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Market risk is the risk of loss related to changes in market prices, including interest rates and foreign exchange rates, of financial instruments and derivatives that may adversely impact our consolidated financial position, results of operations or cash flows.</w:t>
      </w:r>
    </w:p>
    <w:p>
      <w:pPr>
        <w:spacing w:after="0" w:line="141"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Our primary market risk exposures relate to interest rate movements on borrowings, fluctuations of the exchange rate of the US dollar, which is the primary currency in which we conduct our operations, against the NIS, the Japanese Yen and the Euro. To manage those risks and mitigate our exposure to them, we from time to time use financial instruments, primarily, interest rate collar agreements (with a knock-out and knock-in features for certain agreements), and foreign currency forward contracts and options (including zero-cost cylinders).</w:t>
      </w:r>
    </w:p>
    <w:p>
      <w:pPr>
        <w:spacing w:after="0" w:line="142" w:lineRule="exact"/>
        <w:rPr>
          <w:sz w:val="20"/>
          <w:szCs w:val="20"/>
          <w:color w:val="auto"/>
        </w:rPr>
      </w:pPr>
    </w:p>
    <w:p>
      <w:pPr>
        <w:ind w:right="4899" w:firstLine="351"/>
        <w:spacing w:after="0" w:line="262" w:lineRule="auto"/>
        <w:rPr>
          <w:sz w:val="20"/>
          <w:szCs w:val="20"/>
          <w:color w:val="auto"/>
        </w:rPr>
      </w:pPr>
      <w:r>
        <w:rPr>
          <w:rFonts w:ascii="Courier New" w:cs="Courier New" w:eastAsia="Courier New" w:hAnsi="Courier New"/>
          <w:sz w:val="11"/>
          <w:szCs w:val="11"/>
          <w:color w:val="auto"/>
        </w:rPr>
        <w:t>All financial instruments are managed and controlled under a program of risk management in accordance with established policies. These policies are reviewed and approved by our board of directors. Our treasury operations are subject to an internal audit on a regular basis. We do not hold derivative financial instruments for speculative purposes, and we do not issue any derivative financial instruments for trading or speculative purposes.</w:t>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RISK OF INTEREST RATE FLUCTUATION</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We have market risk exposure to changes in interest rates on our long-term debt obligations with floating interest rates. We have entered into debt obligations to support our capital expenditures and needs. From time to time we enter into interest rate collar agreements to modify our exposure to interest rate movements and to reduce our borrowing costs. These agreements limit our exposure to the risks of fluctuating interest rates by allowing us to convert a portion of the interest on our borrowings from a variable rate to a limited variable rate.</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- 70 -</w:t>
      </w:r>
    </w:p>
    <w:p>
      <w:pPr>
        <w:spacing w:after="0" w:line="391"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are subject to interest rate exposure in connection with $369 million long-term debt outstanding as of December 31, 2007 under the Fab 2 facility agreement, as such debt bears interest at a rate of LIBOR plus 1.1% per annum (as amended in the September 2006 amendment to the Facility Agreement, as described above) and with $28 million long-term debt outstanding as of December 31, 2007 under the September 2007 credit lines with each of the banks and TIC as such debt bears interest at a rate of LIBOR plus 3% per annum. The interest rate as of December 31, 2007 on $317 million of the Fab 2 loans, not subject to the results of our collar agreements, was as follows: $289 million - 5.98% and $28 million - 7.88%. Our remaining loans of $80 million, were covered by the collar agreements as of December 31, 2007, and bore annual interest rate as of such date of 5.1% including the results of our hedging activities described below. Following the September 2006 amendment to the Facility Agreement, the loans are repayable in 12 equal consecutive quarterly installments commencing September 30, 2009 and the $28 million loans under the September 2007 credit lines with each of the banks and TIC are repayable two years from the date any loan was borrowed (commencing October 2009).</w:t>
      </w:r>
    </w:p>
    <w:p>
      <w:pPr>
        <w:spacing w:after="0" w:line="140" w:lineRule="exact"/>
        <w:rPr>
          <w:sz w:val="20"/>
          <w:szCs w:val="20"/>
          <w:color w:val="auto"/>
        </w:rPr>
      </w:pPr>
    </w:p>
    <w:p>
      <w:pPr>
        <w:ind w:right="4979" w:firstLine="351"/>
        <w:spacing w:after="0" w:line="235" w:lineRule="auto"/>
        <w:rPr>
          <w:sz w:val="20"/>
          <w:szCs w:val="20"/>
          <w:color w:val="auto"/>
        </w:rPr>
      </w:pPr>
      <w:r>
        <w:rPr>
          <w:rFonts w:ascii="Courier New" w:cs="Courier New" w:eastAsia="Courier New" w:hAnsi="Courier New"/>
          <w:sz w:val="12"/>
          <w:szCs w:val="12"/>
          <w:color w:val="auto"/>
        </w:rPr>
        <w:t>As of December 31, 2007, we had collar agreements in the amount of $80 million which expire in 2009.</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Our collar agreements resulted in a gain of $1.1 million in the year ended December 31, 2007. As of December 31, 2007, the fair value of these agreements was a $0.3 million gain.</w:t>
      </w:r>
    </w:p>
    <w:p>
      <w:pPr>
        <w:spacing w:after="0" w:line="139" w:lineRule="exact"/>
        <w:rPr>
          <w:sz w:val="20"/>
          <w:szCs w:val="20"/>
          <w:color w:val="auto"/>
        </w:rPr>
      </w:pPr>
    </w:p>
    <w:p>
      <w:pPr>
        <w:ind w:right="4619" w:firstLine="351"/>
        <w:spacing w:after="0" w:line="262" w:lineRule="auto"/>
        <w:rPr>
          <w:sz w:val="20"/>
          <w:szCs w:val="20"/>
          <w:color w:val="auto"/>
        </w:rPr>
      </w:pPr>
      <w:r>
        <w:rPr>
          <w:rFonts w:ascii="Courier New" w:cs="Courier New" w:eastAsia="Courier New" w:hAnsi="Courier New"/>
          <w:sz w:val="11"/>
          <w:szCs w:val="11"/>
          <w:color w:val="auto"/>
        </w:rPr>
        <w:t>During the first quarter of 2008 we entered into new collar agreements in the amount of $290 million, effective June and September 2008. The terms of these collar agreements are as follows: if the LIBOR is below the floor level of 2% we will pay total interest at the fixed rate of 3.1% (the 2.0% floor rate plus 1.1% under the amended facility agreement); if the LIBOR is between 2.0% and 3.74% (or 3.94% for part of the agreements), we will pay total interest at the actual LIBOR plus 1.1%; if the LIBOR is higher than 3.74% (or 3.94%) we will pay total interest at a fixed rate of 4.84% and 5.04% (the cap level plus 1.1%).</w:t>
      </w:r>
    </w:p>
    <w:p>
      <w:pPr>
        <w:spacing w:after="0" w:line="128"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Assuming a 10% upward shift in the LIBOR rate at December 31, 2007 (from 4.88% to 5.37%), will increase our yearly interest payments. Such an increase in the LIBOR rate will not affect our interest payments on our $80 million loans hedged by the collar with a CAP level of 4% since the interest payments will remain based on the CAP level + 1.1% and will not affect our interest payments on our $290 million loans hedged by our new collar agreements effective throughout 2008 with a CAP level of 3.74 and 3.94%, since the interest payments will remain based on the CAP level + 1.1%. Giving effect to all the above, assuming a 10% upward shift in the LIBOR rate at December 31, 2007 (from 4.88% to5.37%), will increase our yearly interest payments in 2008 by $1.2 million.</w:t>
      </w:r>
    </w:p>
    <w:p>
      <w:pPr>
        <w:spacing w:after="0" w:line="131"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Our cash equivalents and interest-bearing deposits are exposed to market risk due to fluctuation in interest rates, which may affect our interest income and the fair market value of our investments. We manage this exposure by performing ongoing evaluations of our investments in those deposits. Due to the short maturities of our investments, their carrying value approximates their fair value.</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- 71 -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FOREIGN EXCHANGE RISK</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We are exposed to the risk of fluctuation in the NIS/dollar exchange rate with respect to our 2002, 2006 and 2007 debentures. As of December 31, 2007 the adjusted outstanding principal amount of the these debentures was $132.8 million. The dollar amount of our finance costs (interest and currency adjustments) related these debentures will be increased if the rate of inflation in Israel is not offset (or is offset on a lagging basis) by the devaluation of the NIS in relation to the dollar. In addition, the dollar amount of any repayment on account of the principal of these debentures will be increased as well. If the devaluation of the NIS against the dollar is greater than the rate of inflation in Israel, the dollar amounts we may raise on the date of exercising our NIS denominated options linked to the CPI will be decreased. The recent devaluation of the US dollar in relation to the NIS increased our dollar expenses related to our NIS denominated debentures.</w:t>
      </w:r>
    </w:p>
    <w:p>
      <w:pPr>
        <w:spacing w:after="0" w:line="139" w:lineRule="exact"/>
        <w:rPr>
          <w:sz w:val="20"/>
          <w:szCs w:val="20"/>
          <w:color w:val="auto"/>
        </w:rPr>
      </w:pPr>
    </w:p>
    <w:p>
      <w:pPr>
        <w:jc w:val="both"/>
        <w:ind w:right="4619" w:firstLine="351"/>
        <w:spacing w:after="0" w:line="266" w:lineRule="auto"/>
        <w:rPr>
          <w:sz w:val="20"/>
          <w:szCs w:val="20"/>
          <w:color w:val="auto"/>
        </w:rPr>
      </w:pPr>
      <w:r>
        <w:rPr>
          <w:rFonts w:ascii="Courier New" w:cs="Courier New" w:eastAsia="Courier New" w:hAnsi="Courier New"/>
          <w:sz w:val="11"/>
          <w:szCs w:val="11"/>
          <w:color w:val="auto"/>
        </w:rPr>
        <w:t>From the date of the issuance of the 2002 convertible debentures in January 2002 until December 31, 2007, the Israel consumer price index increased by 11.8% while the US dollar/NIS exchange rate decreased by 16.1%. From the date of the</w:t>
      </w:r>
    </w:p>
    <w:p>
      <w:pPr>
        <w:sectPr>
          <w:pgSz w:w="11900" w:h="16838" w:orient="portrait"/>
          <w:cols w:equalWidth="0" w:num="1">
            <w:col w:w="10239"/>
          </w:cols>
          <w:pgMar w:left="220" w:top="276" w:right="1440" w:bottom="0" w:gutter="0" w:footer="0" w:header="0"/>
        </w:sectPr>
      </w:pPr>
    </w:p>
    <w:bookmarkStart w:id="41" w:name="page42"/>
    <w:bookmarkEnd w:id="41"/>
    <w:p>
      <w:pPr>
        <w:ind w:right="4699"/>
        <w:spacing w:after="0" w:line="237" w:lineRule="auto"/>
        <w:rPr>
          <w:sz w:val="20"/>
          <w:szCs w:val="20"/>
          <w:color w:val="auto"/>
        </w:rPr>
      </w:pPr>
      <w:r>
        <w:rPr>
          <w:rFonts w:ascii="Courier New" w:cs="Courier New" w:eastAsia="Courier New" w:hAnsi="Courier New"/>
          <w:sz w:val="12"/>
          <w:szCs w:val="12"/>
          <w:color w:val="auto"/>
        </w:rPr>
        <w:t>issuance of the 2006 convertible debentures in June 2006 until December 31, 2007, the Israel consumer price index increased by 1.8% while the US dollar/NIS exchange rate decreased by 14.1%. From the date of the issuance of the 2007 debentures in the second half of 2007 until December 31, 2007, the Israel consumer price index increased by 2.9% while the US dollar/NIS exchange rate decreased by approximately 8%.</w:t>
      </w:r>
    </w:p>
    <w:p>
      <w:pPr>
        <w:spacing w:after="0" w:line="140"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The 2002 convertible debentures bear annual interest at a fixed rate of 4.7%. The debentures are payable in four annual installments commencing in January 2006. The 2005 convertible debentures are denominated in USD and bear annual interest at the rate of 5%. The principle of the debentures, together with accrued interest, will be payable in one installment on January 12, 2012. The 2006 convertible debentures carry a zero coupon with principal payable at maturity in December 2011, at a premium of 37% over face value. The 2007 debentures bear annual interest at a fixed rate of 8.0% and repayable starting 2011. Therefore, we are not subject to exposure to interest rate fluctuations with respect to the debentures. However, in case the actual market interest rates are lower than the interest rate provided on the debentures, our actual finance costs would be higher than in case our debentures bear floating interest rate.</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Our main foreign currency exposures other than debentures are associated with exchange rate movements of the US dollar, our functional and reporting currency, against the NIS, Japanese Yen andthe Euro. To protect against reductions in value and the volatility of future cash flows caused by changes in foreign exchange rates, we utilize foreign currency forward contracts and options (including zero-cost cylinder options) in order to minimize part of the impact of foreign currency fluctuations on our financial position and results of operations. A cylinder option is a combination of a purchased call option and a written put option. The exercise prices of the options may not be identical and this effectively creates a synthetic range forward. The maturity dates of the options coincide with the scheduled payments.</w:t>
      </w:r>
    </w:p>
    <w:p>
      <w:pPr>
        <w:spacing w:after="0" w:line="145" w:lineRule="exact"/>
        <w:rPr>
          <w:sz w:val="20"/>
          <w:szCs w:val="20"/>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In order to mitigate our exposure to the risk of fluctuations in the NIS/dollar exchange rate with respect to our NIS denominated expenses, mainly payroll, we entered in 2008 into $15.8 million new option transactions, which will expire throughout 2008.</w:t>
      </w:r>
    </w:p>
    <w:p>
      <w:pPr>
        <w:spacing w:after="0" w:line="141"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We are exposed to currency risk in the event of default by the other parties of the exchange transaction. We estimate the likelihood of such default to occur is remote, as the other parties are widely recognized and reputable Israeli banks.</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- 72 -</w:t>
      </w:r>
    </w:p>
    <w:p>
      <w:pPr>
        <w:spacing w:after="0" w:line="391"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Assuming a 10% revaluation of the NIS against the US dollar on December 31, 2007 (from 3.846 to 3.46), the effective fair value of our liabilities net of assets denominated in NIS (mainly vendors, debentures and liabilities in regard to employees ) would have increased in approximately $13 million.</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IMPACT OF INFLATION</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We believe that the rate of inflation in Israel has had a minor effect on our business to date. However, our dollar costs in Israel will increase if inflation in Israel exceeds the devaluation of the NIS against the dollar or if the timing of such devaluation lags behind inflation in Israel.</w:t>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12. DESCRIPTION OF SECURITIES OTHER THAN EQUITY SECURITIES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Not applicable.</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- 73 -</w:t>
      </w:r>
    </w:p>
    <w:p>
      <w:pPr>
        <w:spacing w:after="0" w:line="386"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PART II</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13. DEFAULTS, DIVIDEND ARREARAGES AND DELINQUENCIES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None.</w:t>
      </w:r>
    </w:p>
    <w:p>
      <w:pPr>
        <w:spacing w:after="0" w:line="139" w:lineRule="exact"/>
        <w:rPr>
          <w:sz w:val="20"/>
          <w:szCs w:val="20"/>
          <w:color w:val="auto"/>
        </w:rPr>
      </w:pPr>
    </w:p>
    <w:p>
      <w:pPr>
        <w:ind w:left="620" w:right="4899" w:hanging="631"/>
        <w:spacing w:after="0" w:line="235" w:lineRule="auto"/>
        <w:rPr>
          <w:sz w:val="20"/>
          <w:szCs w:val="20"/>
          <w:color w:val="auto"/>
        </w:rPr>
      </w:pPr>
      <w:r>
        <w:rPr>
          <w:rFonts w:ascii="Courier New" w:cs="Courier New" w:eastAsia="Courier New" w:hAnsi="Courier New"/>
          <w:sz w:val="12"/>
          <w:szCs w:val="12"/>
          <w:color w:val="auto"/>
        </w:rPr>
        <w:t>ITEM 14. MATERIAL MODIFICATIONS TO THE RIGHTS OF SECURITY HOLDERS AND USE OF PROCEEDS</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ITEM 15. CONTROLS AND PROCEDURES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EVALUATION OF DISCLOSURE CONTROLS AND PROCEDURES</w:t>
      </w:r>
    </w:p>
    <w:p>
      <w:pPr>
        <w:spacing w:after="0" w:line="139" w:lineRule="exact"/>
        <w:rPr>
          <w:sz w:val="20"/>
          <w:szCs w:val="20"/>
          <w:color w:val="auto"/>
        </w:rPr>
      </w:pPr>
    </w:p>
    <w:p>
      <w:pPr>
        <w:ind w:right="4619" w:firstLine="351"/>
        <w:spacing w:after="0" w:line="238" w:lineRule="auto"/>
        <w:rPr>
          <w:sz w:val="20"/>
          <w:szCs w:val="20"/>
          <w:color w:val="auto"/>
        </w:rPr>
      </w:pPr>
      <w:r>
        <w:rPr>
          <w:rFonts w:ascii="Courier New" w:cs="Courier New" w:eastAsia="Courier New" w:hAnsi="Courier New"/>
          <w:sz w:val="12"/>
          <w:szCs w:val="12"/>
          <w:color w:val="auto"/>
        </w:rPr>
        <w:t>Our management, with the participation of our Chief Executive Officer and our acting Chief Financial Officer, has evaluated the effectiveness of the design and operation of our disclosure controls and procedures (as defined in Rule 13a-15(e) under the Securities Exchange Act of 1934, as amended (the "Act") as of the end of the period covered by this annual report on Form 20-F. Based on this evaluation, our Chief Executive Officer and acting Chief Financial Officer concluded that these disclosure controls and procedures were effective as of such date, at a reasonable level of assurance, in ensuring that the information required to be disclosed by our company in the reports we file or submit under the Act is (i) accumulated and communicated to our management (including the Chief Executive Officer and acting Chief Financial Officer) in a timely manner, and (ii) recorded, processed, summarized and reported within the time periods specified in the SEC's rules and forms.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INTERNAL CONTROL OVER FINANCIAL REPORTING</w:t>
      </w:r>
    </w:p>
    <w:p>
      <w:pPr>
        <w:spacing w:after="0" w:line="139" w:lineRule="exact"/>
        <w:rPr>
          <w:sz w:val="20"/>
          <w:szCs w:val="20"/>
          <w:color w:val="auto"/>
        </w:rPr>
      </w:pPr>
    </w:p>
    <w:p>
      <w:pPr>
        <w:ind w:right="4619" w:firstLine="351"/>
        <w:spacing w:after="0" w:line="261" w:lineRule="auto"/>
        <w:rPr>
          <w:sz w:val="20"/>
          <w:szCs w:val="20"/>
          <w:color w:val="auto"/>
        </w:rPr>
      </w:pPr>
      <w:r>
        <w:rPr>
          <w:rFonts w:ascii="Courier New" w:cs="Courier New" w:eastAsia="Courier New" w:hAnsi="Courier New"/>
          <w:sz w:val="11"/>
          <w:szCs w:val="11"/>
          <w:color w:val="auto"/>
        </w:rPr>
        <w:t>Management is responsible for establishing and maintaining adequate internal control over financial reporting, as such term is defined in Exchange Act Rules 13a-15(f). Under the supervision and with the participation of our management, including our Chief Executive Officer and acting Chief Financial Officer, we conducted an evaluation of the effectiveness of our internal control over financial reporting based on the criteria in Internal Control - Integrated Framework issued by the Committee of Sponsoring Organizations of the Treadway Commission. Based on our evaluation, management has concluded that our internal control over financial reporting was effective as of December 31, 2007.</w:t>
      </w:r>
    </w:p>
    <w:p>
      <w:pPr>
        <w:spacing w:after="0" w:line="131" w:lineRule="exact"/>
        <w:rPr>
          <w:sz w:val="20"/>
          <w:szCs w:val="20"/>
          <w:color w:val="auto"/>
        </w:rPr>
      </w:pPr>
    </w:p>
    <w:p>
      <w:pPr>
        <w:ind w:right="4899" w:firstLine="351"/>
        <w:spacing w:after="0" w:line="263" w:lineRule="auto"/>
        <w:rPr>
          <w:sz w:val="20"/>
          <w:szCs w:val="20"/>
          <w:color w:val="auto"/>
        </w:rPr>
      </w:pPr>
      <w:r>
        <w:rPr>
          <w:rFonts w:ascii="Courier New" w:cs="Courier New" w:eastAsia="Courier New" w:hAnsi="Courier New"/>
          <w:sz w:val="11"/>
          <w:szCs w:val="11"/>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8"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ATTESTATION REPORT OF THE REGISTERED PUBLIC ACCOUNTING FIRM. The attestation report of our registered public accounting firm is included in page F-1 of our audited consolidated financial statements set forth in "Item 18. Financial Statements," and is incorporated herein by reference.</w:t>
      </w:r>
    </w:p>
    <w:p>
      <w:pPr>
        <w:sectPr>
          <w:pgSz w:w="11900" w:h="16838" w:orient="portrait"/>
          <w:cols w:equalWidth="0" w:num="1">
            <w:col w:w="10239"/>
          </w:cols>
          <w:pgMar w:left="220" w:top="141" w:right="1440" w:bottom="0" w:gutter="0" w:footer="0" w:header="0"/>
        </w:sectPr>
      </w:pPr>
    </w:p>
    <w:bookmarkStart w:id="42" w:name="page43"/>
    <w:bookmarkEnd w:id="42"/>
    <w:p>
      <w:pPr>
        <w:spacing w:after="0" w:line="63"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- 74 -</w:t>
      </w:r>
    </w:p>
    <w:p>
      <w:pPr>
        <w:spacing w:after="0" w:line="38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16. [RESERVED]</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16A. AUDIT COMMITTEE FINANCIAL EXPERT</w:t>
      </w:r>
    </w:p>
    <w:p>
      <w:pPr>
        <w:spacing w:after="0" w:line="139"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Our board of directors has determined that a member of our audit committee, Ms. Miri Katz, is an audit committee financial expert and is independent as defined by NASDAQ Marketplace Rule 4350.</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16B. CODE OF ETHICS</w:t>
      </w:r>
    </w:p>
    <w:p>
      <w:pPr>
        <w:spacing w:after="0" w:line="139" w:lineRule="exact"/>
        <w:rPr>
          <w:sz w:val="20"/>
          <w:szCs w:val="20"/>
          <w:color w:val="auto"/>
        </w:rPr>
      </w:pPr>
    </w:p>
    <w:p>
      <w:pPr>
        <w:ind w:left="8" w:right="4699" w:firstLine="351"/>
        <w:spacing w:after="0" w:line="264" w:lineRule="auto"/>
        <w:rPr>
          <w:sz w:val="20"/>
          <w:szCs w:val="20"/>
          <w:color w:val="auto"/>
        </w:rPr>
      </w:pPr>
      <w:r>
        <w:rPr>
          <w:rFonts w:ascii="Courier New" w:cs="Courier New" w:eastAsia="Courier New" w:hAnsi="Courier New"/>
          <w:sz w:val="11"/>
          <w:szCs w:val="11"/>
          <w:color w:val="auto"/>
        </w:rPr>
        <w:t>We adopted a code of ethics that applies to all of our directors, officers and employees, including our Chief Executive Officer, acting Chief Financial Officer, controller, and persons performing similar functions. We have posted our code of ethics on our website, www.towersemi.com under "About Tower".</w:t>
      </w:r>
    </w:p>
    <w:p>
      <w:pPr>
        <w:spacing w:after="0" w:line="258"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- 75 -</w:t>
      </w:r>
    </w:p>
    <w:p>
      <w:pPr>
        <w:spacing w:after="0" w:line="38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16C. PRINCIPAL ACCOUNTANT FEES AND SERVICES</w:t>
      </w:r>
    </w:p>
    <w:p>
      <w:pPr>
        <w:spacing w:after="0" w:line="139" w:lineRule="exact"/>
        <w:rPr>
          <w:sz w:val="20"/>
          <w:szCs w:val="20"/>
          <w:color w:val="auto"/>
        </w:rPr>
      </w:pPr>
    </w:p>
    <w:p>
      <w:pPr>
        <w:jc w:val="both"/>
        <w:ind w:left="8" w:right="4619" w:firstLine="351"/>
        <w:spacing w:after="0" w:line="236" w:lineRule="auto"/>
        <w:rPr>
          <w:sz w:val="20"/>
          <w:szCs w:val="20"/>
          <w:color w:val="auto"/>
        </w:rPr>
      </w:pPr>
      <w:r>
        <w:rPr>
          <w:rFonts w:ascii="Courier New" w:cs="Courier New" w:eastAsia="Courier New" w:hAnsi="Courier New"/>
          <w:sz w:val="12"/>
          <w:szCs w:val="12"/>
          <w:color w:val="auto"/>
        </w:rPr>
        <w:t>The following table presents fees for professional services rendered by our independent registered public accounting firm for audit services, audit-related services and for tax services:</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1680" w:type="dxa"/>
            <w:vAlign w:val="bottom"/>
          </w:tcPr>
          <w:p>
            <w:pPr>
              <w:spacing w:after="0"/>
              <w:rPr>
                <w:sz w:val="11"/>
                <w:szCs w:val="11"/>
                <w:color w:val="auto"/>
              </w:rPr>
            </w:pPr>
          </w:p>
        </w:tc>
        <w:tc>
          <w:tcPr>
            <w:tcW w:w="10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2007</w:t>
            </w:r>
          </w:p>
        </w:tc>
        <w:tc>
          <w:tcPr>
            <w:tcW w:w="88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1680" w:type="dxa"/>
            <w:vAlign w:val="bottom"/>
          </w:tcPr>
          <w:p>
            <w:pPr>
              <w:spacing w:after="0"/>
              <w:rPr>
                <w:sz w:val="11"/>
                <w:szCs w:val="11"/>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11"/>
                <w:szCs w:val="11"/>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(US DOLLARS IN THOUSANDS)</w:t>
            </w:r>
          </w:p>
        </w:tc>
      </w:tr>
      <w:tr>
        <w:trPr>
          <w:trHeight w:val="135"/>
        </w:trPr>
        <w:tc>
          <w:tcPr>
            <w:tcW w:w="1680" w:type="dxa"/>
            <w:vAlign w:val="bottom"/>
          </w:tcPr>
          <w:p>
            <w:pPr>
              <w:spacing w:after="0"/>
              <w:rPr>
                <w:sz w:val="11"/>
                <w:szCs w:val="11"/>
                <w:color w:val="auto"/>
              </w:rPr>
            </w:pPr>
          </w:p>
        </w:tc>
        <w:tc>
          <w:tcPr>
            <w:tcW w:w="190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270"/>
        </w:trPr>
        <w:tc>
          <w:tcPr>
            <w:tcW w:w="1680" w:type="dxa"/>
            <w:vAlign w:val="bottom"/>
          </w:tcPr>
          <w:p>
            <w:pPr>
              <w:spacing w:after="0"/>
              <w:rPr>
                <w:sz w:val="20"/>
                <w:szCs w:val="20"/>
                <w:color w:val="auto"/>
              </w:rPr>
            </w:pPr>
            <w:r>
              <w:rPr>
                <w:rFonts w:ascii="Courier New" w:cs="Courier New" w:eastAsia="Courier New" w:hAnsi="Courier New"/>
                <w:sz w:val="12"/>
                <w:szCs w:val="12"/>
                <w:color w:val="auto"/>
              </w:rPr>
              <w:t>Audit fees (1)</w:t>
            </w: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217</w:t>
            </w:r>
          </w:p>
        </w:tc>
        <w:tc>
          <w:tcPr>
            <w:tcW w:w="8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235</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Audit-related fees (2)</w:t>
            </w: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29</w:t>
            </w:r>
          </w:p>
        </w:tc>
        <w:tc>
          <w:tcPr>
            <w:tcW w:w="8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Tax fees (3)</w:t>
            </w: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9</w:t>
            </w:r>
          </w:p>
        </w:tc>
      </w:tr>
      <w:tr>
        <w:trPr>
          <w:trHeight w:val="135"/>
        </w:trPr>
        <w:tc>
          <w:tcPr>
            <w:tcW w:w="1680" w:type="dxa"/>
            <w:vAlign w:val="bottom"/>
          </w:tcPr>
          <w:p>
            <w:pPr>
              <w:spacing w:after="0"/>
              <w:rPr>
                <w:sz w:val="11"/>
                <w:szCs w:val="11"/>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11"/>
                <w:szCs w:val="11"/>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246</w:t>
            </w:r>
          </w:p>
        </w:tc>
        <w:tc>
          <w:tcPr>
            <w:tcW w:w="8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264</w:t>
            </w:r>
          </w:p>
        </w:tc>
      </w:tr>
      <w:tr>
        <w:trPr>
          <w:trHeight w:val="135"/>
        </w:trPr>
        <w:tc>
          <w:tcPr>
            <w:tcW w:w="1680" w:type="dxa"/>
            <w:vAlign w:val="bottom"/>
          </w:tcPr>
          <w:p>
            <w:pPr>
              <w:spacing w:after="0"/>
              <w:rPr>
                <w:sz w:val="11"/>
                <w:szCs w:val="11"/>
                <w:color w:val="auto"/>
              </w:rPr>
            </w:pPr>
          </w:p>
        </w:tc>
        <w:tc>
          <w:tcPr>
            <w:tcW w:w="10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 ----------</w:t>
      </w:r>
    </w:p>
    <w:p>
      <w:pPr>
        <w:spacing w:after="0" w:line="139" w:lineRule="exact"/>
        <w:rPr>
          <w:sz w:val="20"/>
          <w:szCs w:val="20"/>
          <w:color w:val="auto"/>
        </w:rPr>
      </w:pPr>
    </w:p>
    <w:p>
      <w:pPr>
        <w:ind w:left="348" w:right="4619" w:hanging="348"/>
        <w:spacing w:after="0" w:line="237" w:lineRule="auto"/>
        <w:tabs>
          <w:tab w:leader="none" w:pos="348"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Audit fees consist of fees for professional services rendered for the audit of our consolidated financial statements, services in connection with statutory and regulatory filings and engagements (including review of Forms 20-F, F-1, F-3 and S-8), and reviews of our unaudited interim consolidated financial statements included in our quarterly reports.</w:t>
      </w:r>
    </w:p>
    <w:p>
      <w:pPr>
        <w:spacing w:after="0" w:line="139" w:lineRule="exact"/>
        <w:rPr>
          <w:rFonts w:ascii="Courier New" w:cs="Courier New" w:eastAsia="Courier New" w:hAnsi="Courier New"/>
          <w:sz w:val="12"/>
          <w:szCs w:val="12"/>
          <w:color w:val="auto"/>
        </w:rPr>
      </w:pPr>
    </w:p>
    <w:p>
      <w:pPr>
        <w:ind w:left="348" w:right="4759" w:hanging="348"/>
        <w:spacing w:after="0" w:line="235" w:lineRule="auto"/>
        <w:tabs>
          <w:tab w:leader="none" w:pos="348"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Audit related fees consist of accounting consultation and consultation on financial accounting standards, not arising as part of the audit.</w:t>
      </w:r>
    </w:p>
    <w:p>
      <w:pPr>
        <w:spacing w:after="0" w:line="139" w:lineRule="exact"/>
        <w:rPr>
          <w:rFonts w:ascii="Courier New" w:cs="Courier New" w:eastAsia="Courier New" w:hAnsi="Courier New"/>
          <w:sz w:val="12"/>
          <w:szCs w:val="12"/>
          <w:color w:val="auto"/>
        </w:rPr>
      </w:pPr>
    </w:p>
    <w:p>
      <w:pPr>
        <w:ind w:left="348" w:right="4699" w:hanging="348"/>
        <w:spacing w:after="0" w:line="235" w:lineRule="auto"/>
        <w:tabs>
          <w:tab w:leader="none" w:pos="348"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 fees consist of fees for tax compliance services, tax planning and tax advice.</w:t>
      </w:r>
    </w:p>
    <w:p>
      <w:pPr>
        <w:spacing w:after="0" w:line="139" w:lineRule="exact"/>
        <w:rPr>
          <w:sz w:val="20"/>
          <w:szCs w:val="20"/>
          <w:color w:val="auto"/>
        </w:rPr>
      </w:pPr>
    </w:p>
    <w:p>
      <w:pPr>
        <w:ind w:left="8" w:right="4699" w:firstLine="351"/>
        <w:spacing w:after="0" w:line="262" w:lineRule="auto"/>
        <w:rPr>
          <w:sz w:val="20"/>
          <w:szCs w:val="20"/>
          <w:color w:val="auto"/>
        </w:rPr>
      </w:pPr>
      <w:r>
        <w:rPr>
          <w:rFonts w:ascii="Courier New" w:cs="Courier New" w:eastAsia="Courier New" w:hAnsi="Courier New"/>
          <w:sz w:val="11"/>
          <w:szCs w:val="11"/>
          <w:color w:val="auto"/>
        </w:rPr>
        <w:t>Our audit committee's charter states that the audit committee is responsible for receiving specific information on the independent auditor's proposed services and for pre-approving all audit services annually and separately approving any other permitted non-audit related services. All of the non-audit services provided in 2006 and 2007 were pre-approved without reliance on the Waiver Provisions in paragraph (c)(7)(i)(C)of Regulation S-X.</w:t>
      </w:r>
    </w:p>
    <w:p>
      <w:pPr>
        <w:spacing w:after="0" w:line="12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16D. EXEMPTIONS FROM THE LISTING STANDARDS FOR AUDIT COMMITTEES.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16E. PURCHASES OF EQUITY SECURITIES BY THE ISSUER AND AFFILIATED</w:t>
      </w:r>
    </w:p>
    <w:p>
      <w:pPr>
        <w:ind w:left="708"/>
        <w:spacing w:after="0"/>
        <w:rPr>
          <w:sz w:val="20"/>
          <w:szCs w:val="20"/>
          <w:color w:val="auto"/>
        </w:rPr>
      </w:pPr>
      <w:r>
        <w:rPr>
          <w:rFonts w:ascii="Courier New" w:cs="Courier New" w:eastAsia="Courier New" w:hAnsi="Courier New"/>
          <w:sz w:val="12"/>
          <w:szCs w:val="12"/>
          <w:color w:val="auto"/>
        </w:rPr>
        <w:t>PURCHASERS.</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ind w:left="2528"/>
        <w:spacing w:after="0"/>
        <w:rPr>
          <w:sz w:val="20"/>
          <w:szCs w:val="20"/>
          <w:color w:val="auto"/>
        </w:rPr>
      </w:pPr>
      <w:r>
        <w:rPr>
          <w:rFonts w:ascii="Courier New" w:cs="Courier New" w:eastAsia="Courier New" w:hAnsi="Courier New"/>
          <w:sz w:val="12"/>
          <w:szCs w:val="12"/>
          <w:color w:val="auto"/>
        </w:rPr>
        <w:t>PART III</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17. FINANCIAL STATEMENTS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Not applicable.</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18. FINANCIAL STATEMENTS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See Index to Financial Statements following the signature page.</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ITEM 19. EXHIBITS</w:t>
      </w:r>
    </w:p>
    <w:p>
      <w:pPr>
        <w:spacing w:after="0" w:line="139" w:lineRule="exact"/>
        <w:rPr>
          <w:sz w:val="20"/>
          <w:szCs w:val="20"/>
          <w:color w:val="auto"/>
        </w:rPr>
      </w:pPr>
    </w:p>
    <w:p>
      <w:pPr>
        <w:ind w:left="8" w:right="4699" w:firstLine="351"/>
        <w:spacing w:after="0" w:line="236" w:lineRule="auto"/>
        <w:rPr>
          <w:sz w:val="20"/>
          <w:szCs w:val="20"/>
          <w:color w:val="auto"/>
        </w:rPr>
      </w:pPr>
      <w:r>
        <w:rPr>
          <w:rFonts w:ascii="Courier New" w:cs="Courier New" w:eastAsia="Courier New" w:hAnsi="Courier New"/>
          <w:sz w:val="12"/>
          <w:szCs w:val="12"/>
          <w:color w:val="auto"/>
        </w:rPr>
        <w:t>1.1 Articles of Association of the Registrant, approved by shareholders on November 14, 2000, as amended (incorporated by reference to Exhibit 3.1 of the Registrant's Registration Statement on Form F-1, File No. 333-126909, "Form F-1 No. 333-126909").</w:t>
      </w:r>
    </w:p>
    <w:p>
      <w:pPr>
        <w:spacing w:after="0" w:line="272"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- 76 -</w:t>
      </w:r>
    </w:p>
    <w:p>
      <w:pPr>
        <w:spacing w:after="0" w:line="391" w:lineRule="exact"/>
        <w:rPr>
          <w:sz w:val="20"/>
          <w:szCs w:val="20"/>
          <w:color w:val="auto"/>
        </w:rPr>
      </w:pPr>
    </w:p>
    <w:p>
      <w:pPr>
        <w:ind w:left="8" w:right="4619" w:firstLine="351"/>
        <w:spacing w:after="0" w:line="235" w:lineRule="auto"/>
        <w:rPr>
          <w:sz w:val="20"/>
          <w:szCs w:val="20"/>
          <w:color w:val="auto"/>
        </w:rPr>
      </w:pPr>
      <w:r>
        <w:rPr>
          <w:rFonts w:ascii="Courier New" w:cs="Courier New" w:eastAsia="Courier New" w:hAnsi="Courier New"/>
          <w:sz w:val="12"/>
          <w:szCs w:val="12"/>
          <w:color w:val="auto"/>
        </w:rPr>
        <w:t>1.2 Amendment to Articles of Association of the Registrant (incorporated by reference to exhibit 4.2 to the Registration Statement on Form S-8 No.</w:t>
      </w:r>
    </w:p>
    <w:p>
      <w:pPr>
        <w:ind w:left="8"/>
        <w:spacing w:after="0"/>
        <w:rPr>
          <w:sz w:val="20"/>
          <w:szCs w:val="20"/>
          <w:color w:val="auto"/>
        </w:rPr>
      </w:pPr>
      <w:r>
        <w:rPr>
          <w:rFonts w:ascii="Courier New" w:cs="Courier New" w:eastAsia="Courier New" w:hAnsi="Courier New"/>
          <w:sz w:val="12"/>
          <w:szCs w:val="12"/>
          <w:color w:val="auto"/>
        </w:rPr>
        <w:t>333-117565 ("Form S-8 No. 333-117565").</w:t>
      </w:r>
    </w:p>
    <w:p>
      <w:pPr>
        <w:spacing w:after="0" w:line="138" w:lineRule="exact"/>
        <w:rPr>
          <w:sz w:val="20"/>
          <w:szCs w:val="20"/>
          <w:color w:val="auto"/>
        </w:rPr>
      </w:pPr>
    </w:p>
    <w:p>
      <w:pPr>
        <w:ind w:left="8" w:right="4619" w:firstLine="351"/>
        <w:spacing w:after="0" w:line="236" w:lineRule="auto"/>
        <w:rPr>
          <w:sz w:val="20"/>
          <w:szCs w:val="20"/>
          <w:color w:val="auto"/>
        </w:rPr>
      </w:pPr>
      <w:r>
        <w:rPr>
          <w:rFonts w:ascii="Courier New" w:cs="Courier New" w:eastAsia="Courier New" w:hAnsi="Courier New"/>
          <w:sz w:val="12"/>
          <w:szCs w:val="12"/>
          <w:color w:val="auto"/>
        </w:rPr>
        <w:t>1.3 Amendment to the Articles of Association of the Registrant (approved by shareholders on September 28, 2006) (incorporated by reference to Exhibit 4.2 of the Registrant's Registration Statement on Form S-8, File No. 333-138837 (the "2006 Form S-8").</w:t>
      </w:r>
    </w:p>
    <w:p>
      <w:pPr>
        <w:spacing w:after="0" w:line="141" w:lineRule="exact"/>
        <w:rPr>
          <w:sz w:val="20"/>
          <w:szCs w:val="20"/>
          <w:color w:val="auto"/>
        </w:rPr>
      </w:pPr>
    </w:p>
    <w:p>
      <w:pPr>
        <w:ind w:left="8" w:right="4699" w:firstLine="351"/>
        <w:spacing w:after="0" w:line="236" w:lineRule="auto"/>
        <w:rPr>
          <w:sz w:val="20"/>
          <w:szCs w:val="20"/>
          <w:color w:val="auto"/>
        </w:rPr>
      </w:pPr>
      <w:r>
        <w:rPr>
          <w:rFonts w:ascii="Courier New" w:cs="Courier New" w:eastAsia="Courier New" w:hAnsi="Courier New"/>
          <w:sz w:val="12"/>
          <w:szCs w:val="12"/>
          <w:color w:val="auto"/>
        </w:rPr>
        <w:t>2.1 Bank Warrants, dated January 18, 2001, between the Registrant and Bank Hapoalim B.M. and Bank Leumi Le-Israel B.M. (incorporated by reference to exhibit 2.2 to the Registrant's Annual Report on Form 20-F for the year ended December 31, 2000 (the "2000 Form 20-F")).</w:t>
      </w:r>
    </w:p>
    <w:p>
      <w:pPr>
        <w:spacing w:after="0" w:line="141" w:lineRule="exact"/>
        <w:rPr>
          <w:sz w:val="20"/>
          <w:szCs w:val="20"/>
          <w:color w:val="auto"/>
        </w:rPr>
      </w:pPr>
    </w:p>
    <w:p>
      <w:pPr>
        <w:ind w:left="8" w:right="4759" w:firstLine="351"/>
        <w:spacing w:after="0" w:line="236" w:lineRule="auto"/>
        <w:rPr>
          <w:sz w:val="20"/>
          <w:szCs w:val="20"/>
          <w:color w:val="auto"/>
        </w:rPr>
      </w:pPr>
      <w:r>
        <w:rPr>
          <w:rFonts w:ascii="Courier New" w:cs="Courier New" w:eastAsia="Courier New" w:hAnsi="Courier New"/>
          <w:sz w:val="12"/>
          <w:szCs w:val="12"/>
          <w:color w:val="auto"/>
        </w:rPr>
        <w:t>2.2 Registration Rights Agreement, dated January 18, 2001, by and between SanDisk Corporation, Israel Corporation, Alliance Semiconductor Ltd. and Macronix International Co., Ltd. (incorporated by reference to exhibit 2.2 to the 2000 Form 20-F).</w:t>
      </w:r>
    </w:p>
    <w:p>
      <w:pPr>
        <w:spacing w:after="0" w:line="141" w:lineRule="exact"/>
        <w:rPr>
          <w:sz w:val="20"/>
          <w:szCs w:val="20"/>
          <w:color w:val="auto"/>
        </w:rPr>
      </w:pPr>
    </w:p>
    <w:p>
      <w:pPr>
        <w:ind w:left="8" w:right="4619" w:firstLine="351"/>
        <w:spacing w:after="0" w:line="237" w:lineRule="auto"/>
        <w:rPr>
          <w:sz w:val="20"/>
          <w:szCs w:val="20"/>
          <w:color w:val="auto"/>
        </w:rPr>
      </w:pPr>
      <w:r>
        <w:rPr>
          <w:rFonts w:ascii="Courier New" w:cs="Courier New" w:eastAsia="Courier New" w:hAnsi="Courier New"/>
          <w:sz w:val="12"/>
          <w:szCs w:val="12"/>
          <w:color w:val="auto"/>
        </w:rPr>
        <w:t>2.3 Terms of the Registrant's Convertible Debentures issued under an Indenture, dated January 22, 2002, (incorporated by reference to the summary of terms included under the caption "Description of the Debentures" in Exhibit C to the Registrant's Report on Form 6-K for January 2002 (No. 2), filed January 16, 2002 ("January 2002 Form 6-K")).</w:t>
      </w:r>
    </w:p>
    <w:p>
      <w:pPr>
        <w:spacing w:after="0" w:line="139" w:lineRule="exact"/>
        <w:rPr>
          <w:sz w:val="20"/>
          <w:szCs w:val="20"/>
          <w:color w:val="auto"/>
        </w:rPr>
      </w:pPr>
    </w:p>
    <w:p>
      <w:pPr>
        <w:jc w:val="both"/>
        <w:ind w:left="8" w:right="4619" w:firstLine="351"/>
        <w:spacing w:after="0" w:line="236" w:lineRule="auto"/>
        <w:rPr>
          <w:sz w:val="20"/>
          <w:szCs w:val="20"/>
          <w:color w:val="auto"/>
        </w:rPr>
      </w:pPr>
      <w:r>
        <w:rPr>
          <w:rFonts w:ascii="Courier New" w:cs="Courier New" w:eastAsia="Courier New" w:hAnsi="Courier New"/>
          <w:sz w:val="12"/>
          <w:szCs w:val="12"/>
          <w:color w:val="auto"/>
        </w:rPr>
        <w:t>2.4 Terms of the Registrant's Options (Series 1) (incorporated by reference to the summary of terms included under the caption "Description of the Options" in Exhibit C to the January 2002 Form 6-K).</w:t>
      </w:r>
    </w:p>
    <w:p>
      <w:pPr>
        <w:sectPr>
          <w:pgSz w:w="11900" w:h="16901" w:orient="portrait"/>
          <w:cols w:equalWidth="0" w:num="1">
            <w:col w:w="10247"/>
          </w:cols>
          <w:pgMar w:left="212" w:top="272" w:right="1440" w:bottom="0" w:gutter="0" w:footer="0" w:header="0"/>
        </w:sectPr>
      </w:pPr>
    </w:p>
    <w:bookmarkStart w:id="43" w:name="page44"/>
    <w:bookmarkEnd w:id="43"/>
    <w:p>
      <w:pPr>
        <w:jc w:val="both"/>
        <w:ind w:right="4899" w:firstLine="351"/>
        <w:spacing w:after="0" w:line="236" w:lineRule="auto"/>
        <w:rPr>
          <w:sz w:val="20"/>
          <w:szCs w:val="20"/>
          <w:color w:val="auto"/>
        </w:rPr>
      </w:pPr>
      <w:r>
        <w:rPr>
          <w:rFonts w:ascii="Courier New" w:cs="Courier New" w:eastAsia="Courier New" w:hAnsi="Courier New"/>
          <w:sz w:val="12"/>
          <w:szCs w:val="12"/>
          <w:color w:val="auto"/>
        </w:rPr>
        <w:t>2.5 Form of Indenture (incorporated by reference to exhibit 4.2 to the Registrant's Amendment No. 6 to the Registration Statement on Form F-1/A No. 333-126909 (the "Form F-1 No. 333-126909").</w:t>
      </w:r>
    </w:p>
    <w:p>
      <w:pPr>
        <w:spacing w:after="0" w:line="139" w:lineRule="exact"/>
        <w:rPr>
          <w:sz w:val="20"/>
          <w:szCs w:val="20"/>
          <w:color w:val="auto"/>
        </w:rPr>
      </w:pPr>
    </w:p>
    <w:p>
      <w:pPr>
        <w:jc w:val="both"/>
        <w:ind w:right="4839" w:firstLine="351"/>
        <w:spacing w:after="0" w:line="273" w:lineRule="auto"/>
        <w:rPr>
          <w:sz w:val="20"/>
          <w:szCs w:val="20"/>
          <w:color w:val="auto"/>
        </w:rPr>
      </w:pPr>
      <w:r>
        <w:rPr>
          <w:rFonts w:ascii="Courier New" w:cs="Courier New" w:eastAsia="Courier New" w:hAnsi="Courier New"/>
          <w:sz w:val="11"/>
          <w:szCs w:val="11"/>
          <w:color w:val="auto"/>
        </w:rPr>
        <w:t>2.6 Form of Note for the Debentures (incorporated herein by reference to Exhibit A to the Indenture filed as exhibit 4.2 to Form F-1 No. 333-126909 ).</w:t>
      </w:r>
    </w:p>
    <w:p>
      <w:pPr>
        <w:spacing w:after="0" w:line="122" w:lineRule="exact"/>
        <w:rPr>
          <w:sz w:val="20"/>
          <w:szCs w:val="20"/>
          <w:color w:val="auto"/>
        </w:rPr>
      </w:pPr>
    </w:p>
    <w:p>
      <w:pPr>
        <w:jc w:val="both"/>
        <w:ind w:right="4839" w:firstLine="351"/>
        <w:spacing w:after="0" w:line="266" w:lineRule="auto"/>
        <w:rPr>
          <w:sz w:val="20"/>
          <w:szCs w:val="20"/>
          <w:color w:val="auto"/>
        </w:rPr>
      </w:pPr>
      <w:r>
        <w:rPr>
          <w:rFonts w:ascii="Courier New" w:cs="Courier New" w:eastAsia="Courier New" w:hAnsi="Courier New"/>
          <w:sz w:val="11"/>
          <w:szCs w:val="11"/>
          <w:color w:val="auto"/>
        </w:rPr>
        <w:t>2.7 First Amendment to a Warrant Issued on December 11, 2003 to Tarshish Hahzakot Vehashkaot Hapoalim Ltd., dated September 28, 2006 (incorporated by reference to exhibit 99.14 of the November 2006 Form 6-K).</w:t>
      </w:r>
    </w:p>
    <w:p>
      <w:pPr>
        <w:spacing w:after="0" w:line="126" w:lineRule="exact"/>
        <w:rPr>
          <w:sz w:val="20"/>
          <w:szCs w:val="20"/>
          <w:color w:val="auto"/>
        </w:rPr>
      </w:pPr>
    </w:p>
    <w:p>
      <w:pPr>
        <w:jc w:val="both"/>
        <w:ind w:right="4699" w:firstLine="351"/>
        <w:spacing w:after="0" w:line="236" w:lineRule="auto"/>
        <w:rPr>
          <w:sz w:val="20"/>
          <w:szCs w:val="20"/>
          <w:color w:val="auto"/>
        </w:rPr>
      </w:pPr>
      <w:r>
        <w:rPr>
          <w:rFonts w:ascii="Courier New" w:cs="Courier New" w:eastAsia="Courier New" w:hAnsi="Courier New"/>
          <w:sz w:val="12"/>
          <w:szCs w:val="12"/>
          <w:color w:val="auto"/>
        </w:rPr>
        <w:t>2.8 First Amendment to a Warrant Issued on December 11, 2003 to Bank Leumi Le-Israel, dated September 28, 2006 (incorporated by reference to exhibit 99.15 of the November 2006 Form 6-K).</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2.9 First Amendment to a Warrant Issued on August 4, 2005 to Bank Hapoalim B.M., dated September 28, 2006 (incorporated by reference to exhibit 99.16 of the November 2006 Form 6-K).</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2.10 First Amendment to a Warrant Issued on August 4, 2005 to Bank Leumi Le- Israel B.M., dated September 28, 2006 (incorporated by reference to exhibit 99.17 of the November 2006 Form 6-K).</w:t>
      </w:r>
    </w:p>
    <w:p>
      <w:pPr>
        <w:spacing w:after="0" w:line="139" w:lineRule="exact"/>
        <w:rPr>
          <w:sz w:val="20"/>
          <w:szCs w:val="20"/>
          <w:color w:val="auto"/>
        </w:rPr>
      </w:pPr>
    </w:p>
    <w:p>
      <w:pPr>
        <w:ind w:right="4619" w:firstLine="351"/>
        <w:spacing w:after="0" w:line="235" w:lineRule="auto"/>
        <w:rPr>
          <w:sz w:val="20"/>
          <w:szCs w:val="20"/>
          <w:color w:val="auto"/>
        </w:rPr>
      </w:pPr>
      <w:r>
        <w:rPr>
          <w:rFonts w:ascii="Courier New" w:cs="Courier New" w:eastAsia="Courier New" w:hAnsi="Courier New"/>
          <w:sz w:val="12"/>
          <w:szCs w:val="12"/>
          <w:color w:val="auto"/>
        </w:rPr>
        <w:t>2.11 Form of Series I Warrant (incorporated by reference to exhibit 99.6 of the March 2007 Form 6-K).</w:t>
      </w:r>
    </w:p>
    <w:p>
      <w:pPr>
        <w:spacing w:after="0" w:line="139" w:lineRule="exact"/>
        <w:rPr>
          <w:sz w:val="20"/>
          <w:szCs w:val="20"/>
          <w:color w:val="auto"/>
        </w:rPr>
      </w:pPr>
    </w:p>
    <w:p>
      <w:pPr>
        <w:ind w:right="4759" w:firstLine="351"/>
        <w:spacing w:after="0" w:line="235" w:lineRule="auto"/>
        <w:rPr>
          <w:sz w:val="20"/>
          <w:szCs w:val="20"/>
          <w:color w:val="auto"/>
        </w:rPr>
      </w:pPr>
      <w:r>
        <w:rPr>
          <w:rFonts w:ascii="Courier New" w:cs="Courier New" w:eastAsia="Courier New" w:hAnsi="Courier New"/>
          <w:sz w:val="12"/>
          <w:szCs w:val="12"/>
          <w:color w:val="auto"/>
        </w:rPr>
        <w:t>2.12 Form of Series II Warrant (incorporated by reference to exhibit 99.7 of the March 2007 Form 6-K).</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- 77 -</w:t>
      </w:r>
    </w:p>
    <w:p>
      <w:pPr>
        <w:spacing w:after="0" w:line="391"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3.1 Consolidated Shareholders Agreement, dated January 18, 2001, by and between SanDisk Corporation, Israel Corporation, Alliance Semiconductor Ltd. and Macronix International Co., Ltd. (incorporated by reference to the correspondingly-numbered exhibit to the 2000 Form 20-F).</w:t>
      </w:r>
    </w:p>
    <w:p>
      <w:pPr>
        <w:spacing w:after="0" w:line="141" w:lineRule="exact"/>
        <w:rPr>
          <w:sz w:val="20"/>
          <w:szCs w:val="20"/>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4.1 Share Purchase Agreement, dated July 4, 2000, by and between SanDisk Corporation and the Registrant (incorporated by reference to the correspondingly-numbered exhibit to the 2000 Form 20-F).</w:t>
      </w:r>
    </w:p>
    <w:p>
      <w:pPr>
        <w:spacing w:after="0" w:line="139" w:lineRule="exact"/>
        <w:rPr>
          <w:sz w:val="20"/>
          <w:szCs w:val="20"/>
          <w:color w:val="auto"/>
        </w:rPr>
      </w:pPr>
    </w:p>
    <w:p>
      <w:pPr>
        <w:ind w:right="4839" w:firstLine="351"/>
        <w:spacing w:after="0" w:line="266" w:lineRule="auto"/>
        <w:rPr>
          <w:sz w:val="20"/>
          <w:szCs w:val="20"/>
          <w:color w:val="auto"/>
        </w:rPr>
      </w:pPr>
      <w:r>
        <w:rPr>
          <w:rFonts w:ascii="Courier New" w:cs="Courier New" w:eastAsia="Courier New" w:hAnsi="Courier New"/>
          <w:sz w:val="11"/>
          <w:szCs w:val="11"/>
          <w:color w:val="auto"/>
        </w:rPr>
        <w:t>4.2 Additional Purchase Obligation Agreement, dated July 4, 2000, by and between SanDisk Corporation ("SanDisk") and the Registrant (incorporated by reference to the correspondingly-numbered exhibit to the 2000 Form 20-F).</w:t>
      </w:r>
    </w:p>
    <w:p>
      <w:pPr>
        <w:spacing w:after="0" w:line="126" w:lineRule="exact"/>
        <w:rPr>
          <w:sz w:val="20"/>
          <w:szCs w:val="20"/>
          <w:color w:val="auto"/>
        </w:rPr>
      </w:pPr>
    </w:p>
    <w:p>
      <w:pPr>
        <w:ind w:right="4619" w:firstLine="351"/>
        <w:spacing w:after="0" w:line="266" w:lineRule="auto"/>
        <w:rPr>
          <w:sz w:val="20"/>
          <w:szCs w:val="20"/>
          <w:color w:val="auto"/>
        </w:rPr>
      </w:pPr>
      <w:r>
        <w:rPr>
          <w:rFonts w:ascii="Courier New" w:cs="Courier New" w:eastAsia="Courier New" w:hAnsi="Courier New"/>
          <w:sz w:val="11"/>
          <w:szCs w:val="11"/>
          <w:color w:val="auto"/>
        </w:rPr>
        <w:t>4.3 Share Purchase Agreement, dated August 29, 2000, by and between Alliance Semiconductor Corporation ("Alliance") and the Registrant (incorporated by reference to the correspondingly-numbered exhibit to the 2000 Form 20-F).</w:t>
      </w:r>
    </w:p>
    <w:p>
      <w:pPr>
        <w:spacing w:after="0" w:line="126" w:lineRule="exact"/>
        <w:rPr>
          <w:sz w:val="20"/>
          <w:szCs w:val="20"/>
          <w:color w:val="auto"/>
        </w:rPr>
      </w:pPr>
    </w:p>
    <w:p>
      <w:pPr>
        <w:jc w:val="both"/>
        <w:ind w:right="5039" w:firstLine="351"/>
        <w:spacing w:after="0" w:line="266" w:lineRule="auto"/>
        <w:rPr>
          <w:sz w:val="20"/>
          <w:szCs w:val="20"/>
          <w:color w:val="auto"/>
        </w:rPr>
      </w:pPr>
      <w:r>
        <w:rPr>
          <w:rFonts w:ascii="Courier New" w:cs="Courier New" w:eastAsia="Courier New" w:hAnsi="Courier New"/>
          <w:sz w:val="11"/>
          <w:szCs w:val="11"/>
          <w:color w:val="auto"/>
        </w:rPr>
        <w:t>4.4 Share Purchase Agreement, dated December 11, 2000, by and between QuickLogic Corporation ("QuickLogic") and the Registrant (incorporated by reference to the correspondingly-numbered exhibit to the 2000 Form 20-F).</w:t>
      </w:r>
    </w:p>
    <w:p>
      <w:pPr>
        <w:spacing w:after="0" w:line="126" w:lineRule="exact"/>
        <w:rPr>
          <w:sz w:val="20"/>
          <w:szCs w:val="20"/>
          <w:color w:val="auto"/>
        </w:rPr>
      </w:pPr>
    </w:p>
    <w:p>
      <w:pPr>
        <w:ind w:right="4759" w:firstLine="351"/>
        <w:spacing w:after="0" w:line="266" w:lineRule="auto"/>
        <w:rPr>
          <w:sz w:val="20"/>
          <w:szCs w:val="20"/>
          <w:color w:val="auto"/>
        </w:rPr>
      </w:pPr>
      <w:r>
        <w:rPr>
          <w:rFonts w:ascii="Courier New" w:cs="Courier New" w:eastAsia="Courier New" w:hAnsi="Courier New"/>
          <w:sz w:val="11"/>
          <w:szCs w:val="11"/>
          <w:color w:val="auto"/>
        </w:rPr>
        <w:t>4.5 Share Purchase Agreement, dated December 12, 2000, by and between Macronix International Co., Ltd. ("Macronix") and the Registrant (incorporated by reference to the correspondingly-numbered exhibit to the 2000 Form 20-F).</w:t>
      </w:r>
    </w:p>
    <w:p>
      <w:pPr>
        <w:spacing w:after="0" w:line="126" w:lineRule="exact"/>
        <w:rPr>
          <w:sz w:val="20"/>
          <w:szCs w:val="20"/>
          <w:color w:val="auto"/>
        </w:rPr>
      </w:pPr>
    </w:p>
    <w:p>
      <w:pPr>
        <w:ind w:right="5039" w:firstLine="351"/>
        <w:spacing w:after="0" w:line="236" w:lineRule="auto"/>
        <w:rPr>
          <w:sz w:val="20"/>
          <w:szCs w:val="20"/>
          <w:color w:val="auto"/>
        </w:rPr>
      </w:pPr>
      <w:r>
        <w:rPr>
          <w:rFonts w:ascii="Courier New" w:cs="Courier New" w:eastAsia="Courier New" w:hAnsi="Courier New"/>
          <w:sz w:val="12"/>
          <w:szCs w:val="12"/>
          <w:color w:val="auto"/>
        </w:rPr>
        <w:t>4.6 Share Purchase Agreement, dated December 12, 2000, between Israel Corporation and the Registrant (incorporated by reference to the correspondingly-numbered exhibit to the 2000 Form 20-F).</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4.7 Additional Purchase Obligation Agreement, dated December 12, 2000, between Israel Corporation and the Registrant (incorporated by reference to the correspondingly-numbered exhibit to the 2000 Form 20-F).</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4.8 Share Purchase Agreement, dated February 11, 2001, between The Challenge Fund - Etgar II and the Registrant (incorporated by reference to the correspondingly-numbered exhibit to the 2000 Form 20-F).</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4.9 Facility Agreement, dated January 18, 2001, among the Registrant, Bank Hapoalim B.M. and Bank Leumi Le-Israel B.M. (the "Facility Agreement") (incorporated by reference to the correspondingly-numbered exhibit to the 2000 Form 20-F).</w:t>
      </w:r>
    </w:p>
    <w:p>
      <w:pPr>
        <w:spacing w:after="0" w:line="141"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4.10 Design and Construction/Turn-Key Contract, dated August 20, 2000, among the Registrant, M+W Zander Holding GmbH, Meissner-Baran Ltd. and Baran Group Ltd. (incorporated by reference to the correspondingly-numbered exhibit to the 2000 Form 20-F).</w:t>
      </w:r>
    </w:p>
    <w:p>
      <w:pPr>
        <w:spacing w:after="0" w:line="141" w:lineRule="exact"/>
        <w:rPr>
          <w:sz w:val="20"/>
          <w:szCs w:val="20"/>
          <w:color w:val="auto"/>
        </w:rPr>
      </w:pPr>
    </w:p>
    <w:p>
      <w:pPr>
        <w:ind w:right="4759" w:firstLine="351"/>
        <w:spacing w:after="0" w:line="237" w:lineRule="auto"/>
        <w:rPr>
          <w:sz w:val="20"/>
          <w:szCs w:val="20"/>
          <w:color w:val="auto"/>
        </w:rPr>
      </w:pPr>
      <w:r>
        <w:rPr>
          <w:rFonts w:ascii="Courier New" w:cs="Courier New" w:eastAsia="Courier New" w:hAnsi="Courier New"/>
          <w:sz w:val="12"/>
          <w:szCs w:val="12"/>
          <w:color w:val="auto"/>
        </w:rPr>
        <w:t>4.11 Approval, dated December 31, 2000, of the Israeli Investment Center (Hebrew language document; a summary of the terms is included in the 2000 Form 20-F under the caption "Fab 2 Agreements" in "Item 5. Operating and Financial Review and Prospects") (incorporated by reference to the correspondingly-numbered exhibit to the 2000 Form 20-F).</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4.12 Agreement between the Registrant and Saifun, dated October 9, 1997 (incorporated by reference to exhibit 1.1 to the Registrant's Annual Report on Form 20-F for the year ended December 31, 1997).</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- 78 -</w:t>
      </w:r>
    </w:p>
    <w:p>
      <w:pPr>
        <w:spacing w:after="0" w:line="391" w:lineRule="exact"/>
        <w:rPr>
          <w:sz w:val="20"/>
          <w:szCs w:val="20"/>
          <w:color w:val="auto"/>
        </w:rPr>
      </w:pPr>
    </w:p>
    <w:p>
      <w:pPr>
        <w:ind w:right="5039" w:firstLine="351"/>
        <w:spacing w:after="0" w:line="266" w:lineRule="auto"/>
        <w:rPr>
          <w:sz w:val="20"/>
          <w:szCs w:val="20"/>
          <w:color w:val="auto"/>
        </w:rPr>
      </w:pPr>
      <w:r>
        <w:rPr>
          <w:rFonts w:ascii="Courier New" w:cs="Courier New" w:eastAsia="Courier New" w:hAnsi="Courier New"/>
          <w:sz w:val="11"/>
          <w:szCs w:val="11"/>
          <w:color w:val="auto"/>
        </w:rPr>
        <w:t>4.13 Registrant's Non-Employee Director Share Option Plan 2000/3 (incorporated by reference to exhibit 4.5 to the Registrant's Registration Statement on Form S-8 No. 333-83204 ("Form S-8 No. 333-83204")).</w:t>
      </w:r>
    </w:p>
    <w:p>
      <w:pPr>
        <w:spacing w:after="0" w:line="122"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4.14 Form of Grant Letter for Non-Employee Directors Share Option Plan</w:t>
      </w:r>
    </w:p>
    <w:p>
      <w:pPr>
        <w:spacing w:after="0" w:line="4"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1"/>
          <w:szCs w:val="11"/>
          <w:color w:val="auto"/>
        </w:rPr>
        <w:t>2001/4 (incorporated by reference to exhibit 4.9 to the Form S-8 No. 333-83204).</w:t>
      </w:r>
    </w:p>
    <w:p>
      <w:pPr>
        <w:spacing w:after="0" w:line="146" w:lineRule="exact"/>
        <w:rPr>
          <w:sz w:val="20"/>
          <w:szCs w:val="20"/>
          <w:color w:val="auto"/>
        </w:rPr>
      </w:pPr>
    </w:p>
    <w:p>
      <w:pPr>
        <w:ind w:right="4979" w:firstLine="351"/>
        <w:spacing w:after="0" w:line="260" w:lineRule="auto"/>
        <w:rPr>
          <w:sz w:val="20"/>
          <w:szCs w:val="20"/>
          <w:color w:val="auto"/>
        </w:rPr>
      </w:pPr>
      <w:r>
        <w:rPr>
          <w:rFonts w:ascii="Courier New" w:cs="Courier New" w:eastAsia="Courier New" w:hAnsi="Courier New"/>
          <w:sz w:val="11"/>
          <w:szCs w:val="11"/>
          <w:color w:val="auto"/>
        </w:rPr>
        <w:t>4.15 Form of Grant Letter for Non-Employee Directors Share Option Plan 2001/5 (incorporated by reference to exhibit 4.10 to the Form S-8 No.</w:t>
      </w:r>
    </w:p>
    <w:p>
      <w:pPr>
        <w:spacing w:after="0" w:line="232" w:lineRule="auto"/>
        <w:rPr>
          <w:sz w:val="20"/>
          <w:szCs w:val="20"/>
          <w:color w:val="auto"/>
        </w:rPr>
      </w:pPr>
      <w:r>
        <w:rPr>
          <w:rFonts w:ascii="Courier New" w:cs="Courier New" w:eastAsia="Courier New" w:hAnsi="Courier New"/>
          <w:sz w:val="12"/>
          <w:szCs w:val="12"/>
          <w:color w:val="auto"/>
        </w:rPr>
        <w:t>333-83204).</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4.16 Wafer Partner Conversion Agreements, dated September 2001, between the Registrant and each of SanDisk, Alliance and Macronix (incorporated by reference to exhibit 4.17 to the Registrant's Annual Report on Form 20-F for the year ended December 31, 2001 (the "2001 Form 20-F)).</w:t>
      </w:r>
    </w:p>
    <w:p>
      <w:pPr>
        <w:spacing w:after="0" w:line="141"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4.17 Letter Agreement, dated November 29, 2001, among SanDisk, Alliance, Macronix, QuickLogic and the Registrant regarding the Utilization of Prepayments (incorporated by reference to exhibit 4.18 to the 2001 Form 20-F).</w:t>
      </w:r>
    </w:p>
    <w:p>
      <w:pPr>
        <w:spacing w:after="0" w:line="139" w:lineRule="exact"/>
        <w:rPr>
          <w:sz w:val="20"/>
          <w:szCs w:val="20"/>
          <w:color w:val="auto"/>
        </w:rPr>
      </w:pPr>
    </w:p>
    <w:p>
      <w:pPr>
        <w:jc w:val="both"/>
        <w:ind w:right="4759" w:firstLine="351"/>
        <w:spacing w:after="0" w:line="236" w:lineRule="auto"/>
        <w:rPr>
          <w:sz w:val="20"/>
          <w:szCs w:val="20"/>
          <w:color w:val="auto"/>
        </w:rPr>
      </w:pPr>
      <w:r>
        <w:rPr>
          <w:rFonts w:ascii="Courier New" w:cs="Courier New" w:eastAsia="Courier New" w:hAnsi="Courier New"/>
          <w:sz w:val="12"/>
          <w:szCs w:val="12"/>
          <w:color w:val="auto"/>
        </w:rPr>
        <w:t>4.18 Letter Agreements among Alliance, Macronix, QuickLogic, Israel Corp. and the Registrant and between SanDisk and the Registrant regarding Additional Wafer Partner Financing Date (incorporated by reference to exhibit 4.19 to the 2001 Form 20-F).</w:t>
      </w:r>
    </w:p>
    <w:p>
      <w:pPr>
        <w:sectPr>
          <w:pgSz w:w="11900" w:h="16838" w:orient="portrait"/>
          <w:cols w:equalWidth="0" w:num="1">
            <w:col w:w="10239"/>
          </w:cols>
          <w:pgMar w:left="220" w:top="276" w:right="1440" w:bottom="0" w:gutter="0" w:footer="0" w:header="0"/>
        </w:sectPr>
      </w:pPr>
    </w:p>
    <w:bookmarkStart w:id="44" w:name="page45"/>
    <w:bookmarkEnd w:id="44"/>
    <w:p>
      <w:pPr>
        <w:ind w:right="4619" w:firstLine="351"/>
        <w:spacing w:after="0" w:line="266" w:lineRule="auto"/>
        <w:rPr>
          <w:sz w:val="20"/>
          <w:szCs w:val="20"/>
          <w:color w:val="auto"/>
        </w:rPr>
      </w:pPr>
      <w:r>
        <w:rPr>
          <w:rFonts w:ascii="Courier New" w:cs="Courier New" w:eastAsia="Courier New" w:hAnsi="Courier New"/>
          <w:sz w:val="11"/>
          <w:szCs w:val="11"/>
          <w:color w:val="auto"/>
        </w:rPr>
        <w:t>4.19 Letter Agreement, dated November 15, 2001, among SanDisk, Alliance, Macronix, QuickLogic, ICTech and the Registrant regarding Amendment to Financing Plan (incorporated by reference to exhibit 4.20 to the 2001 Form 20-F).</w:t>
      </w:r>
    </w:p>
    <w:p>
      <w:pPr>
        <w:spacing w:after="0" w:line="126" w:lineRule="exact"/>
        <w:rPr>
          <w:sz w:val="20"/>
          <w:szCs w:val="20"/>
          <w:color w:val="auto"/>
        </w:rPr>
      </w:pPr>
    </w:p>
    <w:p>
      <w:pPr>
        <w:ind w:right="4899" w:firstLine="351"/>
        <w:spacing w:after="0" w:line="273" w:lineRule="auto"/>
        <w:rPr>
          <w:sz w:val="20"/>
          <w:szCs w:val="20"/>
          <w:color w:val="auto"/>
        </w:rPr>
      </w:pPr>
      <w:r>
        <w:rPr>
          <w:rFonts w:ascii="Courier New" w:cs="Courier New" w:eastAsia="Courier New" w:hAnsi="Courier New"/>
          <w:sz w:val="11"/>
          <w:szCs w:val="11"/>
          <w:color w:val="auto"/>
        </w:rPr>
        <w:t>4.20 First Amendment, dated January 29, 2001, to the Facility Agreement (incorporated by reference to exhibit 4.21 to the 2001 Form 20-F).</w:t>
      </w:r>
    </w:p>
    <w:p>
      <w:pPr>
        <w:spacing w:after="0" w:line="122" w:lineRule="exact"/>
        <w:rPr>
          <w:sz w:val="20"/>
          <w:szCs w:val="20"/>
          <w:color w:val="auto"/>
        </w:rPr>
      </w:pPr>
    </w:p>
    <w:p>
      <w:pPr>
        <w:ind w:right="5119" w:firstLine="351"/>
        <w:spacing w:after="0" w:line="273" w:lineRule="auto"/>
        <w:rPr>
          <w:sz w:val="20"/>
          <w:szCs w:val="20"/>
          <w:color w:val="auto"/>
        </w:rPr>
      </w:pPr>
      <w:r>
        <w:rPr>
          <w:rFonts w:ascii="Courier New" w:cs="Courier New" w:eastAsia="Courier New" w:hAnsi="Courier New"/>
          <w:sz w:val="11"/>
          <w:szCs w:val="11"/>
          <w:color w:val="auto"/>
        </w:rPr>
        <w:t>4.21 Second Amendment, dated January 10, 2002, to Facility Agreement (incorporated by reference to exhibit 4.22 to the 2001 Form 20-F).</w:t>
      </w:r>
    </w:p>
    <w:p>
      <w:pPr>
        <w:spacing w:after="0" w:line="122" w:lineRule="exact"/>
        <w:rPr>
          <w:sz w:val="20"/>
          <w:szCs w:val="20"/>
          <w:color w:val="auto"/>
        </w:rPr>
      </w:pPr>
    </w:p>
    <w:p>
      <w:pPr>
        <w:ind w:right="5119" w:firstLine="351"/>
        <w:spacing w:after="0" w:line="273" w:lineRule="auto"/>
        <w:rPr>
          <w:sz w:val="20"/>
          <w:szCs w:val="20"/>
          <w:color w:val="auto"/>
        </w:rPr>
      </w:pPr>
      <w:r>
        <w:rPr>
          <w:rFonts w:ascii="Courier New" w:cs="Courier New" w:eastAsia="Courier New" w:hAnsi="Courier New"/>
          <w:sz w:val="11"/>
          <w:szCs w:val="11"/>
          <w:color w:val="auto"/>
        </w:rPr>
        <w:t>4.22 Third Amendment, dated March 7, 2002, to the Facility Agreement (incorporated by reference to exhibit 4.23 to the 2001 Form 20-F).</w:t>
      </w:r>
    </w:p>
    <w:p>
      <w:pPr>
        <w:spacing w:after="0" w:line="122"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4.23 Joint Development and Transfer and Cross License Agreement, dated May 2002, between the Registrant and a Japanese manufacturer (incorporated by reference to exhibit 10.3 to the Registrant's Registration Statement on Form F-2, No. 333-97043).</w:t>
      </w:r>
    </w:p>
    <w:p>
      <w:pPr>
        <w:spacing w:after="0" w:line="141"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4.24 Technology License Agreement, dated April 7, 2000, between the Registrant and Toshiba Corporation (incorporated by reference to exhibit 10.4 to the Registrant's Registration Statement on Form F-2, No. 333-97043). (Portions of this exhibit have been omitted pursuant to a request for confidential treatment.)</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4.25 Technology Transfer License Agreement, dated September 2002, between Registrant and Motorola, Inc. (incorporated by reference to exhibit 10.5 to the Registrant's Registration Statement on Form F-2, No. 333-97043). (Portions of this exhibit have been omitted pursuant to a request for confidential treatment.)</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4.26 Fourth Amendment, dated April 29, 2002, to the Facility Agreement (incorporated by reference to exhibit 4.27 to the Registrant's Annual Report on Form 20-F for the year ended December 31, 2002 (the "2002 Form 20-F)).</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- 79 -</w:t>
      </w:r>
    </w:p>
    <w:p>
      <w:pPr>
        <w:spacing w:after="0" w:line="391" w:lineRule="exact"/>
        <w:rPr>
          <w:sz w:val="20"/>
          <w:szCs w:val="20"/>
          <w:color w:val="auto"/>
        </w:rPr>
      </w:pPr>
    </w:p>
    <w:p>
      <w:pPr>
        <w:ind w:right="4899" w:firstLine="351"/>
        <w:spacing w:after="0" w:line="273" w:lineRule="auto"/>
        <w:rPr>
          <w:sz w:val="20"/>
          <w:szCs w:val="20"/>
          <w:color w:val="auto"/>
        </w:rPr>
      </w:pPr>
      <w:r>
        <w:rPr>
          <w:rFonts w:ascii="Courier New" w:cs="Courier New" w:eastAsia="Courier New" w:hAnsi="Courier New"/>
          <w:sz w:val="11"/>
          <w:szCs w:val="11"/>
          <w:color w:val="auto"/>
        </w:rPr>
        <w:t>4.27 Fifth Amendment dated September 18, 2002 to the Facility Agreement (incorporated by reference to exhibit 4.28 to the 2002 Form 20-F).</w:t>
      </w:r>
    </w:p>
    <w:p>
      <w:pPr>
        <w:spacing w:after="0" w:line="122"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4.28 Amendment to Fifth Amendment to the Facility Agreement, dated October 22, 2002, to the Facility Agreement (incorporated by reference to exhibit 4.29 to the2002 Form 20-F).</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4.29 Letter Agreement, dated March 2002, among SanDisk, Alliance, Macronix, ICTech and Challenge Fund to advance Third and Fourth Milestone Payments (incorporated by reference to exhibit 4.30 to the 2002 Form 20-F).</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4.30 Letter Agreement, dated July 2002, among SanDisk, Alliance, Macronix, and ICTech to exercise rights distributed in rights offering (incorporated by reference to exhibit 4.31 to the 2002 Form 20-F).</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4.31 Letter Agreement, dated March 2003, among SanDisk, Alliance, Macronix, ICTech, and the Registrant (incorporated by reference to exhibit 4.32 to the 2002 Form 20-F).</w:t>
      </w:r>
    </w:p>
    <w:p>
      <w:pPr>
        <w:spacing w:after="0" w:line="139" w:lineRule="exact"/>
        <w:rPr>
          <w:sz w:val="20"/>
          <w:szCs w:val="20"/>
          <w:color w:val="auto"/>
        </w:rPr>
      </w:pPr>
    </w:p>
    <w:p>
      <w:pPr>
        <w:ind w:right="4899" w:firstLine="351"/>
        <w:spacing w:after="0" w:line="236" w:lineRule="auto"/>
        <w:rPr>
          <w:sz w:val="20"/>
          <w:szCs w:val="20"/>
          <w:color w:val="auto"/>
        </w:rPr>
      </w:pPr>
      <w:r>
        <w:rPr>
          <w:rFonts w:ascii="Courier New" w:cs="Courier New" w:eastAsia="Courier New" w:hAnsi="Courier New"/>
          <w:sz w:val="12"/>
          <w:szCs w:val="12"/>
          <w:color w:val="auto"/>
        </w:rPr>
        <w:t>4.32 Form of Rights Agent Agreement between the Registrant and American Stock Transfer &amp; Trust Company (including form of Rights Certificate) (incorporated by reference to exhibit 4.1 to the Registrant's Registration Statement on Form F-2, No. 333-97043).</w:t>
      </w:r>
    </w:p>
    <w:p>
      <w:pPr>
        <w:spacing w:after="0" w:line="141" w:lineRule="exact"/>
        <w:rPr>
          <w:sz w:val="20"/>
          <w:szCs w:val="20"/>
          <w:color w:val="auto"/>
        </w:rPr>
      </w:pPr>
    </w:p>
    <w:p>
      <w:pPr>
        <w:jc w:val="both"/>
        <w:ind w:right="4759" w:firstLine="351"/>
        <w:spacing w:after="0" w:line="236" w:lineRule="auto"/>
        <w:rPr>
          <w:sz w:val="20"/>
          <w:szCs w:val="20"/>
          <w:color w:val="auto"/>
        </w:rPr>
      </w:pPr>
      <w:r>
        <w:rPr>
          <w:rFonts w:ascii="Courier New" w:cs="Courier New" w:eastAsia="Courier New" w:hAnsi="Courier New"/>
          <w:sz w:val="12"/>
          <w:szCs w:val="12"/>
          <w:color w:val="auto"/>
        </w:rPr>
        <w:t>4.33 Form of Warrant Agreement between the Registrant and American Stock Transfer &amp; Trust Company (including form of Warrant Certificate) (incorporated by reference to exhibit 4.2 to the Registrant's Registration Statement on Form F-2, No. 333-97043).</w:t>
      </w:r>
    </w:p>
    <w:p>
      <w:pPr>
        <w:spacing w:after="0" w:line="13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4.34 Reserved.</w:t>
      </w:r>
    </w:p>
    <w:p>
      <w:pPr>
        <w:spacing w:after="0" w:line="139" w:lineRule="exact"/>
        <w:rPr>
          <w:sz w:val="20"/>
          <w:szCs w:val="20"/>
          <w:color w:val="auto"/>
        </w:rPr>
      </w:pPr>
    </w:p>
    <w:p>
      <w:pPr>
        <w:ind w:right="4699" w:firstLine="351"/>
        <w:spacing w:after="0" w:line="266" w:lineRule="auto"/>
        <w:rPr>
          <w:sz w:val="20"/>
          <w:szCs w:val="20"/>
          <w:color w:val="auto"/>
        </w:rPr>
      </w:pPr>
      <w:r>
        <w:rPr>
          <w:rFonts w:ascii="Courier New" w:cs="Courier New" w:eastAsia="Courier New" w:hAnsi="Courier New"/>
          <w:sz w:val="11"/>
          <w:szCs w:val="11"/>
          <w:color w:val="auto"/>
        </w:rPr>
        <w:t>4.35 Investment Center Agreement related to Fab 1, dated November 13, 2001 (English translation of Hebrew original) (incorporated by reference to exhibit 10.2 to the Registrant's Registration Statement on Form F-2, No. 333-97043).</w:t>
      </w:r>
    </w:p>
    <w:p>
      <w:pPr>
        <w:spacing w:after="0" w:line="126"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4.36 Development and License Agreement, dated March 31, 2002, between Virage Logic Corporation and the Registrant (incorporated by reference to exhibit 4.37 to the 2002 Form 20-F). (Portions of this exhibit have been omitted pursuant to a request for confidential treatment.)</w:t>
      </w:r>
    </w:p>
    <w:p>
      <w:pPr>
        <w:spacing w:after="0" w:line="141" w:lineRule="exact"/>
        <w:rPr>
          <w:sz w:val="20"/>
          <w:szCs w:val="20"/>
          <w:color w:val="auto"/>
        </w:rPr>
      </w:pPr>
    </w:p>
    <w:p>
      <w:pPr>
        <w:jc w:val="both"/>
        <w:ind w:right="5119" w:firstLine="351"/>
        <w:spacing w:after="0" w:line="236" w:lineRule="auto"/>
        <w:rPr>
          <w:sz w:val="20"/>
          <w:szCs w:val="20"/>
          <w:color w:val="auto"/>
        </w:rPr>
      </w:pPr>
      <w:r>
        <w:rPr>
          <w:rFonts w:ascii="Courier New" w:cs="Courier New" w:eastAsia="Courier New" w:hAnsi="Courier New"/>
          <w:sz w:val="12"/>
          <w:szCs w:val="12"/>
          <w:color w:val="auto"/>
        </w:rPr>
        <w:t>4.37 Master Services and License Agreement, dated June 2002, between Artisan Components, Inc. and the Registrant (incorporated by reference to exhibit 4.38 to the 2002 Form 20-F).</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4.38 Seventh Amendment to the Facility Agreement, dated November 11, 2003, (incorporated by reference to Exhibit 99.1 of the Registrant's Report on Form 6-K filed on December 17, 2003).</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4.39 Undertaking of the Registrant, dated November 11, 2003 (incorporated by reference to Exhibit 99.3 of the Registrant's Report on Form 6-K filed on December 17, 2003).</w:t>
      </w:r>
    </w:p>
    <w:p>
      <w:pPr>
        <w:spacing w:after="0" w:line="139"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4.40 Letter Agreement, dated November 11, 2003, by and among the Registrant, Israel Corporation Technologies, SanDisk Corporation, Alliance Semiconductor Corporation and Macronix International Co., Ltd. (incorporated by reference to Exhibit 99.4 of the Registrant's Report on Form 6-K filed on December 17, 2003).</w:t>
      </w:r>
    </w:p>
    <w:p>
      <w:pPr>
        <w:spacing w:after="0" w:line="139" w:lineRule="exact"/>
        <w:rPr>
          <w:sz w:val="20"/>
          <w:szCs w:val="20"/>
          <w:color w:val="auto"/>
        </w:rPr>
      </w:pPr>
    </w:p>
    <w:p>
      <w:pPr>
        <w:ind w:right="4619" w:firstLine="351"/>
        <w:spacing w:after="0" w:line="237" w:lineRule="auto"/>
        <w:rPr>
          <w:sz w:val="20"/>
          <w:szCs w:val="20"/>
          <w:color w:val="auto"/>
        </w:rPr>
      </w:pPr>
      <w:r>
        <w:rPr>
          <w:rFonts w:ascii="Courier New" w:cs="Courier New" w:eastAsia="Courier New" w:hAnsi="Courier New"/>
          <w:sz w:val="12"/>
          <w:szCs w:val="12"/>
          <w:color w:val="auto"/>
        </w:rPr>
        <w:t>4.41 Foundry Agreement, dated May 12, 2004, between the Registrant and Siliconix incorporated (incorporated by reference to exhibit 4.42 to the Registrant's Annual Report on Form 20-F for the year ended December 31, 2004 (the " 2004 Form 20-F)). (Portions of this exhibit have been omitted pursuant to a request for confidential treatment.)</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- 80 -</w:t>
      </w:r>
    </w:p>
    <w:p>
      <w:pPr>
        <w:spacing w:after="0" w:line="391" w:lineRule="exact"/>
        <w:rPr>
          <w:sz w:val="20"/>
          <w:szCs w:val="20"/>
          <w:color w:val="auto"/>
        </w:rPr>
      </w:pPr>
    </w:p>
    <w:p>
      <w:pPr>
        <w:ind w:right="5119" w:firstLine="351"/>
        <w:spacing w:after="0" w:line="236" w:lineRule="auto"/>
        <w:rPr>
          <w:sz w:val="20"/>
          <w:szCs w:val="20"/>
          <w:color w:val="auto"/>
        </w:rPr>
      </w:pPr>
      <w:r>
        <w:rPr>
          <w:rFonts w:ascii="Courier New" w:cs="Courier New" w:eastAsia="Courier New" w:hAnsi="Courier New"/>
          <w:sz w:val="12"/>
          <w:szCs w:val="12"/>
          <w:color w:val="auto"/>
        </w:rPr>
        <w:t>4.42 Share Purchase Agreement, dated December 8, 2004, between the Registrant and the Purchasers named therein (incorporated by reference to exhibit 4.43 to the 2004 Form 20-F).</w:t>
      </w:r>
    </w:p>
    <w:p>
      <w:pPr>
        <w:spacing w:after="0" w:line="139" w:lineRule="exact"/>
        <w:rPr>
          <w:sz w:val="20"/>
          <w:szCs w:val="20"/>
          <w:color w:val="auto"/>
        </w:rPr>
      </w:pPr>
    </w:p>
    <w:p>
      <w:pPr>
        <w:jc w:val="both"/>
        <w:ind w:right="4759" w:firstLine="351"/>
        <w:spacing w:after="0" w:line="236" w:lineRule="auto"/>
        <w:rPr>
          <w:sz w:val="20"/>
          <w:szCs w:val="20"/>
          <w:color w:val="auto"/>
        </w:rPr>
      </w:pPr>
      <w:r>
        <w:rPr>
          <w:rFonts w:ascii="Courier New" w:cs="Courier New" w:eastAsia="Courier New" w:hAnsi="Courier New"/>
          <w:sz w:val="12"/>
          <w:szCs w:val="12"/>
          <w:color w:val="auto"/>
        </w:rPr>
        <w:t>4.43 Agreement, dated December 31, 2004, by and among the Registrant and the Purchasers named therein (incorporated by reference to exhibit 4.44 to the 2004 Form 20-F).</w:t>
      </w:r>
    </w:p>
    <w:p>
      <w:pPr>
        <w:spacing w:after="0" w:line="139" w:lineRule="exact"/>
        <w:rPr>
          <w:sz w:val="20"/>
          <w:szCs w:val="20"/>
          <w:color w:val="auto"/>
        </w:rPr>
      </w:pPr>
    </w:p>
    <w:p>
      <w:pPr>
        <w:jc w:val="both"/>
        <w:ind w:right="4619" w:firstLine="351"/>
        <w:spacing w:after="0" w:line="236" w:lineRule="auto"/>
        <w:rPr>
          <w:sz w:val="20"/>
          <w:szCs w:val="20"/>
          <w:color w:val="auto"/>
        </w:rPr>
      </w:pPr>
      <w:r>
        <w:rPr>
          <w:rFonts w:ascii="Courier New" w:cs="Courier New" w:eastAsia="Courier New" w:hAnsi="Courier New"/>
          <w:sz w:val="12"/>
          <w:szCs w:val="12"/>
          <w:color w:val="auto"/>
        </w:rPr>
        <w:t>4.44 Employee Share Option Plan 2004 (incorporated by reference to Exhibit 4.3 to the Registrant's Registration Statement on Form S-8 No. 333-117565 ("Form S-8 No. 333-117565").</w:t>
      </w:r>
    </w:p>
    <w:p>
      <w:pPr>
        <w:spacing w:after="0" w:line="139" w:lineRule="exact"/>
        <w:rPr>
          <w:sz w:val="20"/>
          <w:szCs w:val="20"/>
          <w:color w:val="auto"/>
        </w:rPr>
      </w:pPr>
    </w:p>
    <w:p>
      <w:pPr>
        <w:ind w:right="4759" w:firstLine="351"/>
        <w:spacing w:after="0" w:line="235" w:lineRule="auto"/>
        <w:rPr>
          <w:sz w:val="20"/>
          <w:szCs w:val="20"/>
          <w:color w:val="auto"/>
        </w:rPr>
      </w:pPr>
      <w:r>
        <w:rPr>
          <w:rFonts w:ascii="Courier New" w:cs="Courier New" w:eastAsia="Courier New" w:hAnsi="Courier New"/>
          <w:sz w:val="12"/>
          <w:szCs w:val="12"/>
          <w:color w:val="auto"/>
        </w:rPr>
        <w:t>4.45 Form of Grant Letter to Israeli Employees (incorporated by reference to Exhibit 4.4 to Form S-8 No. 333-117565).</w:t>
      </w:r>
    </w:p>
    <w:p>
      <w:pPr>
        <w:sectPr>
          <w:pgSz w:w="11900" w:h="16838" w:orient="portrait"/>
          <w:cols w:equalWidth="0" w:num="1">
            <w:col w:w="10239"/>
          </w:cols>
          <w:pgMar w:left="220" w:top="141" w:right="1440" w:bottom="0" w:gutter="0" w:footer="0" w:header="0"/>
        </w:sectPr>
      </w:pPr>
    </w:p>
    <w:bookmarkStart w:id="45" w:name="page46"/>
    <w:bookmarkEnd w:id="45"/>
    <w:p>
      <w:pPr>
        <w:ind w:right="4899" w:firstLine="351"/>
        <w:spacing w:after="0" w:line="235" w:lineRule="auto"/>
        <w:rPr>
          <w:sz w:val="20"/>
          <w:szCs w:val="20"/>
          <w:color w:val="auto"/>
        </w:rPr>
      </w:pPr>
      <w:r>
        <w:rPr>
          <w:rFonts w:ascii="Courier New" w:cs="Courier New" w:eastAsia="Courier New" w:hAnsi="Courier New"/>
          <w:sz w:val="12"/>
          <w:szCs w:val="12"/>
          <w:color w:val="auto"/>
        </w:rPr>
        <w:t>4.46 Form of Grant Letter to US Employees (incorporated by reference to Exhibit 4.5 to Form S-8 No. 333-117565).</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4.47 Bank Warrants, dated August 2005, between the Registrant and Bank Hapoalim B.M. and Bank Leumi Le-Israel B.M (incorporated by reference to correspondingly-numbered exhibit to the Registrant's Annual Report on Form 20-F for the year ended December 31, 2005 (the "2005 Form 20-F").</w:t>
      </w:r>
    </w:p>
    <w:p>
      <w:pPr>
        <w:spacing w:after="0" w:line="141"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4.48 Ninth Amendment to the Facility Agreement, dated July 2005, dated July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24, 2005 (incorporated by reference to exhibit 4.5 to the Form F-1 No.</w:t>
      </w:r>
    </w:p>
    <w:p>
      <w:pPr>
        <w:spacing w:after="0"/>
        <w:rPr>
          <w:sz w:val="20"/>
          <w:szCs w:val="20"/>
          <w:color w:val="auto"/>
        </w:rPr>
      </w:pPr>
      <w:r>
        <w:rPr>
          <w:rFonts w:ascii="Courier New" w:cs="Courier New" w:eastAsia="Courier New" w:hAnsi="Courier New"/>
          <w:sz w:val="12"/>
          <w:szCs w:val="12"/>
          <w:color w:val="auto"/>
        </w:rPr>
        <w:t>333-126909 ("Form F-1 No. 333-126909").</w:t>
      </w:r>
    </w:p>
    <w:p>
      <w:pPr>
        <w:spacing w:after="0" w:line="138" w:lineRule="exact"/>
        <w:rPr>
          <w:sz w:val="20"/>
          <w:szCs w:val="20"/>
          <w:color w:val="auto"/>
        </w:rPr>
      </w:pPr>
    </w:p>
    <w:p>
      <w:pPr>
        <w:ind w:right="5119" w:firstLine="351"/>
        <w:spacing w:after="0" w:line="273" w:lineRule="auto"/>
        <w:rPr>
          <w:sz w:val="20"/>
          <w:szCs w:val="20"/>
          <w:color w:val="auto"/>
        </w:rPr>
      </w:pPr>
      <w:r>
        <w:rPr>
          <w:rFonts w:ascii="Courier New" w:cs="Courier New" w:eastAsia="Courier New" w:hAnsi="Courier New"/>
          <w:sz w:val="11"/>
          <w:szCs w:val="11"/>
          <w:color w:val="auto"/>
        </w:rPr>
        <w:t>4.49 Tenth Amendment to the Facility Agreement, dated September 2005 (incorporated by reference to Exhibit 4.4 to Form F-1 No. 333-126909).</w:t>
      </w:r>
    </w:p>
    <w:p>
      <w:pPr>
        <w:spacing w:after="0" w:line="122" w:lineRule="exact"/>
        <w:rPr>
          <w:sz w:val="20"/>
          <w:szCs w:val="20"/>
          <w:color w:val="auto"/>
        </w:rPr>
      </w:pPr>
    </w:p>
    <w:p>
      <w:pPr>
        <w:ind w:right="5039" w:firstLine="351"/>
        <w:spacing w:after="0" w:line="273" w:lineRule="auto"/>
        <w:rPr>
          <w:sz w:val="20"/>
          <w:szCs w:val="20"/>
          <w:color w:val="auto"/>
        </w:rPr>
      </w:pPr>
      <w:r>
        <w:rPr>
          <w:rFonts w:ascii="Courier New" w:cs="Courier New" w:eastAsia="Courier New" w:hAnsi="Courier New"/>
          <w:sz w:val="11"/>
          <w:szCs w:val="11"/>
          <w:color w:val="auto"/>
        </w:rPr>
        <w:t>4.50 Eleventh Amendment to the Facility Agreement, dated October 2005 (incorporated by reference to Exhibit 4.3 to Form F-1 No. 333-126909).</w:t>
      </w:r>
    </w:p>
    <w:p>
      <w:pPr>
        <w:spacing w:after="0" w:line="122" w:lineRule="exact"/>
        <w:rPr>
          <w:sz w:val="20"/>
          <w:szCs w:val="20"/>
          <w:color w:val="auto"/>
        </w:rPr>
      </w:pPr>
    </w:p>
    <w:p>
      <w:pPr>
        <w:ind w:right="5039" w:firstLine="351"/>
        <w:spacing w:after="0" w:line="273" w:lineRule="auto"/>
        <w:rPr>
          <w:sz w:val="20"/>
          <w:szCs w:val="20"/>
          <w:color w:val="auto"/>
        </w:rPr>
      </w:pPr>
      <w:r>
        <w:rPr>
          <w:rFonts w:ascii="Courier New" w:cs="Courier New" w:eastAsia="Courier New" w:hAnsi="Courier New"/>
          <w:sz w:val="11"/>
          <w:szCs w:val="11"/>
          <w:color w:val="auto"/>
        </w:rPr>
        <w:t>4.51 Twelfth Amendment to the Facility Agreement, dated November 2005 (incorporated by reference to Exhibit 4.6 to Form F-1 No. 333-126909).</w:t>
      </w:r>
    </w:p>
    <w:p>
      <w:pPr>
        <w:spacing w:after="0" w:line="117"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4.52 Thirteenth Amendment to the Facility Agreement, dated May 2006</w:t>
      </w:r>
    </w:p>
    <w:p>
      <w:pPr>
        <w:spacing w:after="0"/>
        <w:rPr>
          <w:sz w:val="20"/>
          <w:szCs w:val="20"/>
          <w:color w:val="auto"/>
        </w:rPr>
      </w:pPr>
      <w:r>
        <w:rPr>
          <w:rFonts w:ascii="Courier New" w:cs="Courier New" w:eastAsia="Courier New" w:hAnsi="Courier New"/>
          <w:sz w:val="12"/>
          <w:szCs w:val="12"/>
          <w:color w:val="auto"/>
        </w:rPr>
        <w:t>(incorporated by reference to correspondingly-numbered exhibit to the</w:t>
      </w:r>
    </w:p>
    <w:p>
      <w:pPr>
        <w:spacing w:after="0" w:line="237" w:lineRule="auto"/>
        <w:rPr>
          <w:sz w:val="20"/>
          <w:szCs w:val="20"/>
          <w:color w:val="auto"/>
        </w:rPr>
      </w:pPr>
      <w:r>
        <w:rPr>
          <w:rFonts w:ascii="Courier New" w:cs="Courier New" w:eastAsia="Courier New" w:hAnsi="Courier New"/>
          <w:sz w:val="12"/>
          <w:szCs w:val="12"/>
          <w:color w:val="auto"/>
        </w:rPr>
        <w:t>Registrant's Annual Report on Form 20-F for the year ended December 31,</w:t>
      </w:r>
    </w:p>
    <w:p>
      <w:pPr>
        <w:spacing w:after="0"/>
        <w:rPr>
          <w:sz w:val="20"/>
          <w:szCs w:val="20"/>
          <w:color w:val="auto"/>
        </w:rPr>
      </w:pPr>
      <w:r>
        <w:rPr>
          <w:rFonts w:ascii="Courier New" w:cs="Courier New" w:eastAsia="Courier New" w:hAnsi="Courier New"/>
          <w:sz w:val="12"/>
          <w:szCs w:val="12"/>
          <w:color w:val="auto"/>
        </w:rPr>
        <w:t>2006"2006 Form 20-F").</w:t>
      </w:r>
    </w:p>
    <w:p>
      <w:pPr>
        <w:spacing w:after="0" w:line="138"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4.53 Fourteenth Amendment to the Facility Agreement, dated May 2006 (incorporated by reference to correspondingly-numbered exhibit to the 2006 Form 20-F).</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4.54 Fifteenth Amendment to the Facility Agreement, dated June 2006 (incorporated by reference to correspondingly-numbered exhibit to the 2006 Form 20-F).</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4.55 Reserved.</w:t>
      </w:r>
    </w:p>
    <w:p>
      <w:pPr>
        <w:spacing w:after="0" w:line="139" w:lineRule="exact"/>
        <w:rPr>
          <w:sz w:val="20"/>
          <w:szCs w:val="20"/>
          <w:color w:val="auto"/>
        </w:rPr>
      </w:pPr>
    </w:p>
    <w:p>
      <w:pPr>
        <w:ind w:right="5119" w:firstLine="351"/>
        <w:spacing w:after="0" w:line="273" w:lineRule="auto"/>
        <w:rPr>
          <w:sz w:val="20"/>
          <w:szCs w:val="20"/>
          <w:color w:val="auto"/>
        </w:rPr>
      </w:pPr>
      <w:r>
        <w:rPr>
          <w:rFonts w:ascii="Courier New" w:cs="Courier New" w:eastAsia="Courier New" w:hAnsi="Courier New"/>
          <w:sz w:val="11"/>
          <w:szCs w:val="11"/>
          <w:color w:val="auto"/>
        </w:rPr>
        <w:t>4.56 Form of Rights Agent Agreement with Rights Certificate Attached (incorporated by reference to Exhibit 4.1 to Form F-1 No. 333-126909).</w:t>
      </w:r>
    </w:p>
    <w:p>
      <w:pPr>
        <w:spacing w:after="0" w:line="122"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4.57 Development and License Agreement, dated July 2005, between Impinj, Inc. and the Registrant (incorporated by reference to correspondingly-numbered exhibit to the 2005 Form 20-F). (Portions of this exhibit have been omitted pursuant to a request for confidential treatment.)</w:t>
      </w:r>
    </w:p>
    <w:p>
      <w:pPr>
        <w:spacing w:after="0" w:line="141" w:lineRule="exact"/>
        <w:rPr>
          <w:sz w:val="20"/>
          <w:szCs w:val="20"/>
          <w:color w:val="auto"/>
        </w:rPr>
      </w:pPr>
    </w:p>
    <w:p>
      <w:pPr>
        <w:ind w:right="4699" w:firstLine="351"/>
        <w:spacing w:after="0" w:line="264" w:lineRule="auto"/>
        <w:rPr>
          <w:sz w:val="20"/>
          <w:szCs w:val="20"/>
          <w:color w:val="auto"/>
        </w:rPr>
      </w:pPr>
      <w:r>
        <w:rPr>
          <w:rFonts w:ascii="Courier New" w:cs="Courier New" w:eastAsia="Courier New" w:hAnsi="Courier New"/>
          <w:sz w:val="11"/>
          <w:szCs w:val="11"/>
          <w:color w:val="auto"/>
        </w:rPr>
        <w:t>4.58 License and Design Agreement, dated January 10, 2003 between Chipidea Microelectronics S.A. and the Registrant (incorporated by reference to correspondingly-numbered exhibit to the 2005 Form 20-F). (Portions of this exhibit have been omitted pursuant to a request for confidential treatment.)</w:t>
      </w:r>
    </w:p>
    <w:p>
      <w:pPr>
        <w:spacing w:after="0" w:line="25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- 81 -</w:t>
      </w:r>
    </w:p>
    <w:p>
      <w:pPr>
        <w:spacing w:after="0" w:line="391" w:lineRule="exact"/>
        <w:rPr>
          <w:sz w:val="20"/>
          <w:szCs w:val="20"/>
          <w:color w:val="auto"/>
        </w:rPr>
      </w:pPr>
    </w:p>
    <w:p>
      <w:pPr>
        <w:ind w:right="4699" w:firstLine="351"/>
        <w:spacing w:after="0" w:line="237" w:lineRule="auto"/>
        <w:rPr>
          <w:sz w:val="20"/>
          <w:szCs w:val="20"/>
          <w:color w:val="auto"/>
        </w:rPr>
      </w:pPr>
      <w:r>
        <w:rPr>
          <w:rFonts w:ascii="Courier New" w:cs="Courier New" w:eastAsia="Courier New" w:hAnsi="Courier New"/>
          <w:sz w:val="12"/>
          <w:szCs w:val="12"/>
          <w:color w:val="auto"/>
        </w:rPr>
        <w:t>4.59 Amendment to Design Agreement of January 2003 between Chipidea Microelectronics S.A. and the Registrant, dated June 2005 (incorporated by reference to correspondingly-numbered exhibit to the 2005 Form 20-F). (Portions of this exhibit have been omitted pursuant to a request for confidential treatment.)</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4.60 License Agreement, dated April 29, 2004, between Synopsys, Inc. and the Registrant (incorporated by reference to correspondingly-numbered exhibit to the 2005 Form 20-F). (Portions of this exhibit have been omitted pursuant to a request for confidential treatment.)</w:t>
      </w:r>
    </w:p>
    <w:p>
      <w:pPr>
        <w:spacing w:after="0" w:line="141"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4.62 Employee Share Option Plan 2005 (incorporated by reference to 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4.3 of the 2006 Form S-8).</w:t>
      </w:r>
    </w:p>
    <w:p>
      <w:pPr>
        <w:spacing w:after="0" w:line="139" w:lineRule="exact"/>
        <w:rPr>
          <w:sz w:val="20"/>
          <w:szCs w:val="20"/>
          <w:color w:val="auto"/>
        </w:rPr>
      </w:pPr>
    </w:p>
    <w:p>
      <w:pPr>
        <w:ind w:right="4759" w:firstLine="351"/>
        <w:spacing w:after="0" w:line="235" w:lineRule="auto"/>
        <w:rPr>
          <w:sz w:val="20"/>
          <w:szCs w:val="20"/>
          <w:color w:val="auto"/>
        </w:rPr>
      </w:pPr>
      <w:r>
        <w:rPr>
          <w:rFonts w:ascii="Courier New" w:cs="Courier New" w:eastAsia="Courier New" w:hAnsi="Courier New"/>
          <w:sz w:val="12"/>
          <w:szCs w:val="12"/>
          <w:color w:val="auto"/>
        </w:rPr>
        <w:t>4.63 Form of Grant Letter to Israeli Employees (incorporated by reference to Exhibit 4.4 of the 2006 Form S-8).</w:t>
      </w:r>
    </w:p>
    <w:p>
      <w:pPr>
        <w:spacing w:after="0" w:line="139" w:lineRule="exact"/>
        <w:rPr>
          <w:sz w:val="20"/>
          <w:szCs w:val="20"/>
          <w:color w:val="auto"/>
        </w:rPr>
      </w:pPr>
    </w:p>
    <w:p>
      <w:pPr>
        <w:ind w:right="4899" w:firstLine="351"/>
        <w:spacing w:after="0" w:line="235" w:lineRule="auto"/>
        <w:rPr>
          <w:sz w:val="20"/>
          <w:szCs w:val="20"/>
          <w:color w:val="auto"/>
        </w:rPr>
      </w:pPr>
      <w:r>
        <w:rPr>
          <w:rFonts w:ascii="Courier New" w:cs="Courier New" w:eastAsia="Courier New" w:hAnsi="Courier New"/>
          <w:sz w:val="12"/>
          <w:szCs w:val="12"/>
          <w:color w:val="auto"/>
        </w:rPr>
        <w:t>4.64 Form of Grant Letter to US Employees (incorporated by reference to Exhibit 4.5 of the 2006 Form S-8).</w:t>
      </w:r>
    </w:p>
    <w:p>
      <w:pPr>
        <w:spacing w:after="0" w:line="139" w:lineRule="exact"/>
        <w:rPr>
          <w:sz w:val="20"/>
          <w:szCs w:val="20"/>
          <w:color w:val="auto"/>
        </w:rPr>
      </w:pPr>
    </w:p>
    <w:p>
      <w:pPr>
        <w:ind w:right="4759" w:firstLine="351"/>
        <w:spacing w:after="0" w:line="235" w:lineRule="auto"/>
        <w:rPr>
          <w:sz w:val="20"/>
          <w:szCs w:val="20"/>
          <w:color w:val="auto"/>
        </w:rPr>
      </w:pPr>
      <w:r>
        <w:rPr>
          <w:rFonts w:ascii="Courier New" w:cs="Courier New" w:eastAsia="Courier New" w:hAnsi="Courier New"/>
          <w:sz w:val="12"/>
          <w:szCs w:val="12"/>
          <w:color w:val="auto"/>
        </w:rPr>
        <w:t>4.65 CEO Share Option Plan 2005 (incorporated by reference to Exhibit 4.6 of the 2006 Form S-8).</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4.66 Option Grant Letter Agreement - CEO Share Option Plan 2005 from the Registrant to Russell Ellwanger, dated July 15, 2005 (incorporated by reference to Exhibit 4.7 of the 2006 Form S-8).</w:t>
      </w:r>
    </w:p>
    <w:p>
      <w:pPr>
        <w:spacing w:after="0" w:line="139" w:lineRule="exact"/>
        <w:rPr>
          <w:sz w:val="20"/>
          <w:szCs w:val="20"/>
          <w:color w:val="auto"/>
        </w:rPr>
      </w:pPr>
    </w:p>
    <w:p>
      <w:pPr>
        <w:ind w:right="4839" w:firstLine="351"/>
        <w:spacing w:after="0" w:line="236" w:lineRule="auto"/>
        <w:rPr>
          <w:sz w:val="20"/>
          <w:szCs w:val="20"/>
          <w:color w:val="auto"/>
        </w:rPr>
      </w:pPr>
      <w:r>
        <w:rPr>
          <w:rFonts w:ascii="Courier New" w:cs="Courier New" w:eastAsia="Courier New" w:hAnsi="Courier New"/>
          <w:sz w:val="12"/>
          <w:szCs w:val="12"/>
          <w:color w:val="auto"/>
        </w:rPr>
        <w:t>4.67 Option Grant Letter Agreement - CEO Share Option Plan 2005 from the Registrant to Russell Ellwanger, dated September 28, 2006 (incorporated by reference to Exhibit 4.8 of the 2006 Form S-8).</w:t>
      </w:r>
    </w:p>
    <w:p>
      <w:pPr>
        <w:spacing w:after="0" w:line="139" w:lineRule="exact"/>
        <w:rPr>
          <w:sz w:val="20"/>
          <w:szCs w:val="20"/>
          <w:color w:val="auto"/>
        </w:rPr>
      </w:pPr>
    </w:p>
    <w:p>
      <w:pPr>
        <w:jc w:val="both"/>
        <w:ind w:right="4699" w:firstLine="351"/>
        <w:spacing w:after="0" w:line="236" w:lineRule="auto"/>
        <w:rPr>
          <w:sz w:val="20"/>
          <w:szCs w:val="20"/>
          <w:color w:val="auto"/>
        </w:rPr>
      </w:pPr>
      <w:r>
        <w:rPr>
          <w:rFonts w:ascii="Courier New" w:cs="Courier New" w:eastAsia="Courier New" w:hAnsi="Courier New"/>
          <w:sz w:val="12"/>
          <w:szCs w:val="12"/>
          <w:color w:val="auto"/>
        </w:rPr>
        <w:t>4.68 Option Grant Letter Agreement - CEO Share Option Plan 2005 from Tower Semiconductor USA, Inc. to Russell Ellwanger, dated July 15, 2005 (incorporated by reference to Exhibit 4.9 of the 2006 Form S-8).</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4.69 Equity Convertible Capital Note, dated September 28, 2006, issued to Israel Corporation Ltd. (incorporated by reference to Exhibit 99.4 of the Form 6-K for the month of November 2006 No. 6 filed on November 7, 2006 (the "November 2006 Form 6-K")).</w:t>
      </w:r>
    </w:p>
    <w:p>
      <w:pPr>
        <w:spacing w:after="0" w:line="141"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4.70 Registration Rights Agreement, dated September 28, 2006, with Israel Corporation Ltd. (incorporated by reference to Exhibit 99.5 of the November 2006 Form 6-K).</w:t>
      </w:r>
    </w:p>
    <w:p>
      <w:pPr>
        <w:spacing w:after="0" w:line="139" w:lineRule="exact"/>
        <w:rPr>
          <w:sz w:val="20"/>
          <w:szCs w:val="20"/>
          <w:color w:val="auto"/>
        </w:rPr>
      </w:pPr>
    </w:p>
    <w:p>
      <w:pPr>
        <w:jc w:val="both"/>
        <w:ind w:right="4619" w:firstLine="351"/>
        <w:spacing w:after="0" w:line="236" w:lineRule="auto"/>
        <w:rPr>
          <w:sz w:val="20"/>
          <w:szCs w:val="20"/>
          <w:color w:val="auto"/>
        </w:rPr>
      </w:pPr>
      <w:r>
        <w:rPr>
          <w:rFonts w:ascii="Courier New" w:cs="Courier New" w:eastAsia="Courier New" w:hAnsi="Courier New"/>
          <w:sz w:val="12"/>
          <w:szCs w:val="12"/>
          <w:color w:val="auto"/>
        </w:rPr>
        <w:t>4.71 Amending Agreement, dated August 24, 2006, with Bank Hapoalim B.M. and Bank Leumi Le-Israel B.M., to the Facility Agreement (incorporated by reference to Exhibit 99.6 of the November 2006 Form 6-K).</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4.72 Facility Agreement, as amended and restated by the parties through August 24, 2006 (incorporated by reference to Exhibit 99.7 of the November 2006 Form 6-K).</w:t>
      </w:r>
    </w:p>
    <w:p>
      <w:pPr>
        <w:spacing w:after="0" w:line="139" w:lineRule="exact"/>
        <w:rPr>
          <w:sz w:val="20"/>
          <w:szCs w:val="20"/>
          <w:color w:val="auto"/>
        </w:rPr>
      </w:pPr>
    </w:p>
    <w:p>
      <w:pPr>
        <w:ind w:right="4699" w:firstLine="351"/>
        <w:spacing w:after="0" w:line="273" w:lineRule="auto"/>
        <w:rPr>
          <w:sz w:val="20"/>
          <w:szCs w:val="20"/>
          <w:color w:val="auto"/>
        </w:rPr>
      </w:pPr>
      <w:r>
        <w:rPr>
          <w:rFonts w:ascii="Courier New" w:cs="Courier New" w:eastAsia="Courier New" w:hAnsi="Courier New"/>
          <w:sz w:val="11"/>
          <w:szCs w:val="11"/>
          <w:color w:val="auto"/>
        </w:rPr>
        <w:t>4.73 Conversion Agreement, dated September 28, 2006, with Bank Hapoalim B.M. (incorporated by reference to Exhibit 99.8 of the November 2006 Form 6-K).</w:t>
      </w:r>
    </w:p>
    <w:p>
      <w:pPr>
        <w:spacing w:after="0" w:line="25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- 82 -</w:t>
      </w:r>
    </w:p>
    <w:p>
      <w:pPr>
        <w:spacing w:after="0" w:line="391"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4.74 Conversion Agreement, dated September 28, 2006, with Bank Leumi Le-Israel B.M. (incorporated by reference to Exhibit 99.9 of the November 2006 Form 6-K).</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4.75 Registration Rights Agreement, dated September 28, 2006, with Bank Hapoalim B.M. (incorporated by reference to Exhibit 99.10 of the November 2006 Form 6-K).</w:t>
      </w:r>
    </w:p>
    <w:p>
      <w:pPr>
        <w:sectPr>
          <w:pgSz w:w="11900" w:h="16838" w:orient="portrait"/>
          <w:cols w:equalWidth="0" w:num="1">
            <w:col w:w="10239"/>
          </w:cols>
          <w:pgMar w:left="220" w:top="276" w:right="1440" w:bottom="0" w:gutter="0" w:footer="0" w:header="0"/>
        </w:sectPr>
      </w:pPr>
    </w:p>
    <w:bookmarkStart w:id="46" w:name="page47"/>
    <w:bookmarkEnd w:id="46"/>
    <w:p>
      <w:pPr>
        <w:ind w:right="4619" w:firstLine="351"/>
        <w:spacing w:after="0" w:line="236" w:lineRule="auto"/>
        <w:rPr>
          <w:sz w:val="20"/>
          <w:szCs w:val="20"/>
          <w:color w:val="auto"/>
        </w:rPr>
      </w:pPr>
      <w:r>
        <w:rPr>
          <w:rFonts w:ascii="Courier New" w:cs="Courier New" w:eastAsia="Courier New" w:hAnsi="Courier New"/>
          <w:sz w:val="12"/>
          <w:szCs w:val="12"/>
          <w:color w:val="auto"/>
        </w:rPr>
        <w:t>4.76 Registration Rights Agreement, dated September 28, 2006, with Bank Leumi Le-Israel B.M. (incorporated by reference to Exhibit 99.11 of the November 2006 Form 6-K).</w:t>
      </w:r>
    </w:p>
    <w:p>
      <w:pPr>
        <w:spacing w:after="0" w:line="139" w:lineRule="exact"/>
        <w:rPr>
          <w:sz w:val="20"/>
          <w:szCs w:val="20"/>
          <w:color w:val="auto"/>
        </w:rPr>
      </w:pPr>
    </w:p>
    <w:p>
      <w:pPr>
        <w:jc w:val="both"/>
        <w:ind w:right="4759" w:firstLine="351"/>
        <w:spacing w:after="0" w:line="236" w:lineRule="auto"/>
        <w:rPr>
          <w:sz w:val="20"/>
          <w:szCs w:val="20"/>
          <w:color w:val="auto"/>
        </w:rPr>
      </w:pPr>
      <w:r>
        <w:rPr>
          <w:rFonts w:ascii="Courier New" w:cs="Courier New" w:eastAsia="Courier New" w:hAnsi="Courier New"/>
          <w:sz w:val="12"/>
          <w:szCs w:val="12"/>
          <w:color w:val="auto"/>
        </w:rPr>
        <w:t>4.77 Equity Convertible Capital Note, dated September 28, 2006, issued to Bank Hapoalim B.M. (incorporated by reference to Exhibit 99.12 of the November 2006 Form 6-K).</w:t>
      </w:r>
    </w:p>
    <w:p>
      <w:pPr>
        <w:spacing w:after="0" w:line="139" w:lineRule="exact"/>
        <w:rPr>
          <w:sz w:val="20"/>
          <w:szCs w:val="20"/>
          <w:color w:val="auto"/>
        </w:rPr>
      </w:pPr>
    </w:p>
    <w:p>
      <w:pPr>
        <w:ind w:right="4759" w:firstLine="351"/>
        <w:spacing w:after="0" w:line="236" w:lineRule="auto"/>
        <w:rPr>
          <w:sz w:val="20"/>
          <w:szCs w:val="20"/>
          <w:color w:val="auto"/>
        </w:rPr>
      </w:pPr>
      <w:r>
        <w:rPr>
          <w:rFonts w:ascii="Courier New" w:cs="Courier New" w:eastAsia="Courier New" w:hAnsi="Courier New"/>
          <w:sz w:val="12"/>
          <w:szCs w:val="12"/>
          <w:color w:val="auto"/>
        </w:rPr>
        <w:t>4.78 Equity Convertible Capital Note, dated September 28, 2006, issued to Bank Leumi Le-Israel B.M. (incorporated by reference to Exhibit 99.13 of the November 2006 Form 6-K).</w:t>
      </w:r>
    </w:p>
    <w:p>
      <w:pPr>
        <w:spacing w:after="0" w:line="139" w:lineRule="exact"/>
        <w:rPr>
          <w:sz w:val="20"/>
          <w:szCs w:val="20"/>
          <w:color w:val="auto"/>
        </w:rPr>
      </w:pPr>
    </w:p>
    <w:p>
      <w:pPr>
        <w:ind w:right="4619" w:firstLine="351"/>
        <w:spacing w:after="0" w:line="236" w:lineRule="auto"/>
        <w:rPr>
          <w:sz w:val="20"/>
          <w:szCs w:val="20"/>
          <w:color w:val="auto"/>
        </w:rPr>
      </w:pPr>
      <w:r>
        <w:rPr>
          <w:rFonts w:ascii="Courier New" w:cs="Courier New" w:eastAsia="Courier New" w:hAnsi="Courier New"/>
          <w:sz w:val="12"/>
          <w:szCs w:val="12"/>
          <w:color w:val="auto"/>
        </w:rPr>
        <w:t>4.79 Form of Securities Purchase Agreement (incorporated by reference to Exhibit 99.2 of the Form 6-K for the month of March 2007 No.1 filed on March 15, 2007 (the "March 2007 Form 6-K")).</w:t>
      </w:r>
    </w:p>
    <w:p>
      <w:pPr>
        <w:spacing w:after="0" w:line="139" w:lineRule="exact"/>
        <w:rPr>
          <w:sz w:val="20"/>
          <w:szCs w:val="20"/>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4.80 Form of Registration Rights Agreement (incorporated by reference to Exhibit 99.4 of the March 2007 Form 6-K).</w:t>
      </w:r>
    </w:p>
    <w:p>
      <w:pPr>
        <w:spacing w:after="0" w:line="139" w:lineRule="exact"/>
        <w:rPr>
          <w:sz w:val="20"/>
          <w:szCs w:val="20"/>
          <w:color w:val="auto"/>
        </w:rPr>
      </w:pPr>
    </w:p>
    <w:p>
      <w:pPr>
        <w:ind w:right="4699" w:firstLine="351"/>
        <w:spacing w:after="0" w:line="236" w:lineRule="auto"/>
        <w:rPr>
          <w:sz w:val="20"/>
          <w:szCs w:val="20"/>
          <w:color w:val="auto"/>
        </w:rPr>
      </w:pPr>
      <w:r>
        <w:rPr>
          <w:rFonts w:ascii="Courier New" w:cs="Courier New" w:eastAsia="Courier New" w:hAnsi="Courier New"/>
          <w:sz w:val="12"/>
          <w:szCs w:val="12"/>
          <w:color w:val="auto"/>
        </w:rPr>
        <w:t>4.81 Loan Agreement, dated August 2006, between the Registrant and SanDisk Corporation (incorporated by reference to correspondingly-numbered exhibit to the 2006 Form 20-F).</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4.82 Credit Line Agreement, dated September 10, 2007, between the</w:t>
      </w:r>
    </w:p>
    <w:p>
      <w:pPr>
        <w:spacing w:after="0"/>
        <w:rPr>
          <w:sz w:val="20"/>
          <w:szCs w:val="20"/>
          <w:color w:val="auto"/>
        </w:rPr>
      </w:pPr>
      <w:r>
        <w:rPr>
          <w:rFonts w:ascii="Courier New" w:cs="Courier New" w:eastAsia="Courier New" w:hAnsi="Courier New"/>
          <w:sz w:val="12"/>
          <w:szCs w:val="12"/>
          <w:color w:val="auto"/>
        </w:rPr>
        <w:t>Registrant and Bank Hapoalim, B.M.</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4.83 Credit Line Agreement, dated September 10, 2007, between the</w:t>
      </w:r>
    </w:p>
    <w:p>
      <w:pPr>
        <w:spacing w:after="0"/>
        <w:rPr>
          <w:sz w:val="20"/>
          <w:szCs w:val="20"/>
          <w:color w:val="auto"/>
        </w:rPr>
      </w:pPr>
      <w:r>
        <w:rPr>
          <w:rFonts w:ascii="Courier New" w:cs="Courier New" w:eastAsia="Courier New" w:hAnsi="Courier New"/>
          <w:sz w:val="12"/>
          <w:szCs w:val="12"/>
          <w:color w:val="auto"/>
        </w:rPr>
        <w:t>Registrant and Bank Leuim Le-Israel , B.M.</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4.84 Credit Line Agreement, dated September 10, 2007, between the</w:t>
      </w:r>
    </w:p>
    <w:p>
      <w:pPr>
        <w:spacing w:after="0"/>
        <w:rPr>
          <w:sz w:val="20"/>
          <w:szCs w:val="20"/>
          <w:color w:val="auto"/>
        </w:rPr>
      </w:pPr>
      <w:r>
        <w:rPr>
          <w:rFonts w:ascii="Courier New" w:cs="Courier New" w:eastAsia="Courier New" w:hAnsi="Courier New"/>
          <w:sz w:val="12"/>
          <w:szCs w:val="12"/>
          <w:color w:val="auto"/>
        </w:rPr>
        <w:t>Registrant and the Israel Corporation Ltd.</w:t>
      </w:r>
    </w:p>
    <w:p>
      <w:pPr>
        <w:spacing w:after="0" w:line="138" w:lineRule="exact"/>
        <w:rPr>
          <w:sz w:val="20"/>
          <w:szCs w:val="20"/>
          <w:color w:val="auto"/>
        </w:rPr>
      </w:pPr>
    </w:p>
    <w:p>
      <w:pPr>
        <w:ind w:right="4979" w:firstLine="351"/>
        <w:spacing w:after="0" w:line="235" w:lineRule="auto"/>
        <w:rPr>
          <w:sz w:val="20"/>
          <w:szCs w:val="20"/>
          <w:color w:val="auto"/>
        </w:rPr>
      </w:pPr>
      <w:r>
        <w:rPr>
          <w:rFonts w:ascii="Courier New" w:cs="Courier New" w:eastAsia="Courier New" w:hAnsi="Courier New"/>
          <w:sz w:val="12"/>
          <w:szCs w:val="12"/>
          <w:color w:val="auto"/>
        </w:rPr>
        <w:t>4.85 Amendment No. 1 to amended and restated Facility Agreement, dated September 10, 2007.</w:t>
      </w:r>
    </w:p>
    <w:p>
      <w:pPr>
        <w:spacing w:after="0" w:line="139" w:lineRule="exact"/>
        <w:rPr>
          <w:sz w:val="20"/>
          <w:szCs w:val="20"/>
          <w:color w:val="auto"/>
        </w:rPr>
      </w:pPr>
    </w:p>
    <w:p>
      <w:pPr>
        <w:ind w:right="4699" w:firstLine="351"/>
        <w:spacing w:after="0" w:line="266" w:lineRule="auto"/>
        <w:rPr>
          <w:sz w:val="20"/>
          <w:szCs w:val="20"/>
          <w:color w:val="auto"/>
        </w:rPr>
      </w:pPr>
      <w:r>
        <w:rPr>
          <w:rFonts w:ascii="Courier New" w:cs="Courier New" w:eastAsia="Courier New" w:hAnsi="Courier New"/>
          <w:sz w:val="11"/>
          <w:szCs w:val="11"/>
          <w:color w:val="auto"/>
        </w:rPr>
        <w:t>4.86 Agreement and Plan of Merger and Reorganization, dated May 19, 2008, between the Registrant, Jazz Technologies, Inc. and Armstrong Acquisition Corp. (incorporated by reference to Exhibit 2.1 of the May 20, 2008 Form 6-K)</w:t>
      </w:r>
    </w:p>
    <w:p>
      <w:pPr>
        <w:spacing w:after="0" w:line="126" w:lineRule="exact"/>
        <w:rPr>
          <w:sz w:val="20"/>
          <w:szCs w:val="20"/>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12.1 Certification by Chief Executive Officer pursuant to Section 302 of the Sarbanes-Oxley Act of 2002.</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12.2 Certification by Acting Chief Financial Officer pursuant to Section</w:t>
      </w:r>
    </w:p>
    <w:p>
      <w:pPr>
        <w:spacing w:after="0"/>
        <w:rPr>
          <w:sz w:val="20"/>
          <w:szCs w:val="20"/>
          <w:color w:val="auto"/>
        </w:rPr>
      </w:pPr>
      <w:r>
        <w:rPr>
          <w:rFonts w:ascii="Courier New" w:cs="Courier New" w:eastAsia="Courier New" w:hAnsi="Courier New"/>
          <w:sz w:val="12"/>
          <w:szCs w:val="12"/>
          <w:color w:val="auto"/>
        </w:rPr>
        <w:t>302 of the Sarbanes-Oxley Act of 2002.</w:t>
      </w:r>
    </w:p>
    <w:p>
      <w:pPr>
        <w:spacing w:after="0" w:line="138" w:lineRule="exact"/>
        <w:rPr>
          <w:sz w:val="20"/>
          <w:szCs w:val="20"/>
          <w:color w:val="auto"/>
        </w:rPr>
      </w:pPr>
    </w:p>
    <w:p>
      <w:pPr>
        <w:ind w:right="4839" w:firstLine="351"/>
        <w:spacing w:after="0" w:line="235" w:lineRule="auto"/>
        <w:rPr>
          <w:sz w:val="20"/>
          <w:szCs w:val="20"/>
          <w:color w:val="auto"/>
        </w:rPr>
      </w:pPr>
      <w:r>
        <w:rPr>
          <w:rFonts w:ascii="Courier New" w:cs="Courier New" w:eastAsia="Courier New" w:hAnsi="Courier New"/>
          <w:sz w:val="12"/>
          <w:szCs w:val="12"/>
          <w:color w:val="auto"/>
        </w:rPr>
        <w:t>13.1 Certification by Chief Executive Officer pursuant to Section 906 of the Sarbanes-Oxley Act of 2002.</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13.2 Certification by Acting Chief Financial Officer pursuant to Section</w:t>
      </w:r>
    </w:p>
    <w:p>
      <w:pPr>
        <w:spacing w:after="0"/>
        <w:rPr>
          <w:sz w:val="20"/>
          <w:szCs w:val="20"/>
          <w:color w:val="auto"/>
        </w:rPr>
      </w:pPr>
      <w:r>
        <w:rPr>
          <w:rFonts w:ascii="Courier New" w:cs="Courier New" w:eastAsia="Courier New" w:hAnsi="Courier New"/>
          <w:sz w:val="12"/>
          <w:szCs w:val="12"/>
          <w:color w:val="auto"/>
        </w:rPr>
        <w:t>906 of the Sarbanes-Oxley Act of 2002.</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14.1 Consent of Brightman Almagor &amp; Co.</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- 83 -</w:t>
      </w:r>
    </w:p>
    <w:p>
      <w:pPr>
        <w:spacing w:after="0" w:line="386"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2"/>
          <w:szCs w:val="12"/>
          <w:color w:val="auto"/>
        </w:rPr>
        <w:t>SIGNATURES</w:t>
      </w:r>
    </w:p>
    <w:p>
      <w:pPr>
        <w:spacing w:after="0" w:line="139" w:lineRule="exact"/>
        <w:rPr>
          <w:sz w:val="20"/>
          <w:szCs w:val="20"/>
          <w:color w:val="auto"/>
        </w:rPr>
      </w:pPr>
    </w:p>
    <w:p>
      <w:pPr>
        <w:ind w:right="4699" w:firstLine="351"/>
        <w:spacing w:after="0" w:line="264" w:lineRule="auto"/>
        <w:rPr>
          <w:sz w:val="20"/>
          <w:szCs w:val="20"/>
          <w:color w:val="auto"/>
        </w:rPr>
      </w:pPr>
      <w:r>
        <w:rPr>
          <w:rFonts w:ascii="Courier New" w:cs="Courier New" w:eastAsia="Courier New" w:hAnsi="Courier New"/>
          <w:sz w:val="11"/>
          <w:szCs w:val="11"/>
          <w:color w:val="auto"/>
        </w:rPr>
        <w:t>Pursuant to the requirements of Section 12 of the Securities Exchange Act of 1934, the registrant certifies that it meets all the requirements for filing on Form 20-F and has duly caused this Annual Report to be signed on its behalf by the undersigned, thereunto duly authorized on this 18th day of June, 2008.</w:t>
      </w:r>
    </w:p>
    <w:p>
      <w:pPr>
        <w:spacing w:after="0" w:line="258" w:lineRule="exact"/>
        <w:rPr>
          <w:sz w:val="20"/>
          <w:szCs w:val="20"/>
          <w:color w:val="auto"/>
        </w:rPr>
      </w:pPr>
    </w:p>
    <w:p>
      <w:pPr>
        <w:ind w:left="3640"/>
        <w:spacing w:after="0"/>
        <w:rPr>
          <w:sz w:val="20"/>
          <w:szCs w:val="20"/>
          <w:color w:val="auto"/>
        </w:rPr>
      </w:pPr>
      <w:r>
        <w:rPr>
          <w:rFonts w:ascii="Courier New" w:cs="Courier New" w:eastAsia="Courier New" w:hAnsi="Courier New"/>
          <w:sz w:val="12"/>
          <w:szCs w:val="12"/>
          <w:color w:val="auto"/>
        </w:rPr>
        <w:t>TOWER SEMICONDUCTOR LTD.</w:t>
      </w:r>
    </w:p>
    <w:p>
      <w:pPr>
        <w:spacing w:after="0" w:line="269"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By: /s/ Russell C. Ellwanger</w:t>
      </w:r>
    </w:p>
    <w:tbl>
      <w:tblPr>
        <w:tblLayout w:type="fixed"/>
        <w:tblInd w:w="0" w:type="dxa"/>
        <w:tblCellMar>
          <w:top w:w="0" w:type="dxa"/>
          <w:left w:w="0" w:type="dxa"/>
          <w:bottom w:w="0" w:type="dxa"/>
          <w:right w:w="0" w:type="dxa"/>
        </w:tblCellMar>
      </w:tblPr>
      <w:tr>
        <w:trPr>
          <w:trHeight w:val="135"/>
        </w:trPr>
        <w:tc>
          <w:tcPr>
            <w:tcW w:w="5620" w:type="dxa"/>
            <w:vAlign w:val="bottom"/>
            <w:gridSpan w:val="2"/>
          </w:tcPr>
          <w:p>
            <w:pPr>
              <w:ind w:left="3640"/>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5620" w:type="dxa"/>
            <w:vAlign w:val="bottom"/>
            <w:gridSpan w:val="2"/>
          </w:tcPr>
          <w:p>
            <w:pPr>
              <w:ind w:left="3640"/>
              <w:spacing w:after="0"/>
              <w:rPr>
                <w:sz w:val="20"/>
                <w:szCs w:val="20"/>
                <w:color w:val="auto"/>
              </w:rPr>
            </w:pPr>
            <w:r>
              <w:rPr>
                <w:rFonts w:ascii="Courier New" w:cs="Courier New" w:eastAsia="Courier New" w:hAnsi="Courier New"/>
                <w:sz w:val="12"/>
                <w:szCs w:val="12"/>
                <w:color w:val="auto"/>
              </w:rPr>
              <w:t>Russell C. Ellwanger</w:t>
            </w:r>
          </w:p>
        </w:tc>
      </w:tr>
      <w:tr>
        <w:trPr>
          <w:trHeight w:val="135"/>
        </w:trPr>
        <w:tc>
          <w:tcPr>
            <w:tcW w:w="562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Chief Executive Officer</w:t>
            </w:r>
          </w:p>
        </w:tc>
      </w:tr>
      <w:tr>
        <w:trPr>
          <w:trHeight w:val="405"/>
        </w:trPr>
        <w:tc>
          <w:tcPr>
            <w:tcW w:w="4560" w:type="dxa"/>
            <w:vAlign w:val="bottom"/>
          </w:tcPr>
          <w:p>
            <w:pPr>
              <w:jc w:val="center"/>
              <w:ind w:left="1001"/>
              <w:spacing w:after="0"/>
              <w:rPr>
                <w:sz w:val="20"/>
                <w:szCs w:val="20"/>
                <w:color w:val="auto"/>
              </w:rPr>
            </w:pPr>
            <w:r>
              <w:rPr>
                <w:rFonts w:ascii="Courier New" w:cs="Courier New" w:eastAsia="Courier New" w:hAnsi="Courier New"/>
                <w:sz w:val="12"/>
                <w:szCs w:val="12"/>
                <w:color w:val="auto"/>
                <w:w w:val="97"/>
              </w:rPr>
              <w:t>- 84 -</w:t>
            </w:r>
          </w:p>
        </w:tc>
        <w:tc>
          <w:tcPr>
            <w:tcW w:w="1060" w:type="dxa"/>
            <w:vAlign w:val="bottom"/>
          </w:tcPr>
          <w:p>
            <w:pPr>
              <w:spacing w:after="0"/>
              <w:rPr>
                <w:sz w:val="24"/>
                <w:szCs w:val="24"/>
                <w:color w:val="auto"/>
              </w:rPr>
            </w:pPr>
          </w:p>
        </w:tc>
      </w:tr>
      <w:tr>
        <w:trPr>
          <w:trHeight w:val="522"/>
        </w:trPr>
        <w:tc>
          <w:tcPr>
            <w:tcW w:w="4560" w:type="dxa"/>
            <w:vAlign w:val="bottom"/>
          </w:tcPr>
          <w:p>
            <w:pPr>
              <w:jc w:val="center"/>
              <w:ind w:left="981"/>
              <w:spacing w:after="0"/>
              <w:rPr>
                <w:sz w:val="20"/>
                <w:szCs w:val="20"/>
                <w:color w:val="auto"/>
              </w:rPr>
            </w:pPr>
            <w:r>
              <w:rPr>
                <w:rFonts w:ascii="Courier New" w:cs="Courier New" w:eastAsia="Courier New" w:hAnsi="Courier New"/>
                <w:sz w:val="12"/>
                <w:szCs w:val="12"/>
                <w:color w:val="auto"/>
                <w:w w:val="97"/>
              </w:rPr>
              <w:t>TOWER SEMICONDUCTOR LTD.</w:t>
            </w:r>
          </w:p>
        </w:tc>
        <w:tc>
          <w:tcPr>
            <w:tcW w:w="1060" w:type="dxa"/>
            <w:vAlign w:val="bottom"/>
          </w:tcPr>
          <w:p>
            <w:pPr>
              <w:spacing w:after="0"/>
              <w:rPr>
                <w:sz w:val="24"/>
                <w:szCs w:val="24"/>
                <w:color w:val="auto"/>
              </w:rPr>
            </w:pPr>
          </w:p>
        </w:tc>
      </w:tr>
      <w:tr>
        <w:trPr>
          <w:trHeight w:val="135"/>
        </w:trPr>
        <w:tc>
          <w:tcPr>
            <w:tcW w:w="4560" w:type="dxa"/>
            <w:vAlign w:val="bottom"/>
          </w:tcPr>
          <w:p>
            <w:pPr>
              <w:jc w:val="center"/>
              <w:ind w:left="1001"/>
              <w:spacing w:after="0"/>
              <w:rPr>
                <w:sz w:val="20"/>
                <w:szCs w:val="20"/>
                <w:color w:val="auto"/>
              </w:rPr>
            </w:pPr>
            <w:r>
              <w:rPr>
                <w:rFonts w:ascii="Courier New" w:cs="Courier New" w:eastAsia="Courier New" w:hAnsi="Courier New"/>
                <w:sz w:val="12"/>
                <w:szCs w:val="12"/>
                <w:color w:val="auto"/>
                <w:w w:val="97"/>
              </w:rPr>
              <w:t>AND SUBSIDIARY</w:t>
            </w:r>
          </w:p>
        </w:tc>
        <w:tc>
          <w:tcPr>
            <w:tcW w:w="1060" w:type="dxa"/>
            <w:vAlign w:val="bottom"/>
          </w:tcPr>
          <w:p>
            <w:pPr>
              <w:spacing w:after="0"/>
              <w:rPr>
                <w:sz w:val="11"/>
                <w:szCs w:val="11"/>
                <w:color w:val="auto"/>
              </w:rPr>
            </w:pPr>
          </w:p>
        </w:tc>
      </w:tr>
      <w:tr>
        <w:trPr>
          <w:trHeight w:val="135"/>
        </w:trPr>
        <w:tc>
          <w:tcPr>
            <w:tcW w:w="4560" w:type="dxa"/>
            <w:vAlign w:val="bottom"/>
          </w:tcPr>
          <w:p>
            <w:pPr>
              <w:jc w:val="center"/>
              <w:ind w:left="1061"/>
              <w:spacing w:after="0"/>
              <w:rPr>
                <w:sz w:val="20"/>
                <w:szCs w:val="20"/>
                <w:color w:val="auto"/>
              </w:rPr>
            </w:pPr>
            <w:r>
              <w:rPr>
                <w:rFonts w:ascii="Courier New" w:cs="Courier New" w:eastAsia="Courier New" w:hAnsi="Courier New"/>
                <w:sz w:val="12"/>
                <w:szCs w:val="12"/>
                <w:color w:val="auto"/>
                <w:w w:val="97"/>
              </w:rPr>
              <w:t>CONSOLIDATED FINANCIAL STATEMENTS</w:t>
            </w:r>
          </w:p>
        </w:tc>
        <w:tc>
          <w:tcPr>
            <w:tcW w:w="1060" w:type="dxa"/>
            <w:vAlign w:val="bottom"/>
          </w:tcPr>
          <w:p>
            <w:pPr>
              <w:spacing w:after="0"/>
              <w:rPr>
                <w:sz w:val="11"/>
                <w:szCs w:val="11"/>
                <w:color w:val="auto"/>
              </w:rPr>
            </w:pPr>
          </w:p>
        </w:tc>
      </w:tr>
      <w:tr>
        <w:trPr>
          <w:trHeight w:val="135"/>
        </w:trPr>
        <w:tc>
          <w:tcPr>
            <w:tcW w:w="4560" w:type="dxa"/>
            <w:vAlign w:val="bottom"/>
          </w:tcPr>
          <w:p>
            <w:pPr>
              <w:jc w:val="center"/>
              <w:ind w:left="1041"/>
              <w:spacing w:after="0"/>
              <w:rPr>
                <w:sz w:val="20"/>
                <w:szCs w:val="20"/>
                <w:color w:val="auto"/>
              </w:rPr>
            </w:pPr>
            <w:r>
              <w:rPr>
                <w:rFonts w:ascii="Courier New" w:cs="Courier New" w:eastAsia="Courier New" w:hAnsi="Courier New"/>
                <w:sz w:val="12"/>
                <w:szCs w:val="12"/>
                <w:color w:val="auto"/>
                <w:w w:val="97"/>
              </w:rPr>
              <w:t>AS OF DECEMBER 31, 2007</w:t>
            </w:r>
          </w:p>
        </w:tc>
        <w:tc>
          <w:tcPr>
            <w:tcW w:w="1060" w:type="dxa"/>
            <w:vAlign w:val="bottom"/>
          </w:tcPr>
          <w:p>
            <w:pPr>
              <w:spacing w:after="0"/>
              <w:rPr>
                <w:sz w:val="11"/>
                <w:szCs w:val="11"/>
                <w:color w:val="auto"/>
              </w:rPr>
            </w:pPr>
          </w:p>
        </w:tc>
      </w:tr>
      <w:tr>
        <w:trPr>
          <w:trHeight w:val="793"/>
        </w:trPr>
        <w:tc>
          <w:tcPr>
            <w:tcW w:w="4560" w:type="dxa"/>
            <w:vAlign w:val="bottom"/>
          </w:tcPr>
          <w:p>
            <w:pPr>
              <w:jc w:val="center"/>
              <w:ind w:left="1041"/>
              <w:spacing w:after="0"/>
              <w:rPr>
                <w:sz w:val="20"/>
                <w:szCs w:val="20"/>
                <w:color w:val="auto"/>
              </w:rPr>
            </w:pPr>
            <w:r>
              <w:rPr>
                <w:rFonts w:ascii="Courier New" w:cs="Courier New" w:eastAsia="Courier New" w:hAnsi="Courier New"/>
                <w:sz w:val="12"/>
                <w:szCs w:val="12"/>
                <w:color w:val="auto"/>
                <w:w w:val="97"/>
              </w:rPr>
              <w:t>TOWER SEMICONDUCTOR LTD. AND SUBSIDIARY</w:t>
            </w:r>
          </w:p>
        </w:tc>
        <w:tc>
          <w:tcPr>
            <w:tcW w:w="1060" w:type="dxa"/>
            <w:vAlign w:val="bottom"/>
          </w:tcPr>
          <w:p>
            <w:pPr>
              <w:spacing w:after="0"/>
              <w:rPr>
                <w:sz w:val="24"/>
                <w:szCs w:val="24"/>
                <w:color w:val="auto"/>
              </w:rPr>
            </w:pPr>
          </w:p>
        </w:tc>
      </w:tr>
      <w:tr>
        <w:trPr>
          <w:trHeight w:val="270"/>
        </w:trPr>
        <w:tc>
          <w:tcPr>
            <w:tcW w:w="4560" w:type="dxa"/>
            <w:vAlign w:val="bottom"/>
          </w:tcPr>
          <w:p>
            <w:pPr>
              <w:jc w:val="center"/>
              <w:ind w:left="981"/>
              <w:spacing w:after="0"/>
              <w:rPr>
                <w:sz w:val="20"/>
                <w:szCs w:val="20"/>
                <w:color w:val="auto"/>
              </w:rPr>
            </w:pPr>
            <w:r>
              <w:rPr>
                <w:rFonts w:ascii="Courier New" w:cs="Courier New" w:eastAsia="Courier New" w:hAnsi="Courier New"/>
                <w:sz w:val="12"/>
                <w:szCs w:val="12"/>
                <w:color w:val="auto"/>
                <w:w w:val="97"/>
              </w:rPr>
              <w:t>INDEX TO CONSOLIDATED FINANCIAL STATEMENTS</w:t>
            </w:r>
          </w:p>
        </w:tc>
        <w:tc>
          <w:tcPr>
            <w:tcW w:w="1060" w:type="dxa"/>
            <w:vAlign w:val="bottom"/>
          </w:tcPr>
          <w:p>
            <w:pPr>
              <w:spacing w:after="0"/>
              <w:rPr>
                <w:sz w:val="23"/>
                <w:szCs w:val="23"/>
                <w:color w:val="auto"/>
              </w:rPr>
            </w:pPr>
          </w:p>
        </w:tc>
      </w:tr>
      <w:tr>
        <w:trPr>
          <w:trHeight w:val="270"/>
        </w:trPr>
        <w:tc>
          <w:tcPr>
            <w:tcW w:w="4560" w:type="dxa"/>
            <w:vAlign w:val="bottom"/>
          </w:tcPr>
          <w:p>
            <w:pPr>
              <w:spacing w:after="0"/>
              <w:rPr>
                <w:sz w:val="23"/>
                <w:szCs w:val="23"/>
                <w:color w:val="auto"/>
              </w:rPr>
            </w:pPr>
          </w:p>
        </w:tc>
        <w:tc>
          <w:tcPr>
            <w:tcW w:w="10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Page</w:t>
            </w:r>
          </w:p>
        </w:tc>
      </w:tr>
      <w:tr>
        <w:trPr>
          <w:trHeight w:val="135"/>
        </w:trPr>
        <w:tc>
          <w:tcPr>
            <w:tcW w:w="4560" w:type="dxa"/>
            <w:vAlign w:val="bottom"/>
          </w:tcPr>
          <w:p>
            <w:pPr>
              <w:spacing w:after="0"/>
              <w:rPr>
                <w:sz w:val="11"/>
                <w:szCs w:val="11"/>
                <w:color w:val="auto"/>
              </w:rPr>
            </w:pPr>
          </w:p>
        </w:tc>
        <w:tc>
          <w:tcPr>
            <w:tcW w:w="10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r>
      <w:tr>
        <w:trPr>
          <w:trHeight w:val="270"/>
        </w:trPr>
        <w:tc>
          <w:tcPr>
            <w:tcW w:w="4560" w:type="dxa"/>
            <w:vAlign w:val="bottom"/>
          </w:tcPr>
          <w:p>
            <w:pPr>
              <w:spacing w:after="0"/>
              <w:rPr>
                <w:sz w:val="20"/>
                <w:szCs w:val="20"/>
                <w:color w:val="auto"/>
              </w:rPr>
            </w:pPr>
            <w:r>
              <w:rPr>
                <w:rFonts w:ascii="Courier New" w:cs="Courier New" w:eastAsia="Courier New" w:hAnsi="Courier New"/>
                <w:sz w:val="12"/>
                <w:szCs w:val="12"/>
                <w:color w:val="auto"/>
              </w:rPr>
              <w:t>REPORT OF INDEPENDENT REGISTERED PUBLIC ACCOUNTING FIRM</w:t>
            </w:r>
          </w:p>
        </w:tc>
        <w:tc>
          <w:tcPr>
            <w:tcW w:w="10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F-1</w:t>
            </w:r>
          </w:p>
        </w:tc>
      </w:tr>
      <w:tr>
        <w:trPr>
          <w:trHeight w:val="270"/>
        </w:trPr>
        <w:tc>
          <w:tcPr>
            <w:tcW w:w="4560" w:type="dxa"/>
            <w:vAlign w:val="bottom"/>
          </w:tcPr>
          <w:p>
            <w:pPr>
              <w:spacing w:after="0"/>
              <w:rPr>
                <w:sz w:val="20"/>
                <w:szCs w:val="20"/>
                <w:color w:val="auto"/>
              </w:rPr>
            </w:pPr>
            <w:r>
              <w:rPr>
                <w:rFonts w:ascii="Courier New" w:cs="Courier New" w:eastAsia="Courier New" w:hAnsi="Courier New"/>
                <w:sz w:val="12"/>
                <w:szCs w:val="12"/>
                <w:color w:val="auto"/>
              </w:rPr>
              <w:t>BALANCE SHEETS</w:t>
            </w:r>
          </w:p>
        </w:tc>
        <w:tc>
          <w:tcPr>
            <w:tcW w:w="10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F-2</w:t>
            </w:r>
          </w:p>
        </w:tc>
      </w:tr>
      <w:tr>
        <w:trPr>
          <w:trHeight w:val="270"/>
        </w:trPr>
        <w:tc>
          <w:tcPr>
            <w:tcW w:w="4560" w:type="dxa"/>
            <w:vAlign w:val="bottom"/>
          </w:tcPr>
          <w:p>
            <w:pPr>
              <w:spacing w:after="0"/>
              <w:rPr>
                <w:sz w:val="20"/>
                <w:szCs w:val="20"/>
                <w:color w:val="auto"/>
              </w:rPr>
            </w:pPr>
            <w:r>
              <w:rPr>
                <w:rFonts w:ascii="Courier New" w:cs="Courier New" w:eastAsia="Courier New" w:hAnsi="Courier New"/>
                <w:sz w:val="12"/>
                <w:szCs w:val="12"/>
                <w:color w:val="auto"/>
              </w:rPr>
              <w:t>STATEMENTS OF OPERATIONS</w:t>
            </w:r>
          </w:p>
        </w:tc>
        <w:tc>
          <w:tcPr>
            <w:tcW w:w="10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F-3</w:t>
            </w:r>
          </w:p>
        </w:tc>
      </w:tr>
      <w:tr>
        <w:trPr>
          <w:trHeight w:val="270"/>
        </w:trPr>
        <w:tc>
          <w:tcPr>
            <w:tcW w:w="4560" w:type="dxa"/>
            <w:vAlign w:val="bottom"/>
          </w:tcPr>
          <w:p>
            <w:pPr>
              <w:spacing w:after="0"/>
              <w:rPr>
                <w:sz w:val="20"/>
                <w:szCs w:val="20"/>
                <w:color w:val="auto"/>
              </w:rPr>
            </w:pPr>
            <w:r>
              <w:rPr>
                <w:rFonts w:ascii="Courier New" w:cs="Courier New" w:eastAsia="Courier New" w:hAnsi="Courier New"/>
                <w:sz w:val="12"/>
                <w:szCs w:val="12"/>
                <w:color w:val="auto"/>
              </w:rPr>
              <w:t>STATEMENTS OF CHANGES IN SHAREHOLDERS' EQUITY</w:t>
            </w:r>
          </w:p>
        </w:tc>
        <w:tc>
          <w:tcPr>
            <w:tcW w:w="10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F-4</w:t>
            </w:r>
          </w:p>
        </w:tc>
      </w:tr>
      <w:tr>
        <w:trPr>
          <w:trHeight w:val="270"/>
        </w:trPr>
        <w:tc>
          <w:tcPr>
            <w:tcW w:w="4560" w:type="dxa"/>
            <w:vAlign w:val="bottom"/>
          </w:tcPr>
          <w:p>
            <w:pPr>
              <w:spacing w:after="0"/>
              <w:rPr>
                <w:sz w:val="20"/>
                <w:szCs w:val="20"/>
                <w:color w:val="auto"/>
              </w:rPr>
            </w:pPr>
            <w:r>
              <w:rPr>
                <w:rFonts w:ascii="Courier New" w:cs="Courier New" w:eastAsia="Courier New" w:hAnsi="Courier New"/>
                <w:sz w:val="12"/>
                <w:szCs w:val="12"/>
                <w:color w:val="auto"/>
              </w:rPr>
              <w:t>STATEMENTS OF CASH FLOWS</w:t>
            </w:r>
          </w:p>
        </w:tc>
        <w:tc>
          <w:tcPr>
            <w:tcW w:w="10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F-5</w:t>
            </w:r>
          </w:p>
        </w:tc>
      </w:tr>
      <w:tr>
        <w:trPr>
          <w:trHeight w:val="270"/>
        </w:trPr>
        <w:tc>
          <w:tcPr>
            <w:tcW w:w="4560" w:type="dxa"/>
            <w:vAlign w:val="bottom"/>
          </w:tcPr>
          <w:p>
            <w:pPr>
              <w:spacing w:after="0"/>
              <w:rPr>
                <w:sz w:val="20"/>
                <w:szCs w:val="20"/>
                <w:color w:val="auto"/>
              </w:rPr>
            </w:pPr>
            <w:r>
              <w:rPr>
                <w:rFonts w:ascii="Courier New" w:cs="Courier New" w:eastAsia="Courier New" w:hAnsi="Courier New"/>
                <w:sz w:val="12"/>
                <w:szCs w:val="12"/>
                <w:color w:val="auto"/>
              </w:rPr>
              <w:t>NOTES TO FINANCIAL STATEMENTS</w:t>
            </w:r>
          </w:p>
        </w:tc>
        <w:tc>
          <w:tcPr>
            <w:tcW w:w="10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F-6 - F-55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264160</wp:posOffset>
            </wp:positionV>
            <wp:extent cx="3746500" cy="823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46500" cy="823595"/>
                    </a:xfrm>
                    <a:prstGeom prst="rect">
                      <a:avLst/>
                    </a:prstGeom>
                    <a:noFill/>
                  </pic:spPr>
                </pic:pic>
              </a:graphicData>
            </a:graphic>
          </wp:anchor>
        </w:drawing>
      </w:r>
    </w:p>
    <w:p>
      <w:pPr>
        <w:sectPr>
          <w:pgSz w:w="11900" w:h="16838" w:orient="portrait"/>
          <w:cols w:equalWidth="0" w:num="1">
            <w:col w:w="10239"/>
          </w:cols>
          <w:pgMar w:left="220" w:top="276" w:right="1440" w:bottom="1440" w:gutter="0" w:footer="0" w:header="0"/>
        </w:sectPr>
      </w:pPr>
    </w:p>
    <w:bookmarkStart w:id="47" w:name="page48"/>
    <w:bookmarkEnd w:id="47"/>
    <w:p>
      <w:pPr>
        <w:ind w:left="900"/>
        <w:spacing w:after="0"/>
        <w:rPr>
          <w:sz w:val="20"/>
          <w:szCs w:val="20"/>
          <w:color w:val="auto"/>
        </w:rPr>
      </w:pPr>
      <w:r>
        <w:rPr>
          <w:rFonts w:ascii="Courier New" w:cs="Courier New" w:eastAsia="Courier New" w:hAnsi="Courier New"/>
          <w:sz w:val="12"/>
          <w:szCs w:val="12"/>
          <w:color w:val="auto"/>
        </w:rPr>
        <w:t>REPORT OF INDEPENDENT REGISTERED PUBLIC ACCOUNTING FIRM</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BOARD OF DIRECTORS AND THE SHAREHOLDERS OF</w:t>
      </w: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138" w:lineRule="exact"/>
        <w:rPr>
          <w:sz w:val="20"/>
          <w:szCs w:val="20"/>
          <w:color w:val="auto"/>
        </w:rPr>
      </w:pPr>
    </w:p>
    <w:p>
      <w:pPr>
        <w:ind w:right="4759"/>
        <w:spacing w:after="0" w:line="237" w:lineRule="auto"/>
        <w:rPr>
          <w:sz w:val="20"/>
          <w:szCs w:val="20"/>
          <w:color w:val="auto"/>
        </w:rPr>
      </w:pPr>
      <w:r>
        <w:rPr>
          <w:rFonts w:ascii="Courier New" w:cs="Courier New" w:eastAsia="Courier New" w:hAnsi="Courier New"/>
          <w:sz w:val="12"/>
          <w:szCs w:val="12"/>
          <w:color w:val="auto"/>
        </w:rPr>
        <w:t>We have audited the accompanying consolidated balance sheets of Tower Semiconductor Ltd. and subsidiary ("the Company") as of December 31, 2007 and 2006, and the related consolidated statements of operations, changes in shareholders' equity and comprehensive income, and cash flows for each of the three years in the period ended December 31, 2007. These financial statements are the responsibility of the Company's Board of Directors and management. Our responsibility is to express an opinion on these financial statements based on our audits.</w:t>
      </w:r>
    </w:p>
    <w:p>
      <w:pPr>
        <w:spacing w:after="0" w:line="142"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In our opinion, the consolidated financial statements referred to above present fairly, in all material respects, the consolidated financial position of the Company and subsidiary as of December 31, 2007 and 2006, and the consolidated results of their operations and their cash flows for each of the three years in the period ended December 31, 2007, in accordance with accounting principles generally accepted in United States.</w:t>
      </w:r>
    </w:p>
    <w:p>
      <w:pPr>
        <w:spacing w:after="0" w:line="140"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We also have audited, in accordance with the standards of the Public Company Accounting Oversight Board (United States), the Company and subsidiary's internal control over financial reporting as of December 31, 2007, based on criteria established in Internal Control - Integrated Framework issued by the Committee of Sponsoring Organizations of the Treadway Commission (COSO), and our report dated February 6, 2008 expressed an unqualified opinion on the effectiveness of the Company's internal control over financial reporting.</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BRIGHTMAN ALMAGOR &amp; CO.</w:t>
      </w:r>
    </w:p>
    <w:p>
      <w:pPr>
        <w:spacing w:after="0"/>
        <w:rPr>
          <w:sz w:val="20"/>
          <w:szCs w:val="20"/>
          <w:color w:val="auto"/>
        </w:rPr>
      </w:pPr>
      <w:r>
        <w:rPr>
          <w:rFonts w:ascii="Courier New" w:cs="Courier New" w:eastAsia="Courier New" w:hAnsi="Courier New"/>
          <w:sz w:val="12"/>
          <w:szCs w:val="12"/>
          <w:color w:val="auto"/>
        </w:rPr>
        <w:t>CERTIFIED PUBLIC ACCOUNTANTS</w:t>
      </w:r>
    </w:p>
    <w:p>
      <w:pPr>
        <w:spacing w:after="0" w:line="237" w:lineRule="auto"/>
        <w:rPr>
          <w:sz w:val="20"/>
          <w:szCs w:val="20"/>
          <w:color w:val="auto"/>
        </w:rPr>
      </w:pPr>
      <w:r>
        <w:rPr>
          <w:rFonts w:ascii="Courier New" w:cs="Courier New" w:eastAsia="Courier New" w:hAnsi="Courier New"/>
          <w:sz w:val="12"/>
          <w:szCs w:val="12"/>
          <w:color w:val="auto"/>
        </w:rPr>
        <w:t>A MEMBER FIRM OF DELOITTE TOUCHE TOHMATSU</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w:t>
      </w:r>
    </w:p>
    <w:p>
      <w:pPr>
        <w:spacing w:after="0"/>
        <w:rPr>
          <w:sz w:val="20"/>
          <w:szCs w:val="20"/>
          <w:color w:val="auto"/>
        </w:rPr>
      </w:pPr>
      <w:r>
        <w:rPr>
          <w:rFonts w:ascii="Courier New" w:cs="Courier New" w:eastAsia="Courier New" w:hAnsi="Courier New"/>
          <w:sz w:val="12"/>
          <w:szCs w:val="12"/>
          <w:color w:val="auto"/>
        </w:rPr>
        <w:t>February 6, 2008</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3746500" cy="823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4650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00"/>
        <w:spacing w:after="0"/>
        <w:rPr>
          <w:sz w:val="20"/>
          <w:szCs w:val="20"/>
          <w:color w:val="auto"/>
        </w:rPr>
      </w:pPr>
      <w:r>
        <w:rPr>
          <w:rFonts w:ascii="Courier New" w:cs="Courier New" w:eastAsia="Courier New" w:hAnsi="Courier New"/>
          <w:sz w:val="12"/>
          <w:szCs w:val="12"/>
          <w:color w:val="auto"/>
        </w:rPr>
        <w:t>REPORT OF INDEPENDENT REGISTERED PUBLIC ACCOUNTING FIRM</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 BOARD OF DIRECTORS AND THE SHAREHOLDERS OF</w:t>
      </w:r>
    </w:p>
    <w:p>
      <w:pPr>
        <w:spacing w:after="0"/>
        <w:rPr>
          <w:sz w:val="20"/>
          <w:szCs w:val="20"/>
          <w:color w:val="auto"/>
        </w:rPr>
      </w:pPr>
      <w:r>
        <w:rPr>
          <w:rFonts w:ascii="Courier New" w:cs="Courier New" w:eastAsia="Courier New" w:hAnsi="Courier New"/>
          <w:sz w:val="12"/>
          <w:szCs w:val="12"/>
          <w:color w:val="auto"/>
        </w:rPr>
        <w:t>TOWER SEMICONDUCTOR LTD.</w:t>
      </w:r>
    </w:p>
    <w:p>
      <w:pPr>
        <w:spacing w:after="0" w:line="138"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We have audited the internal control over financial reporting of Tower Semiconductors Ltd. and subsidiaries (the "Company") as of December 31, 2007, based on criteria established in Internal Control - Integrated Framework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ITEM 15 CONTROLS AND PROCEDURES -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4" w:lineRule="exact"/>
        <w:rPr>
          <w:sz w:val="20"/>
          <w:szCs w:val="20"/>
          <w:color w:val="auto"/>
        </w:rPr>
      </w:pPr>
    </w:p>
    <w:p>
      <w:pPr>
        <w:ind w:right="4619"/>
        <w:spacing w:after="0" w:line="261" w:lineRule="auto"/>
        <w:rPr>
          <w:sz w:val="20"/>
          <w:szCs w:val="20"/>
          <w:color w:val="auto"/>
        </w:rPr>
      </w:pPr>
      <w:r>
        <w:rPr>
          <w:rFonts w:ascii="Courier New" w:cs="Courier New" w:eastAsia="Courier New" w:hAnsi="Courier New"/>
          <w:sz w:val="11"/>
          <w:szCs w:val="1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64" w:lineRule="exact"/>
        <w:rPr>
          <w:sz w:val="20"/>
          <w:szCs w:val="20"/>
          <w:color w:val="auto"/>
        </w:rPr>
      </w:pPr>
    </w:p>
    <w:p>
      <w:pPr>
        <w:ind w:right="4699"/>
        <w:spacing w:after="0" w:line="237" w:lineRule="auto"/>
        <w:rPr>
          <w:sz w:val="20"/>
          <w:szCs w:val="20"/>
          <w:color w:val="auto"/>
        </w:rPr>
      </w:pPr>
      <w:r>
        <w:rPr>
          <w:rFonts w:ascii="Courier New" w:cs="Courier New" w:eastAsia="Courier New" w:hAnsi="Courier New"/>
          <w:sz w:val="12"/>
          <w:szCs w:val="12"/>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ectPr>
          <w:pgSz w:w="11900" w:h="16838" w:orient="portrait"/>
          <w:cols w:equalWidth="0" w:num="1">
            <w:col w:w="10239"/>
          </w:cols>
          <w:pgMar w:left="220" w:top="137" w:right="1440" w:bottom="237" w:gutter="0" w:footer="0" w:header="0"/>
        </w:sectPr>
      </w:pPr>
    </w:p>
    <w:p>
      <w:pPr>
        <w:spacing w:after="0" w:line="277" w:lineRule="exact"/>
        <w:rPr>
          <w:sz w:val="20"/>
          <w:szCs w:val="20"/>
          <w:color w:val="auto"/>
        </w:rPr>
      </w:pPr>
    </w:p>
    <w:p>
      <w:pPr>
        <w:ind w:left="2600"/>
        <w:spacing w:after="0"/>
        <w:rPr>
          <w:sz w:val="20"/>
          <w:szCs w:val="20"/>
          <w:color w:val="auto"/>
        </w:rPr>
      </w:pPr>
      <w:r>
        <w:rPr>
          <w:rFonts w:ascii="Courier New" w:cs="Courier New" w:eastAsia="Courier New" w:hAnsi="Courier New"/>
          <w:sz w:val="11"/>
          <w:szCs w:val="11"/>
          <w:color w:val="auto"/>
        </w:rPr>
        <w:t>F - 1.2</w:t>
      </w:r>
    </w:p>
    <w:p>
      <w:pPr>
        <w:sectPr>
          <w:pgSz w:w="11900" w:h="16838" w:orient="portrait"/>
          <w:cols w:equalWidth="0" w:num="1">
            <w:col w:w="10239"/>
          </w:cols>
          <w:pgMar w:left="220" w:top="137" w:right="1440" w:bottom="237" w:gutter="0" w:footer="0" w:header="0"/>
          <w:type w:val="continuous"/>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3746500" cy="823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746500" cy="823595"/>
                    </a:xfrm>
                    <a:prstGeom prst="rect">
                      <a:avLst/>
                    </a:prstGeom>
                    <a:noFill/>
                  </pic:spPr>
                </pic:pic>
              </a:graphicData>
            </a:graphic>
          </wp:anchor>
        </w:drawing>
      </w:r>
    </w:p>
    <w:p>
      <w:pPr>
        <w:spacing w:after="0" w:line="242" w:lineRule="exact"/>
        <w:rPr>
          <w:sz w:val="20"/>
          <w:szCs w:val="20"/>
          <w:color w:val="auto"/>
        </w:rPr>
      </w:pPr>
    </w:p>
    <w:p>
      <w:pPr>
        <w:ind w:right="4699"/>
        <w:spacing w:after="0" w:line="236" w:lineRule="auto"/>
        <w:rPr>
          <w:sz w:val="20"/>
          <w:szCs w:val="20"/>
          <w:color w:val="auto"/>
        </w:rPr>
      </w:pPr>
      <w:r>
        <w:rPr>
          <w:rFonts w:ascii="Courier New" w:cs="Courier New" w:eastAsia="Courier New" w:hAnsi="Courier New"/>
          <w:sz w:val="12"/>
          <w:szCs w:val="12"/>
          <w:color w:val="auto"/>
        </w:rPr>
        <w:t>In our opinion, the Company maintained, in all material respects, effective internal control over financial reporting as of December 31, 2007, based on the criteria established in Internal Control - Integrated Framework issued by the Committee of Sponsoring Organizations of the Treadway Commission.</w:t>
      </w:r>
    </w:p>
    <w:p>
      <w:pPr>
        <w:spacing w:after="0" w:line="141" w:lineRule="exact"/>
        <w:rPr>
          <w:sz w:val="20"/>
          <w:szCs w:val="20"/>
          <w:color w:val="auto"/>
        </w:rPr>
      </w:pPr>
    </w:p>
    <w:p>
      <w:pPr>
        <w:ind w:right="4619"/>
        <w:spacing w:after="0" w:line="237" w:lineRule="auto"/>
        <w:rPr>
          <w:sz w:val="20"/>
          <w:szCs w:val="20"/>
          <w:color w:val="auto"/>
        </w:rPr>
      </w:pPr>
      <w:r>
        <w:rPr>
          <w:rFonts w:ascii="Courier New" w:cs="Courier New" w:eastAsia="Courier New" w:hAnsi="Courier New"/>
          <w:sz w:val="12"/>
          <w:szCs w:val="12"/>
          <w:color w:val="auto"/>
        </w:rPr>
        <w:t>We have also audited, in accordance with the standards of the Public Company Accounting Oversight Board (United States), the consolidated financial statements as of and for the year ended December 31, 2007 of the Company and our report February 6, 2008 expressed an unqualified opinion on those financial statements.</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BRIGHTMAN ALMAGOR &amp; CO.</w:t>
      </w:r>
    </w:p>
    <w:p>
      <w:pPr>
        <w:spacing w:after="0"/>
        <w:rPr>
          <w:sz w:val="20"/>
          <w:szCs w:val="20"/>
          <w:color w:val="auto"/>
        </w:rPr>
      </w:pPr>
      <w:r>
        <w:rPr>
          <w:rFonts w:ascii="Courier New" w:cs="Courier New" w:eastAsia="Courier New" w:hAnsi="Courier New"/>
          <w:sz w:val="12"/>
          <w:szCs w:val="12"/>
          <w:color w:val="auto"/>
        </w:rPr>
        <w:t>CERTIFIED PUBLIC ACCOUNTANTS</w:t>
      </w:r>
    </w:p>
    <w:p>
      <w:pPr>
        <w:spacing w:after="0" w:line="237" w:lineRule="auto"/>
        <w:rPr>
          <w:sz w:val="20"/>
          <w:szCs w:val="20"/>
          <w:color w:val="auto"/>
        </w:rPr>
      </w:pPr>
      <w:r>
        <w:rPr>
          <w:rFonts w:ascii="Courier New" w:cs="Courier New" w:eastAsia="Courier New" w:hAnsi="Courier New"/>
          <w:sz w:val="12"/>
          <w:szCs w:val="12"/>
          <w:color w:val="auto"/>
        </w:rPr>
        <w:t>A MEMBER FIRM OF DELOITTE TOUCHE TOHMATSU</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w:t>
      </w:r>
    </w:p>
    <w:p>
      <w:pPr>
        <w:spacing w:after="0"/>
        <w:rPr>
          <w:sz w:val="20"/>
          <w:szCs w:val="20"/>
          <w:color w:val="auto"/>
        </w:rPr>
      </w:pPr>
      <w:r>
        <w:rPr>
          <w:rFonts w:ascii="Courier New" w:cs="Courier New" w:eastAsia="Courier New" w:hAnsi="Courier New"/>
          <w:sz w:val="12"/>
          <w:szCs w:val="12"/>
          <w:color w:val="auto"/>
        </w:rPr>
        <w:t>February 6, 2008</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4660" w:type="dxa"/>
            <w:vAlign w:val="bottom"/>
          </w:tcPr>
          <w:p>
            <w:pPr>
              <w:ind w:left="2600"/>
              <w:spacing w:after="0"/>
              <w:rPr>
                <w:sz w:val="20"/>
                <w:szCs w:val="20"/>
                <w:color w:val="auto"/>
              </w:rPr>
            </w:pPr>
            <w:r>
              <w:rPr>
                <w:rFonts w:ascii="Courier New" w:cs="Courier New" w:eastAsia="Courier New" w:hAnsi="Courier New"/>
                <w:sz w:val="12"/>
                <w:szCs w:val="12"/>
                <w:color w:val="auto"/>
              </w:rPr>
              <w:t>F - 1.3</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522"/>
        </w:trPr>
        <w:tc>
          <w:tcPr>
            <w:tcW w:w="4660" w:type="dxa"/>
            <w:vAlign w:val="bottom"/>
          </w:tcPr>
          <w:p>
            <w:pPr>
              <w:ind w:left="760"/>
              <w:spacing w:after="0"/>
              <w:rPr>
                <w:sz w:val="20"/>
                <w:szCs w:val="20"/>
                <w:color w:val="auto"/>
              </w:rPr>
            </w:pPr>
            <w:r>
              <w:rPr>
                <w:rFonts w:ascii="Courier New" w:cs="Courier New" w:eastAsia="Courier New" w:hAnsi="Courier New"/>
                <w:sz w:val="12"/>
                <w:szCs w:val="12"/>
                <w:color w:val="auto"/>
              </w:rPr>
              <w:t>TOWER SEMICONDUCTOR LTD. AND SUBSIDIARY</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35"/>
        </w:trPr>
        <w:tc>
          <w:tcPr>
            <w:tcW w:w="4660" w:type="dxa"/>
            <w:vAlign w:val="bottom"/>
          </w:tcPr>
          <w:p>
            <w:pPr>
              <w:ind w:left="1260"/>
              <w:spacing w:after="0"/>
              <w:rPr>
                <w:sz w:val="20"/>
                <w:szCs w:val="20"/>
                <w:color w:val="auto"/>
              </w:rPr>
            </w:pPr>
            <w:r>
              <w:rPr>
                <w:rFonts w:ascii="Courier New" w:cs="Courier New" w:eastAsia="Courier New" w:hAnsi="Courier New"/>
                <w:sz w:val="12"/>
                <w:szCs w:val="12"/>
                <w:color w:val="auto"/>
              </w:rPr>
              <w:t>CONSOLIDATED BALANCE SHEETS</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660" w:type="dxa"/>
            <w:vAlign w:val="bottom"/>
          </w:tcPr>
          <w:p>
            <w:pPr>
              <w:ind w:left="420"/>
              <w:spacing w:after="0"/>
              <w:rPr>
                <w:sz w:val="20"/>
                <w:szCs w:val="20"/>
                <w:color w:val="auto"/>
              </w:rPr>
            </w:pPr>
            <w:r>
              <w:rPr>
                <w:rFonts w:ascii="Courier New" w:cs="Courier New" w:eastAsia="Courier New" w:hAnsi="Courier New"/>
                <w:sz w:val="12"/>
                <w:szCs w:val="12"/>
                <w:color w:val="auto"/>
                <w:w w:val="97"/>
              </w:rPr>
              <w:t>(dollars in thousands, except share data and per share data)</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4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4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660" w:type="dxa"/>
            <w:vAlign w:val="bottom"/>
          </w:tcPr>
          <w:p>
            <w:pPr>
              <w:spacing w:after="0"/>
              <w:rPr>
                <w:sz w:val="11"/>
                <w:szCs w:val="11"/>
                <w:color w:val="auto"/>
              </w:rPr>
            </w:pPr>
          </w:p>
        </w:tc>
        <w:tc>
          <w:tcPr>
            <w:tcW w:w="980" w:type="dxa"/>
            <w:vAlign w:val="bottom"/>
          </w:tcPr>
          <w:p>
            <w:pPr>
              <w:jc w:val="right"/>
              <w:ind w:right="381"/>
              <w:spacing w:after="0"/>
              <w:rPr>
                <w:sz w:val="20"/>
                <w:szCs w:val="20"/>
                <w:color w:val="auto"/>
              </w:rPr>
            </w:pPr>
            <w:r>
              <w:rPr>
                <w:rFonts w:ascii="Courier New" w:cs="Courier New" w:eastAsia="Courier New" w:hAnsi="Courier New"/>
                <w:sz w:val="12"/>
                <w:szCs w:val="12"/>
                <w:color w:val="auto"/>
              </w:rPr>
              <w:t>NOTE</w:t>
            </w:r>
          </w:p>
        </w:tc>
        <w:tc>
          <w:tcPr>
            <w:tcW w:w="260" w:type="dxa"/>
            <w:vAlign w:val="bottom"/>
          </w:tcPr>
          <w:p>
            <w:pPr>
              <w:spacing w:after="0"/>
              <w:rPr>
                <w:sz w:val="11"/>
                <w:szCs w:val="11"/>
                <w:color w:val="auto"/>
              </w:rPr>
            </w:pPr>
          </w:p>
        </w:tc>
        <w:tc>
          <w:tcPr>
            <w:tcW w:w="76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2007</w:t>
            </w:r>
          </w:p>
        </w:tc>
        <w:tc>
          <w:tcPr>
            <w:tcW w:w="280" w:type="dxa"/>
            <w:vAlign w:val="bottom"/>
          </w:tcPr>
          <w:p>
            <w:pPr>
              <w:spacing w:after="0"/>
              <w:rPr>
                <w:sz w:val="11"/>
                <w:szCs w:val="11"/>
                <w:color w:val="auto"/>
              </w:rPr>
            </w:pPr>
          </w:p>
        </w:tc>
        <w:tc>
          <w:tcPr>
            <w:tcW w:w="6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4660" w:type="dxa"/>
            <w:vAlign w:val="bottom"/>
          </w:tcPr>
          <w:p>
            <w:pPr>
              <w:spacing w:after="0"/>
              <w:rPr>
                <w:sz w:val="11"/>
                <w:szCs w:val="11"/>
                <w:color w:val="auto"/>
              </w:rPr>
            </w:pP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spacing w:after="0"/>
              <w:rPr>
                <w:sz w:val="20"/>
                <w:szCs w:val="20"/>
                <w:color w:val="auto"/>
              </w:rPr>
            </w:pPr>
            <w:r>
              <w:rPr>
                <w:rFonts w:ascii="Courier New" w:cs="Courier New" w:eastAsia="Courier New" w:hAnsi="Courier New"/>
                <w:sz w:val="12"/>
                <w:szCs w:val="12"/>
                <w:color w:val="auto"/>
              </w:rPr>
              <w:t>A S S E T S</w:t>
            </w: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CURRENT ASSETS</w:t>
            </w: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CASH AND CASH EQUIVALENTS</w:t>
            </w:r>
          </w:p>
        </w:tc>
        <w:tc>
          <w:tcPr>
            <w:tcW w:w="980" w:type="dxa"/>
            <w:vAlign w:val="bottom"/>
          </w:tcPr>
          <w:p>
            <w:pPr>
              <w:spacing w:after="0"/>
              <w:rPr>
                <w:sz w:val="11"/>
                <w:szCs w:val="11"/>
                <w:color w:val="auto"/>
              </w:rPr>
            </w:pPr>
          </w:p>
        </w:tc>
        <w:tc>
          <w:tcPr>
            <w:tcW w:w="2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44,536</w:t>
            </w:r>
          </w:p>
        </w:tc>
        <w:tc>
          <w:tcPr>
            <w:tcW w:w="2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39,710</w:t>
            </w: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SHORT-TERM INTEREST-BEARING DEPOSITS</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1,230</w:t>
            </w: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TRADE ACCOUNTS RECEIVABLE:</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15</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4660" w:type="dxa"/>
            <w:vAlign w:val="bottom"/>
          </w:tcPr>
          <w:p>
            <w:pPr>
              <w:ind w:left="620"/>
              <w:spacing w:after="0"/>
              <w:rPr>
                <w:sz w:val="20"/>
                <w:szCs w:val="20"/>
                <w:color w:val="auto"/>
              </w:rPr>
            </w:pPr>
            <w:r>
              <w:rPr>
                <w:rFonts w:ascii="Courier New" w:cs="Courier New" w:eastAsia="Courier New" w:hAnsi="Courier New"/>
                <w:sz w:val="12"/>
                <w:szCs w:val="12"/>
                <w:color w:val="auto"/>
              </w:rPr>
              <w:t>RELATED PARTIES</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12,823</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13,625</w:t>
            </w:r>
          </w:p>
        </w:tc>
      </w:tr>
      <w:tr>
        <w:trPr>
          <w:trHeight w:val="135"/>
        </w:trPr>
        <w:tc>
          <w:tcPr>
            <w:tcW w:w="4660" w:type="dxa"/>
            <w:vAlign w:val="bottom"/>
          </w:tcPr>
          <w:p>
            <w:pPr>
              <w:ind w:left="620"/>
              <w:spacing w:after="0"/>
              <w:rPr>
                <w:sz w:val="20"/>
                <w:szCs w:val="20"/>
                <w:color w:val="auto"/>
              </w:rPr>
            </w:pPr>
            <w:r>
              <w:rPr>
                <w:rFonts w:ascii="Courier New" w:cs="Courier New" w:eastAsia="Courier New" w:hAnsi="Courier New"/>
                <w:sz w:val="12"/>
                <w:szCs w:val="12"/>
                <w:color w:val="auto"/>
              </w:rPr>
              <w:t>OTHERS</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32,154</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17,873</w:t>
            </w: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OTHER RECEIVABLES</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3</w:t>
            </w:r>
          </w:p>
        </w:tc>
        <w:tc>
          <w:tcPr>
            <w:tcW w:w="26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4,748</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5,425</w:t>
            </w: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INVENTORIES</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4</w:t>
            </w:r>
          </w:p>
        </w:tc>
        <w:tc>
          <w:tcPr>
            <w:tcW w:w="26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27,806</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34,763</w:t>
            </w: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OTHER CURRENT ASSETS</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1,580</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1,473</w:t>
            </w:r>
          </w:p>
        </w:tc>
      </w:tr>
      <w:tr>
        <w:trPr>
          <w:trHeight w:val="135"/>
        </w:trPr>
        <w:tc>
          <w:tcPr>
            <w:tcW w:w="4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660" w:type="dxa"/>
            <w:vAlign w:val="bottom"/>
          </w:tcPr>
          <w:p>
            <w:pPr>
              <w:ind w:left="840"/>
              <w:spacing w:after="0"/>
              <w:rPr>
                <w:sz w:val="20"/>
                <w:szCs w:val="20"/>
                <w:color w:val="auto"/>
              </w:rPr>
            </w:pPr>
            <w:r>
              <w:rPr>
                <w:rFonts w:ascii="Courier New" w:cs="Courier New" w:eastAsia="Courier New" w:hAnsi="Courier New"/>
                <w:sz w:val="12"/>
                <w:szCs w:val="12"/>
                <w:color w:val="auto"/>
              </w:rPr>
              <w:t>TOTAL CURRENT ASSETS</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123,647</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114,099</w:t>
            </w:r>
          </w:p>
        </w:tc>
      </w:tr>
      <w:tr>
        <w:trPr>
          <w:trHeight w:val="135"/>
        </w:trPr>
        <w:tc>
          <w:tcPr>
            <w:tcW w:w="4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LONG-TERM INVESTMENTS</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5</w:t>
            </w:r>
          </w:p>
        </w:tc>
        <w:tc>
          <w:tcPr>
            <w:tcW w:w="260" w:type="dxa"/>
            <w:vAlign w:val="bottom"/>
          </w:tcPr>
          <w:p>
            <w:pPr>
              <w:spacing w:after="0"/>
              <w:rPr>
                <w:sz w:val="23"/>
                <w:szCs w:val="23"/>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15,093</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15,325</w:t>
            </w:r>
          </w:p>
        </w:tc>
      </w:tr>
      <w:tr>
        <w:trPr>
          <w:trHeight w:val="135"/>
        </w:trPr>
        <w:tc>
          <w:tcPr>
            <w:tcW w:w="4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PROPERTY AND EQUIPMENT, NET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6</w:t>
            </w:r>
          </w:p>
        </w:tc>
        <w:tc>
          <w:tcPr>
            <w:tcW w:w="260" w:type="dxa"/>
            <w:vAlign w:val="bottom"/>
          </w:tcPr>
          <w:p>
            <w:pPr>
              <w:spacing w:after="0"/>
              <w:rPr>
                <w:sz w:val="23"/>
                <w:szCs w:val="23"/>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502,287</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532,798</w:t>
            </w:r>
          </w:p>
        </w:tc>
      </w:tr>
      <w:tr>
        <w:trPr>
          <w:trHeight w:val="135"/>
        </w:trPr>
        <w:tc>
          <w:tcPr>
            <w:tcW w:w="4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INTANGIBLE ASSETS, NET</w:t>
            </w:r>
          </w:p>
        </w:tc>
        <w:tc>
          <w:tcPr>
            <w:tcW w:w="980" w:type="dxa"/>
            <w:vAlign w:val="bottom"/>
          </w:tcPr>
          <w:p>
            <w:pPr>
              <w:jc w:val="right"/>
              <w:ind w:right="41"/>
              <w:spacing w:after="0"/>
              <w:rPr>
                <w:sz w:val="20"/>
                <w:szCs w:val="20"/>
                <w:color w:val="auto"/>
              </w:rPr>
            </w:pPr>
            <w:r>
              <w:rPr>
                <w:rFonts w:ascii="Courier New" w:cs="Courier New" w:eastAsia="Courier New" w:hAnsi="Courier New"/>
                <w:sz w:val="12"/>
                <w:szCs w:val="12"/>
                <w:color w:val="auto"/>
              </w:rPr>
              <w:t>13A(2)</w:t>
            </w:r>
          </w:p>
        </w:tc>
        <w:tc>
          <w:tcPr>
            <w:tcW w:w="260" w:type="dxa"/>
            <w:vAlign w:val="bottom"/>
          </w:tcPr>
          <w:p>
            <w:pPr>
              <w:spacing w:after="0"/>
              <w:rPr>
                <w:sz w:val="23"/>
                <w:szCs w:val="23"/>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34,711</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44,981</w:t>
            </w:r>
          </w:p>
        </w:tc>
      </w:tr>
      <w:tr>
        <w:trPr>
          <w:trHeight w:val="135"/>
        </w:trPr>
        <w:tc>
          <w:tcPr>
            <w:tcW w:w="4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OTHER ASSETS , NET</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7</w:t>
            </w:r>
          </w:p>
        </w:tc>
        <w:tc>
          <w:tcPr>
            <w:tcW w:w="260" w:type="dxa"/>
            <w:vAlign w:val="bottom"/>
          </w:tcPr>
          <w:p>
            <w:pPr>
              <w:spacing w:after="0"/>
              <w:rPr>
                <w:sz w:val="23"/>
                <w:szCs w:val="23"/>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11,044</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6,929</w:t>
            </w:r>
          </w:p>
        </w:tc>
      </w:tr>
      <w:tr>
        <w:trPr>
          <w:trHeight w:val="135"/>
        </w:trPr>
        <w:tc>
          <w:tcPr>
            <w:tcW w:w="4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ind w:left="840"/>
              <w:spacing w:after="0"/>
              <w:rPr>
                <w:sz w:val="20"/>
                <w:szCs w:val="20"/>
                <w:color w:val="auto"/>
              </w:rPr>
            </w:pPr>
            <w:r>
              <w:rPr>
                <w:rFonts w:ascii="Courier New" w:cs="Courier New" w:eastAsia="Courier New" w:hAnsi="Courier New"/>
                <w:sz w:val="12"/>
                <w:szCs w:val="12"/>
                <w:color w:val="auto"/>
              </w:rPr>
              <w:t>TOTAL ASSETS</w:t>
            </w:r>
          </w:p>
        </w:tc>
        <w:tc>
          <w:tcPr>
            <w:tcW w:w="980" w:type="dxa"/>
            <w:vAlign w:val="bottom"/>
          </w:tcPr>
          <w:p>
            <w:pPr>
              <w:spacing w:after="0"/>
              <w:rPr>
                <w:sz w:val="23"/>
                <w:szCs w:val="23"/>
                <w:color w:val="auto"/>
              </w:rPr>
            </w:pPr>
          </w:p>
        </w:tc>
        <w:tc>
          <w:tcPr>
            <w:tcW w:w="2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686,782</w:t>
            </w:r>
          </w:p>
        </w:tc>
        <w:tc>
          <w:tcPr>
            <w:tcW w:w="2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714,132</w:t>
            </w:r>
          </w:p>
        </w:tc>
      </w:tr>
      <w:tr>
        <w:trPr>
          <w:trHeight w:val="135"/>
        </w:trPr>
        <w:tc>
          <w:tcPr>
            <w:tcW w:w="4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spacing w:after="0"/>
              <w:rPr>
                <w:sz w:val="20"/>
                <w:szCs w:val="20"/>
                <w:color w:val="auto"/>
              </w:rPr>
            </w:pPr>
            <w:r>
              <w:rPr>
                <w:rFonts w:ascii="Courier New" w:cs="Courier New" w:eastAsia="Courier New" w:hAnsi="Courier New"/>
                <w:sz w:val="12"/>
                <w:szCs w:val="12"/>
                <w:color w:val="auto"/>
              </w:rPr>
              <w:t>LIABILITIES AND SHAREHOLDERS' EQUITY</w:t>
            </w: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CURRENT LIABILITIES</w:t>
            </w: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CURRENT MATURITIES OF CONVERTIBLE DEBENTURES</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10</w:t>
            </w:r>
          </w:p>
        </w:tc>
        <w:tc>
          <w:tcPr>
            <w:tcW w:w="2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7,887</w:t>
            </w:r>
          </w:p>
        </w:tc>
        <w:tc>
          <w:tcPr>
            <w:tcW w:w="2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6,902</w:t>
            </w: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TRADE ACCOUNTS PAYABLE</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49,025</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55,128</w:t>
            </w:r>
          </w:p>
        </w:tc>
      </w:tr>
      <w:tr>
        <w:trPr>
          <w:trHeight w:val="135"/>
        </w:trPr>
        <w:tc>
          <w:tcPr>
            <w:tcW w:w="4660" w:type="dxa"/>
            <w:vAlign w:val="bottom"/>
          </w:tcPr>
          <w:p>
            <w:pPr>
              <w:ind w:left="480"/>
              <w:spacing w:after="0"/>
              <w:rPr>
                <w:sz w:val="20"/>
                <w:szCs w:val="20"/>
                <w:color w:val="auto"/>
              </w:rPr>
            </w:pPr>
            <w:r>
              <w:rPr>
                <w:rFonts w:ascii="Courier New" w:cs="Courier New" w:eastAsia="Courier New" w:hAnsi="Courier New"/>
                <w:sz w:val="12"/>
                <w:szCs w:val="12"/>
                <w:color w:val="auto"/>
              </w:rPr>
              <w:t>OTHER CURRENT LIABILITIES</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8</w:t>
            </w:r>
          </w:p>
        </w:tc>
        <w:tc>
          <w:tcPr>
            <w:tcW w:w="26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20,024</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22,096</w:t>
            </w:r>
          </w:p>
        </w:tc>
      </w:tr>
      <w:tr>
        <w:trPr>
          <w:trHeight w:val="135"/>
        </w:trPr>
        <w:tc>
          <w:tcPr>
            <w:tcW w:w="4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660" w:type="dxa"/>
            <w:vAlign w:val="bottom"/>
          </w:tcPr>
          <w:p>
            <w:pPr>
              <w:ind w:left="840"/>
              <w:spacing w:after="0"/>
              <w:rPr>
                <w:sz w:val="20"/>
                <w:szCs w:val="20"/>
                <w:color w:val="auto"/>
              </w:rPr>
            </w:pPr>
            <w:r>
              <w:rPr>
                <w:rFonts w:ascii="Courier New" w:cs="Courier New" w:eastAsia="Courier New" w:hAnsi="Courier New"/>
                <w:sz w:val="12"/>
                <w:szCs w:val="12"/>
                <w:color w:val="auto"/>
              </w:rPr>
              <w:t>TOTAL CURRENT LIABILITIES</w:t>
            </w: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76,936</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84,126</w:t>
            </w: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LONG-TERM DEBT FROM BANKS (*)</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9, 11</w:t>
            </w:r>
          </w:p>
        </w:tc>
        <w:tc>
          <w:tcPr>
            <w:tcW w:w="260" w:type="dxa"/>
            <w:vAlign w:val="bottom"/>
          </w:tcPr>
          <w:p>
            <w:pPr>
              <w:spacing w:after="0"/>
              <w:rPr>
                <w:sz w:val="23"/>
                <w:szCs w:val="23"/>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379,314</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432,430</w:t>
            </w: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DEBENTURES (**)</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10, 11</w:t>
            </w:r>
          </w:p>
        </w:tc>
        <w:tc>
          <w:tcPr>
            <w:tcW w:w="260" w:type="dxa"/>
            <w:vAlign w:val="bottom"/>
          </w:tcPr>
          <w:p>
            <w:pPr>
              <w:spacing w:after="0"/>
              <w:rPr>
                <w:sz w:val="23"/>
                <w:szCs w:val="23"/>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117,460</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83,863</w:t>
            </w: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LONG-TERM CUSTOMERS' ADVANCES</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13A</w:t>
            </w:r>
          </w:p>
        </w:tc>
        <w:tc>
          <w:tcPr>
            <w:tcW w:w="260" w:type="dxa"/>
            <w:vAlign w:val="bottom"/>
          </w:tcPr>
          <w:p>
            <w:pPr>
              <w:spacing w:after="0"/>
              <w:rPr>
                <w:sz w:val="23"/>
                <w:szCs w:val="23"/>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27,983</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46,042</w:t>
            </w: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OTHER LONG-TERM LIABILITIES</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12</w:t>
            </w:r>
          </w:p>
        </w:tc>
        <w:tc>
          <w:tcPr>
            <w:tcW w:w="260" w:type="dxa"/>
            <w:vAlign w:val="bottom"/>
          </w:tcPr>
          <w:p>
            <w:pPr>
              <w:spacing w:after="0"/>
              <w:rPr>
                <w:sz w:val="23"/>
                <w:szCs w:val="23"/>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40,380</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28,155</w:t>
            </w:r>
          </w:p>
        </w:tc>
      </w:tr>
      <w:tr>
        <w:trPr>
          <w:trHeight w:val="135"/>
        </w:trPr>
        <w:tc>
          <w:tcPr>
            <w:tcW w:w="4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ind w:left="840"/>
              <w:spacing w:after="0"/>
              <w:rPr>
                <w:sz w:val="20"/>
                <w:szCs w:val="20"/>
                <w:color w:val="auto"/>
              </w:rPr>
            </w:pPr>
            <w:r>
              <w:rPr>
                <w:rFonts w:ascii="Courier New" w:cs="Courier New" w:eastAsia="Courier New" w:hAnsi="Courier New"/>
                <w:sz w:val="12"/>
                <w:szCs w:val="12"/>
                <w:color w:val="auto"/>
              </w:rPr>
              <w:t>TOTAL LIABILITIES</w:t>
            </w:r>
          </w:p>
        </w:tc>
        <w:tc>
          <w:tcPr>
            <w:tcW w:w="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642,073</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674,616</w:t>
            </w:r>
          </w:p>
        </w:tc>
      </w:tr>
      <w:tr>
        <w:trPr>
          <w:trHeight w:val="135"/>
        </w:trPr>
        <w:tc>
          <w:tcPr>
            <w:tcW w:w="4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ind w:left="280"/>
              <w:spacing w:after="0"/>
              <w:rPr>
                <w:sz w:val="20"/>
                <w:szCs w:val="20"/>
                <w:color w:val="auto"/>
              </w:rPr>
            </w:pPr>
            <w:r>
              <w:rPr>
                <w:rFonts w:ascii="Courier New" w:cs="Courier New" w:eastAsia="Courier New" w:hAnsi="Courier New"/>
                <w:sz w:val="12"/>
                <w:szCs w:val="12"/>
                <w:color w:val="auto"/>
              </w:rPr>
              <w:t>SHAREHOLDERS' EQUITY</w:t>
            </w:r>
          </w:p>
        </w:tc>
        <w:tc>
          <w:tcPr>
            <w:tcW w:w="98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10, 13A, 14</w:t>
            </w:r>
          </w:p>
        </w:tc>
        <w:tc>
          <w:tcPr>
            <w:tcW w:w="260" w:type="dxa"/>
            <w:vAlign w:val="bottom"/>
          </w:tcPr>
          <w:p>
            <w:pPr>
              <w:spacing w:after="0"/>
              <w:rPr>
                <w:sz w:val="23"/>
                <w:szCs w:val="23"/>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44,709</w:t>
            </w:r>
          </w:p>
        </w:tc>
        <w:tc>
          <w:tcPr>
            <w:tcW w:w="2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39,516</w:t>
            </w:r>
          </w:p>
        </w:tc>
      </w:tr>
      <w:tr>
        <w:trPr>
          <w:trHeight w:val="135"/>
        </w:trPr>
        <w:tc>
          <w:tcPr>
            <w:tcW w:w="4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660" w:type="dxa"/>
            <w:vAlign w:val="bottom"/>
          </w:tcPr>
          <w:p>
            <w:pPr>
              <w:ind w:left="840"/>
              <w:spacing w:after="0"/>
              <w:rPr>
                <w:sz w:val="20"/>
                <w:szCs w:val="20"/>
                <w:color w:val="auto"/>
              </w:rPr>
            </w:pPr>
            <w:r>
              <w:rPr>
                <w:rFonts w:ascii="Courier New" w:cs="Courier New" w:eastAsia="Courier New" w:hAnsi="Courier New"/>
                <w:sz w:val="12"/>
                <w:szCs w:val="12"/>
                <w:color w:val="auto"/>
              </w:rPr>
              <w:t>TOTAL LIABILITIES AND SHAREHOLDERS' EQUITY</w:t>
            </w:r>
          </w:p>
        </w:tc>
        <w:tc>
          <w:tcPr>
            <w:tcW w:w="980" w:type="dxa"/>
            <w:vAlign w:val="bottom"/>
          </w:tcPr>
          <w:p>
            <w:pPr>
              <w:spacing w:after="0"/>
              <w:rPr>
                <w:sz w:val="23"/>
                <w:szCs w:val="23"/>
                <w:color w:val="auto"/>
              </w:rPr>
            </w:pPr>
          </w:p>
        </w:tc>
        <w:tc>
          <w:tcPr>
            <w:tcW w:w="2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686,782</w:t>
            </w:r>
          </w:p>
        </w:tc>
        <w:tc>
          <w:tcPr>
            <w:tcW w:w="2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714,132</w:t>
            </w:r>
          </w:p>
        </w:tc>
      </w:tr>
      <w:tr>
        <w:trPr>
          <w:trHeight w:val="135"/>
        </w:trPr>
        <w:tc>
          <w:tcPr>
            <w:tcW w:w="4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OF WHICH $365,563 AT FAIR VALUE AS OF DECEMBER 31, 2007</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 OF WHICH $28,484 AT FAIR VALUE AS OF DECEMBER 31, 2007</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w:t>
      </w:r>
    </w:p>
    <w:p>
      <w:pPr>
        <w:spacing w:after="0" w:line="386"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TOWER SEMICONDUCTOR LTD. AND SUBSIDIARY</w:t>
      </w:r>
    </w:p>
    <w:p>
      <w:pPr>
        <w:jc w:val="center"/>
        <w:ind w:right="4559"/>
        <w:spacing w:after="0"/>
        <w:rPr>
          <w:sz w:val="20"/>
          <w:szCs w:val="20"/>
          <w:color w:val="auto"/>
        </w:rPr>
      </w:pPr>
      <w:r>
        <w:rPr>
          <w:rFonts w:ascii="Courier New" w:cs="Courier New" w:eastAsia="Courier New" w:hAnsi="Courier New"/>
          <w:sz w:val="12"/>
          <w:szCs w:val="12"/>
          <w:color w:val="auto"/>
        </w:rPr>
        <w:t>CONSOLIDATED STATEMENTS OF OPERATIONS</w:t>
      </w:r>
    </w:p>
    <w:p>
      <w:pPr>
        <w:jc w:val="center"/>
        <w:ind w:right="4619"/>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ectPr>
          <w:pgSz w:w="11900" w:h="16868" w:orient="portrait"/>
          <w:cols w:equalWidth="0" w:num="1">
            <w:col w:w="10239"/>
          </w:cols>
          <w:pgMar w:left="220" w:top="1440" w:right="1440" w:bottom="0" w:gutter="0" w:footer="0" w:header="0"/>
        </w:sectPr>
      </w:pPr>
    </w:p>
    <w:p>
      <w:pPr>
        <w:spacing w:after="0" w:line="200" w:lineRule="exact"/>
        <w:rPr>
          <w:sz w:val="20"/>
          <w:szCs w:val="20"/>
          <w:color w:val="auto"/>
        </w:rPr>
      </w:pPr>
    </w:p>
    <w:p>
      <w:pPr>
        <w:spacing w:after="0" w:line="205" w:lineRule="exact"/>
        <w:rPr>
          <w:sz w:val="20"/>
          <w:szCs w:val="20"/>
          <w:color w:val="auto"/>
        </w:rPr>
      </w:pPr>
    </w:p>
    <w:p>
      <w:pPr>
        <w:ind w:left="5480"/>
        <w:spacing w:after="0"/>
        <w:rPr>
          <w:sz w:val="20"/>
          <w:szCs w:val="20"/>
          <w:color w:val="auto"/>
        </w:rPr>
      </w:pPr>
      <w:r>
        <w:rPr>
          <w:rFonts w:ascii="Courier New" w:cs="Courier New" w:eastAsia="Courier New" w:hAnsi="Courier New"/>
          <w:sz w:val="12"/>
          <w:szCs w:val="12"/>
          <w:color w:val="auto"/>
        </w:rPr>
        <w:t>Note</w:t>
      </w:r>
    </w:p>
    <w:p>
      <w:pPr>
        <w:spacing w:after="0" w:line="4" w:lineRule="exact"/>
        <w:rPr>
          <w:sz w:val="20"/>
          <w:szCs w:val="20"/>
          <w:color w:val="auto"/>
        </w:rPr>
      </w:pPr>
    </w:p>
    <w:p>
      <w:pPr>
        <w:ind w:left="5340"/>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center"/>
        <w:ind w:right="1399"/>
        <w:spacing w:after="0" w:line="236" w:lineRule="auto"/>
        <w:rPr>
          <w:sz w:val="20"/>
          <w:szCs w:val="20"/>
          <w:color w:val="auto"/>
        </w:rPr>
      </w:pPr>
      <w:r>
        <w:rPr>
          <w:rFonts w:ascii="Courier New" w:cs="Courier New" w:eastAsia="Courier New" w:hAnsi="Courier New"/>
          <w:sz w:val="12"/>
          <w:szCs w:val="12"/>
          <w:color w:val="auto"/>
        </w:rPr>
        <w:t>Year ended December 31, ------------------------------------- 2007          2006           2005 ---------     ---------     ---------</w:t>
      </w:r>
    </w:p>
    <w:p>
      <w:pPr>
        <w:spacing w:after="0" w:line="141" w:lineRule="exact"/>
        <w:rPr>
          <w:sz w:val="20"/>
          <w:szCs w:val="20"/>
          <w:color w:val="auto"/>
        </w:rPr>
      </w:pPr>
    </w:p>
    <w:p>
      <w:pPr>
        <w:sectPr>
          <w:pgSz w:w="11900" w:h="16868" w:orient="portrait"/>
          <w:cols w:equalWidth="0" w:num="2">
            <w:col w:w="5960" w:space="280"/>
            <w:col w:w="3999"/>
          </w:cols>
          <w:pgMar w:left="220" w:top="1440" w:right="1440"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REVENUES</w:t>
      </w:r>
    </w:p>
    <w:p>
      <w:pPr>
        <w:sectPr>
          <w:pgSz w:w="11900" w:h="16868" w:orient="portrait"/>
          <w:cols w:equalWidth="0" w:num="1">
            <w:col w:w="10239"/>
          </w:cols>
          <w:pgMar w:left="220" w:top="1440" w:right="1440" w:bottom="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36"/>
        </w:trPr>
        <w:tc>
          <w:tcPr>
            <w:tcW w:w="3640" w:type="dxa"/>
            <w:vAlign w:val="bottom"/>
          </w:tcPr>
          <w:p>
            <w:pPr>
              <w:ind w:left="340"/>
              <w:spacing w:after="0"/>
              <w:rPr>
                <w:sz w:val="20"/>
                <w:szCs w:val="20"/>
                <w:color w:val="auto"/>
              </w:rPr>
            </w:pPr>
            <w:r>
              <w:rPr>
                <w:rFonts w:ascii="Courier New" w:cs="Courier New" w:eastAsia="Courier New" w:hAnsi="Courier New"/>
                <w:sz w:val="12"/>
                <w:szCs w:val="12"/>
                <w:color w:val="auto"/>
              </w:rPr>
              <w:t>SALES</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15</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$ 230,853</w:t>
            </w:r>
          </w:p>
        </w:tc>
        <w:tc>
          <w:tcPr>
            <w:tcW w:w="34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$ 187,438</w:t>
            </w:r>
          </w:p>
        </w:tc>
        <w:tc>
          <w:tcPr>
            <w:tcW w:w="360" w:type="dxa"/>
            <w:vAlign w:val="bottom"/>
          </w:tcPr>
          <w:p>
            <w:pPr>
              <w:spacing w:after="0"/>
              <w:rPr>
                <w:sz w:val="11"/>
                <w:szCs w:val="11"/>
                <w:color w:val="auto"/>
              </w:rPr>
            </w:pPr>
          </w:p>
        </w:tc>
        <w:tc>
          <w:tcPr>
            <w:tcW w:w="140" w:type="dxa"/>
            <w:vAlign w:val="bottom"/>
          </w:tcPr>
          <w:p>
            <w:pPr>
              <w:jc w:val="right"/>
              <w:ind w:right="23"/>
              <w:spacing w:after="0"/>
              <w:rPr>
                <w:sz w:val="20"/>
                <w:szCs w:val="20"/>
                <w:color w:val="auto"/>
              </w:rPr>
            </w:pPr>
            <w:r>
              <w:rPr>
                <w:rFonts w:ascii="Courier New" w:cs="Courier New" w:eastAsia="Courier New" w:hAnsi="Courier New"/>
                <w:sz w:val="9"/>
                <w:szCs w:val="9"/>
                <w:color w:val="auto"/>
                <w:w w:val="73"/>
              </w:rPr>
              <w:t>$</w:t>
            </w:r>
          </w:p>
        </w:tc>
        <w:tc>
          <w:tcPr>
            <w:tcW w:w="88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rPr>
              <w:t>93,991</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560" w:type="dxa"/>
            <w:vAlign w:val="bottom"/>
            <w:gridSpan w:val="2"/>
          </w:tcPr>
          <w:p>
            <w:pPr>
              <w:ind w:left="340"/>
              <w:spacing w:after="0"/>
              <w:rPr>
                <w:sz w:val="20"/>
                <w:szCs w:val="20"/>
                <w:color w:val="auto"/>
              </w:rPr>
            </w:pPr>
            <w:r>
              <w:rPr>
                <w:rFonts w:ascii="Courier New" w:cs="Courier New" w:eastAsia="Courier New" w:hAnsi="Courier New"/>
                <w:sz w:val="12"/>
                <w:szCs w:val="12"/>
                <w:color w:val="auto"/>
              </w:rPr>
              <w:t>REVENUES RELATED TO A JOINT DEVELOPMENT AGREEMENT</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w w:val="83"/>
              </w:rPr>
              <w:t>13B</w:t>
            </w:r>
          </w:p>
        </w:tc>
        <w:tc>
          <w:tcPr>
            <w:tcW w:w="4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rPr>
              <w:t>8,000</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360" w:type="dxa"/>
            <w:vAlign w:val="bottom"/>
          </w:tcPr>
          <w:p>
            <w:pPr>
              <w:spacing w:after="0"/>
              <w:rPr>
                <w:sz w:val="11"/>
                <w:szCs w:val="11"/>
                <w:color w:val="auto"/>
              </w:rPr>
            </w:pPr>
          </w:p>
        </w:tc>
        <w:tc>
          <w:tcPr>
            <w:tcW w:w="1020" w:type="dxa"/>
            <w:vAlign w:val="bottom"/>
            <w:gridSpan w:val="3"/>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230,853</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187,438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1"/>
              </w:rPr>
              <w:t>101,991</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COST OF SALES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284,771</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267,520</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w w:val="91"/>
              </w:rPr>
              <w:t>238,358</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360" w:type="dxa"/>
            <w:vAlign w:val="bottom"/>
          </w:tcPr>
          <w:p>
            <w:pPr>
              <w:spacing w:after="0"/>
              <w:rPr>
                <w:sz w:val="11"/>
                <w:szCs w:val="11"/>
                <w:color w:val="auto"/>
              </w:rPr>
            </w:pPr>
          </w:p>
        </w:tc>
        <w:tc>
          <w:tcPr>
            <w:tcW w:w="1020" w:type="dxa"/>
            <w:vAlign w:val="bottom"/>
            <w:gridSpan w:val="3"/>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ind w:left="560"/>
              <w:spacing w:after="0"/>
              <w:rPr>
                <w:sz w:val="20"/>
                <w:szCs w:val="20"/>
                <w:color w:val="auto"/>
              </w:rPr>
            </w:pPr>
            <w:r>
              <w:rPr>
                <w:rFonts w:ascii="Courier New" w:cs="Courier New" w:eastAsia="Courier New" w:hAnsi="Courier New"/>
                <w:sz w:val="12"/>
                <w:szCs w:val="12"/>
                <w:color w:val="auto"/>
              </w:rPr>
              <w:t>GROSS LOSS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3"/>
              </w:rPr>
              <w:t>(53,918)</w:t>
            </w:r>
          </w:p>
        </w:tc>
        <w:tc>
          <w:tcPr>
            <w:tcW w:w="140" w:type="dxa"/>
            <w:vAlign w:val="bottom"/>
          </w:tcPr>
          <w:p>
            <w:pPr>
              <w:spacing w:after="0"/>
              <w:rPr>
                <w:sz w:val="23"/>
                <w:szCs w:val="23"/>
                <w:color w:val="auto"/>
              </w:rPr>
            </w:pPr>
          </w:p>
        </w:tc>
        <w:tc>
          <w:tcPr>
            <w:tcW w:w="8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7"/>
              </w:rPr>
              <w:t>(80,082)</w:t>
            </w:r>
          </w:p>
        </w:tc>
        <w:tc>
          <w:tcPr>
            <w:tcW w:w="1020" w:type="dxa"/>
            <w:vAlign w:val="bottom"/>
            <w:gridSpan w:val="3"/>
          </w:tcPr>
          <w:p>
            <w:pPr>
              <w:jc w:val="right"/>
              <w:ind w:right="261"/>
              <w:spacing w:after="0"/>
              <w:rPr>
                <w:sz w:val="20"/>
                <w:szCs w:val="20"/>
                <w:color w:val="auto"/>
              </w:rPr>
            </w:pPr>
            <w:r>
              <w:rPr>
                <w:rFonts w:ascii="Courier New" w:cs="Courier New" w:eastAsia="Courier New" w:hAnsi="Courier New"/>
                <w:sz w:val="12"/>
                <w:szCs w:val="12"/>
                <w:color w:val="auto"/>
              </w:rPr>
              <w:t>(136,367)</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360" w:type="dxa"/>
            <w:vAlign w:val="bottom"/>
          </w:tcPr>
          <w:p>
            <w:pPr>
              <w:spacing w:after="0"/>
              <w:rPr>
                <w:sz w:val="11"/>
                <w:szCs w:val="11"/>
                <w:color w:val="auto"/>
              </w:rPr>
            </w:pPr>
          </w:p>
        </w:tc>
        <w:tc>
          <w:tcPr>
            <w:tcW w:w="1020" w:type="dxa"/>
            <w:vAlign w:val="bottom"/>
            <w:gridSpan w:val="3"/>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OPERATING COSTS AND EXPENSES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3640" w:type="dxa"/>
            <w:vAlign w:val="bottom"/>
          </w:tcPr>
          <w:p>
            <w:pPr>
              <w:ind w:left="340"/>
              <w:spacing w:after="0"/>
              <w:rPr>
                <w:sz w:val="20"/>
                <w:szCs w:val="20"/>
                <w:color w:val="auto"/>
              </w:rPr>
            </w:pPr>
            <w:r>
              <w:rPr>
                <w:rFonts w:ascii="Courier New" w:cs="Courier New" w:eastAsia="Courier New" w:hAnsi="Courier New"/>
                <w:sz w:val="12"/>
                <w:szCs w:val="12"/>
                <w:color w:val="auto"/>
              </w:rPr>
              <w:t>RESEARCH AND DEVELOPMENT</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13,790</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15,048</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rPr>
              <w:t>16,029</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ind w:left="340"/>
              <w:spacing w:after="0"/>
              <w:rPr>
                <w:sz w:val="20"/>
                <w:szCs w:val="20"/>
                <w:color w:val="auto"/>
              </w:rPr>
            </w:pPr>
            <w:r>
              <w:rPr>
                <w:rFonts w:ascii="Courier New" w:cs="Courier New" w:eastAsia="Courier New" w:hAnsi="Courier New"/>
                <w:sz w:val="12"/>
                <w:szCs w:val="12"/>
                <w:color w:val="auto"/>
              </w:rPr>
              <w:t>MARKETING, GENERAL AND ADMINISTRATIVE</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31,604</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25,831</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rPr>
              <w:t>17,418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360" w:type="dxa"/>
            <w:vAlign w:val="bottom"/>
          </w:tcPr>
          <w:p>
            <w:pPr>
              <w:spacing w:after="0"/>
              <w:rPr>
                <w:sz w:val="11"/>
                <w:szCs w:val="11"/>
                <w:color w:val="auto"/>
              </w:rPr>
            </w:pPr>
          </w:p>
        </w:tc>
        <w:tc>
          <w:tcPr>
            <w:tcW w:w="1020" w:type="dxa"/>
            <w:vAlign w:val="bottom"/>
            <w:gridSpan w:val="3"/>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45,394</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40,879</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rPr>
              <w:t>33,447</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360" w:type="dxa"/>
            <w:vAlign w:val="bottom"/>
          </w:tcPr>
          <w:p>
            <w:pPr>
              <w:spacing w:after="0"/>
              <w:rPr>
                <w:sz w:val="11"/>
                <w:szCs w:val="11"/>
                <w:color w:val="auto"/>
              </w:rPr>
            </w:pPr>
          </w:p>
        </w:tc>
        <w:tc>
          <w:tcPr>
            <w:tcW w:w="1020" w:type="dxa"/>
            <w:vAlign w:val="bottom"/>
            <w:gridSpan w:val="3"/>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ind w:left="560"/>
              <w:spacing w:after="0"/>
              <w:rPr>
                <w:sz w:val="20"/>
                <w:szCs w:val="20"/>
                <w:color w:val="auto"/>
              </w:rPr>
            </w:pPr>
            <w:r>
              <w:rPr>
                <w:rFonts w:ascii="Courier New" w:cs="Courier New" w:eastAsia="Courier New" w:hAnsi="Courier New"/>
                <w:sz w:val="12"/>
                <w:szCs w:val="12"/>
                <w:color w:val="auto"/>
              </w:rPr>
              <w:t>OPERATING LOSS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3"/>
              </w:rPr>
              <w:t>(99,312)</w:t>
            </w:r>
          </w:p>
        </w:tc>
        <w:tc>
          <w:tcPr>
            <w:tcW w:w="100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(120,961)</w:t>
            </w:r>
          </w:p>
        </w:tc>
        <w:tc>
          <w:tcPr>
            <w:tcW w:w="1020" w:type="dxa"/>
            <w:vAlign w:val="bottom"/>
            <w:gridSpan w:val="3"/>
          </w:tcPr>
          <w:p>
            <w:pPr>
              <w:jc w:val="right"/>
              <w:ind w:right="261"/>
              <w:spacing w:after="0"/>
              <w:rPr>
                <w:sz w:val="20"/>
                <w:szCs w:val="20"/>
                <w:color w:val="auto"/>
              </w:rPr>
            </w:pPr>
            <w:r>
              <w:rPr>
                <w:rFonts w:ascii="Courier New" w:cs="Courier New" w:eastAsia="Courier New" w:hAnsi="Courier New"/>
                <w:sz w:val="12"/>
                <w:szCs w:val="12"/>
                <w:color w:val="auto"/>
              </w:rPr>
              <w:t>(169,814)</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FINANCING EXPENSE, NET</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11, 16</w:t>
            </w:r>
          </w:p>
        </w:tc>
        <w:tc>
          <w:tcPr>
            <w:tcW w:w="420" w:type="dxa"/>
            <w:vAlign w:val="bottom"/>
          </w:tcPr>
          <w:p>
            <w:pPr>
              <w:spacing w:after="0"/>
              <w:rPr>
                <w:sz w:val="23"/>
                <w:szCs w:val="23"/>
                <w:color w:val="auto"/>
              </w:rPr>
            </w:pPr>
          </w:p>
        </w:tc>
        <w:tc>
          <w:tcPr>
            <w:tcW w:w="8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3"/>
              </w:rPr>
              <w:t>(34,976)</w:t>
            </w:r>
          </w:p>
        </w:tc>
        <w:tc>
          <w:tcPr>
            <w:tcW w:w="140" w:type="dxa"/>
            <w:vAlign w:val="bottom"/>
          </w:tcPr>
          <w:p>
            <w:pPr>
              <w:spacing w:after="0"/>
              <w:rPr>
                <w:sz w:val="23"/>
                <w:szCs w:val="23"/>
                <w:color w:val="auto"/>
              </w:rPr>
            </w:pPr>
          </w:p>
        </w:tc>
        <w:tc>
          <w:tcPr>
            <w:tcW w:w="8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w w:val="97"/>
              </w:rPr>
              <w:t>(47,563)</w:t>
            </w:r>
          </w:p>
        </w:tc>
        <w:tc>
          <w:tcPr>
            <w:tcW w:w="140" w:type="dxa"/>
            <w:vAlign w:val="bottom"/>
          </w:tcPr>
          <w:p>
            <w:pPr>
              <w:spacing w:after="0"/>
              <w:rPr>
                <w:sz w:val="23"/>
                <w:szCs w:val="23"/>
                <w:color w:val="auto"/>
              </w:rPr>
            </w:pPr>
          </w:p>
        </w:tc>
        <w:tc>
          <w:tcPr>
            <w:tcW w:w="8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w w:val="93"/>
              </w:rPr>
              <w:t>(35,651)</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OTHER INCOME, NET</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92</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597</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rPr>
              <w:t>2,383</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360" w:type="dxa"/>
            <w:vAlign w:val="bottom"/>
          </w:tcPr>
          <w:p>
            <w:pPr>
              <w:spacing w:after="0"/>
              <w:rPr>
                <w:sz w:val="11"/>
                <w:szCs w:val="11"/>
                <w:color w:val="auto"/>
              </w:rPr>
            </w:pPr>
          </w:p>
        </w:tc>
        <w:tc>
          <w:tcPr>
            <w:tcW w:w="1020" w:type="dxa"/>
            <w:vAlign w:val="bottom"/>
            <w:gridSpan w:val="3"/>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ind w:left="980"/>
              <w:spacing w:after="0"/>
              <w:rPr>
                <w:sz w:val="20"/>
                <w:szCs w:val="20"/>
                <w:color w:val="auto"/>
              </w:rPr>
            </w:pPr>
            <w:r>
              <w:rPr>
                <w:rFonts w:ascii="Courier New" w:cs="Courier New" w:eastAsia="Courier New" w:hAnsi="Courier New"/>
                <w:sz w:val="12"/>
                <w:szCs w:val="12"/>
                <w:color w:val="auto"/>
              </w:rPr>
              <w:t>LOSS FOR THE YEAR</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$(134,196)</w:t>
            </w:r>
          </w:p>
        </w:tc>
        <w:tc>
          <w:tcPr>
            <w:tcW w:w="100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w w:val="97"/>
              </w:rPr>
              <w:t>$(167,927)</w:t>
            </w:r>
          </w:p>
        </w:tc>
        <w:tc>
          <w:tcPr>
            <w:tcW w:w="1020" w:type="dxa"/>
            <w:vAlign w:val="bottom"/>
            <w:gridSpan w:val="3"/>
          </w:tcPr>
          <w:p>
            <w:pPr>
              <w:jc w:val="right"/>
              <w:ind w:right="261"/>
              <w:spacing w:after="0"/>
              <w:rPr>
                <w:sz w:val="20"/>
                <w:szCs w:val="20"/>
                <w:color w:val="auto"/>
              </w:rPr>
            </w:pPr>
            <w:r>
              <w:rPr>
                <w:rFonts w:ascii="Courier New" w:cs="Courier New" w:eastAsia="Courier New" w:hAnsi="Courier New"/>
                <w:sz w:val="12"/>
                <w:szCs w:val="12"/>
                <w:color w:val="auto"/>
                <w:w w:val="94"/>
              </w:rPr>
              <w:t>$(203,082)</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360" w:type="dxa"/>
            <w:vAlign w:val="bottom"/>
          </w:tcPr>
          <w:p>
            <w:pPr>
              <w:spacing w:after="0"/>
              <w:rPr>
                <w:sz w:val="11"/>
                <w:szCs w:val="11"/>
                <w:color w:val="auto"/>
              </w:rPr>
            </w:pPr>
          </w:p>
        </w:tc>
        <w:tc>
          <w:tcPr>
            <w:tcW w:w="1020" w:type="dxa"/>
            <w:vAlign w:val="bottom"/>
            <w:gridSpan w:val="3"/>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BASIC LOSS PER ORDINARY SHARE</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3640" w:type="dxa"/>
            <w:vAlign w:val="bottom"/>
          </w:tcPr>
          <w:p>
            <w:pPr>
              <w:ind w:left="340"/>
              <w:spacing w:after="0"/>
              <w:rPr>
                <w:sz w:val="20"/>
                <w:szCs w:val="20"/>
                <w:color w:val="auto"/>
              </w:rPr>
            </w:pPr>
            <w:r>
              <w:rPr>
                <w:rFonts w:ascii="Courier New" w:cs="Courier New" w:eastAsia="Courier New" w:hAnsi="Courier New"/>
                <w:sz w:val="12"/>
                <w:szCs w:val="12"/>
                <w:color w:val="auto"/>
              </w:rPr>
              <w:t>LOSS PER SHARE</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(1.13)</w:t>
            </w:r>
          </w:p>
        </w:tc>
        <w:tc>
          <w:tcPr>
            <w:tcW w:w="140" w:type="dxa"/>
            <w:vAlign w:val="bottom"/>
          </w:tcPr>
          <w:p>
            <w:pPr>
              <w:jc w:val="right"/>
              <w:ind w:right="1"/>
              <w:spacing w:after="0"/>
              <w:rPr>
                <w:sz w:val="20"/>
                <w:szCs w:val="20"/>
                <w:color w:val="auto"/>
              </w:rPr>
            </w:pPr>
            <w:r>
              <w:rPr>
                <w:rFonts w:ascii="Courier New" w:cs="Courier New" w:eastAsia="Courier New" w:hAnsi="Courier New"/>
                <w:sz w:val="12"/>
                <w:szCs w:val="12"/>
                <w:color w:val="auto"/>
                <w:w w:val="82"/>
              </w:rPr>
              <w:t>$</w:t>
            </w:r>
          </w:p>
        </w:tc>
        <w:tc>
          <w:tcPr>
            <w:tcW w:w="86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(2.03)</w:t>
            </w:r>
          </w:p>
        </w:tc>
        <w:tc>
          <w:tcPr>
            <w:tcW w:w="140" w:type="dxa"/>
            <w:vAlign w:val="bottom"/>
          </w:tcPr>
          <w:p>
            <w:pPr>
              <w:jc w:val="right"/>
              <w:ind w:right="23"/>
              <w:spacing w:after="0"/>
              <w:rPr>
                <w:sz w:val="20"/>
                <w:szCs w:val="20"/>
                <w:color w:val="auto"/>
              </w:rPr>
            </w:pPr>
            <w:r>
              <w:rPr>
                <w:rFonts w:ascii="Courier New" w:cs="Courier New" w:eastAsia="Courier New" w:hAnsi="Courier New"/>
                <w:sz w:val="9"/>
                <w:szCs w:val="9"/>
                <w:color w:val="auto"/>
                <w:w w:val="73"/>
              </w:rPr>
              <w:t>$</w:t>
            </w:r>
          </w:p>
        </w:tc>
        <w:tc>
          <w:tcPr>
            <w:tcW w:w="880" w:type="dxa"/>
            <w:vAlign w:val="bottom"/>
            <w:gridSpan w:val="2"/>
          </w:tcPr>
          <w:p>
            <w:pPr>
              <w:jc w:val="right"/>
              <w:ind w:right="261"/>
              <w:spacing w:after="0"/>
              <w:rPr>
                <w:sz w:val="20"/>
                <w:szCs w:val="20"/>
                <w:color w:val="auto"/>
              </w:rPr>
            </w:pPr>
            <w:r>
              <w:rPr>
                <w:rFonts w:ascii="Courier New" w:cs="Courier New" w:eastAsia="Courier New" w:hAnsi="Courier New"/>
                <w:sz w:val="12"/>
                <w:szCs w:val="12"/>
                <w:color w:val="auto"/>
              </w:rPr>
              <w:t>(3.06)</w:t>
            </w: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360" w:type="dxa"/>
            <w:vAlign w:val="bottom"/>
          </w:tcPr>
          <w:p>
            <w:pPr>
              <w:spacing w:after="0"/>
              <w:rPr>
                <w:sz w:val="11"/>
                <w:szCs w:val="11"/>
                <w:color w:val="auto"/>
              </w:rPr>
            </w:pPr>
          </w:p>
        </w:tc>
        <w:tc>
          <w:tcPr>
            <w:tcW w:w="1020" w:type="dxa"/>
            <w:vAlign w:val="bottom"/>
            <w:gridSpan w:val="3"/>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ind w:left="340"/>
              <w:spacing w:after="0"/>
              <w:rPr>
                <w:sz w:val="20"/>
                <w:szCs w:val="20"/>
                <w:color w:val="auto"/>
              </w:rPr>
            </w:pPr>
            <w:r>
              <w:rPr>
                <w:rFonts w:ascii="Courier New" w:cs="Courier New" w:eastAsia="Courier New" w:hAnsi="Courier New"/>
                <w:sz w:val="12"/>
                <w:szCs w:val="12"/>
                <w:color w:val="auto"/>
              </w:rPr>
              <w:t>WEIGHTED AVERAGE NUMBER OF ORDINARY</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ind w:left="560"/>
              <w:spacing w:after="0"/>
              <w:rPr>
                <w:sz w:val="20"/>
                <w:szCs w:val="20"/>
                <w:color w:val="auto"/>
              </w:rPr>
            </w:pPr>
            <w:r>
              <w:rPr>
                <w:rFonts w:ascii="Courier New" w:cs="Courier New" w:eastAsia="Courier New" w:hAnsi="Courier New"/>
                <w:sz w:val="12"/>
                <w:szCs w:val="12"/>
                <w:color w:val="auto"/>
              </w:rPr>
              <w:t>SHARES OUTSTANDING - IN THOUSANDS</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w w:val="95"/>
              </w:rPr>
              <w:t>118,857</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82,581</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341"/>
              <w:spacing w:after="0"/>
              <w:rPr>
                <w:sz w:val="20"/>
                <w:szCs w:val="20"/>
                <w:color w:val="auto"/>
              </w:rPr>
            </w:pPr>
            <w:r>
              <w:rPr>
                <w:rFonts w:ascii="Courier New" w:cs="Courier New" w:eastAsia="Courier New" w:hAnsi="Courier New"/>
                <w:sz w:val="12"/>
                <w:szCs w:val="12"/>
                <w:color w:val="auto"/>
              </w:rPr>
              <w:t>66,371</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6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w:t>
            </w:r>
          </w:p>
        </w:tc>
        <w:tc>
          <w:tcPr>
            <w:tcW w:w="360" w:type="dxa"/>
            <w:vAlign w:val="bottom"/>
          </w:tcPr>
          <w:p>
            <w:pPr>
              <w:spacing w:after="0"/>
              <w:rPr>
                <w:sz w:val="11"/>
                <w:szCs w:val="11"/>
                <w:color w:val="auto"/>
              </w:rPr>
            </w:pPr>
          </w:p>
        </w:tc>
        <w:tc>
          <w:tcPr>
            <w:tcW w:w="1020" w:type="dxa"/>
            <w:vAlign w:val="bottom"/>
            <w:gridSpan w:val="3"/>
          </w:tcPr>
          <w:p>
            <w:pPr>
              <w:jc w:val="right"/>
              <w:ind w:right="341"/>
              <w:spacing w:after="0"/>
              <w:rPr>
                <w:sz w:val="20"/>
                <w:szCs w:val="20"/>
                <w:color w:val="auto"/>
              </w:rPr>
            </w:pPr>
            <w:r>
              <w:rPr>
                <w:rFonts w:ascii="Courier New" w:cs="Courier New" w:eastAsia="Courier New" w:hAnsi="Courier New"/>
                <w:sz w:val="12"/>
                <w:szCs w:val="12"/>
                <w:color w:val="auto"/>
                <w:w w:val="92"/>
              </w:rPr>
              <w:t>=========</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SEE NOTES TO CONSOLIDATED FINANCIAL STATEMENTS.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405"/>
        </w:trPr>
        <w:tc>
          <w:tcPr>
            <w:tcW w:w="3640" w:type="dxa"/>
            <w:vAlign w:val="bottom"/>
          </w:tcPr>
          <w:p>
            <w:pPr>
              <w:ind w:left="2600"/>
              <w:spacing w:after="0"/>
              <w:rPr>
                <w:sz w:val="20"/>
                <w:szCs w:val="20"/>
                <w:color w:val="auto"/>
              </w:rPr>
            </w:pPr>
            <w:r>
              <w:rPr>
                <w:rFonts w:ascii="Courier New" w:cs="Courier New" w:eastAsia="Courier New" w:hAnsi="Courier New"/>
                <w:sz w:val="12"/>
                <w:szCs w:val="12"/>
                <w:color w:val="auto"/>
              </w:rPr>
              <w:t>F - 3</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22"/>
        </w:trPr>
        <w:tc>
          <w:tcPr>
            <w:tcW w:w="3640" w:type="dxa"/>
            <w:vAlign w:val="bottom"/>
          </w:tcPr>
          <w:p>
            <w:pPr>
              <w:ind w:left="1960"/>
              <w:spacing w:after="0"/>
              <w:rPr>
                <w:sz w:val="20"/>
                <w:szCs w:val="20"/>
                <w:color w:val="auto"/>
              </w:rPr>
            </w:pPr>
            <w:r>
              <w:rPr>
                <w:rFonts w:ascii="Courier New" w:cs="Courier New" w:eastAsia="Courier New" w:hAnsi="Courier New"/>
                <w:sz w:val="12"/>
                <w:szCs w:val="12"/>
                <w:color w:val="auto"/>
                <w:w w:val="96"/>
              </w:rPr>
              <w:t>TOWER SEMICONDUCTOR LTD.</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5"/>
        </w:trPr>
        <w:tc>
          <w:tcPr>
            <w:tcW w:w="4980" w:type="dxa"/>
            <w:vAlign w:val="bottom"/>
            <w:gridSpan w:val="3"/>
          </w:tcPr>
          <w:p>
            <w:pPr>
              <w:jc w:val="right"/>
              <w:ind w:right="161"/>
              <w:spacing w:after="0"/>
              <w:rPr>
                <w:sz w:val="20"/>
                <w:szCs w:val="20"/>
                <w:color w:val="auto"/>
              </w:rPr>
            </w:pPr>
            <w:r>
              <w:rPr>
                <w:rFonts w:ascii="Courier New" w:cs="Courier New" w:eastAsia="Courier New" w:hAnsi="Courier New"/>
                <w:sz w:val="12"/>
                <w:szCs w:val="12"/>
                <w:color w:val="auto"/>
              </w:rPr>
              <w:t>STATEMENTS OF CHANGES IN SHAREHOLDERS' EQUITY (DEFICIT)</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980" w:type="dxa"/>
            <w:vAlign w:val="bottom"/>
            <w:gridSpan w:val="3"/>
          </w:tcPr>
          <w:p>
            <w:pPr>
              <w:ind w:left="700"/>
              <w:spacing w:after="0"/>
              <w:rPr>
                <w:sz w:val="20"/>
                <w:szCs w:val="20"/>
                <w:color w:val="auto"/>
              </w:rPr>
            </w:pPr>
            <w:r>
              <w:rPr>
                <w:rFonts w:ascii="Courier New" w:cs="Courier New" w:eastAsia="Courier New" w:hAnsi="Courier New"/>
                <w:sz w:val="12"/>
                <w:szCs w:val="12"/>
                <w:color w:val="auto"/>
                <w:w w:val="98"/>
              </w:rPr>
              <w:t>(dollars in thousands, except share data and per share data)</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40" w:type="dxa"/>
            <w:vAlign w:val="bottom"/>
            <w:gridSpan w:val="2"/>
          </w:tcPr>
          <w:p>
            <w:pPr>
              <w:jc w:val="center"/>
              <w:ind w:right="21"/>
              <w:spacing w:after="0"/>
              <w:rPr>
                <w:sz w:val="20"/>
                <w:szCs w:val="20"/>
                <w:color w:val="auto"/>
              </w:rPr>
            </w:pPr>
            <w:r>
              <w:rPr>
                <w:rFonts w:ascii="Courier New" w:cs="Courier New" w:eastAsia="Courier New" w:hAnsi="Courier New"/>
                <w:sz w:val="12"/>
                <w:szCs w:val="12"/>
                <w:color w:val="auto"/>
                <w:w w:val="95"/>
              </w:rPr>
              <w:t>Accumulated</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Ordinary shares</w:t>
            </w:r>
          </w:p>
        </w:tc>
        <w:tc>
          <w:tcPr>
            <w:tcW w:w="500" w:type="dxa"/>
            <w:vAlign w:val="bottom"/>
          </w:tcPr>
          <w:p>
            <w:pPr>
              <w:spacing w:after="0"/>
              <w:rPr>
                <w:sz w:val="11"/>
                <w:szCs w:val="11"/>
                <w:color w:val="auto"/>
              </w:rPr>
            </w:pPr>
          </w:p>
        </w:tc>
        <w:tc>
          <w:tcPr>
            <w:tcW w:w="900" w:type="dxa"/>
            <w:vAlign w:val="bottom"/>
            <w:gridSpan w:val="3"/>
          </w:tcPr>
          <w:p>
            <w:pPr>
              <w:ind w:left="200"/>
              <w:spacing w:after="0"/>
              <w:rPr>
                <w:sz w:val="20"/>
                <w:szCs w:val="20"/>
                <w:color w:val="auto"/>
              </w:rPr>
            </w:pPr>
            <w:r>
              <w:rPr>
                <w:rFonts w:ascii="Courier New" w:cs="Courier New" w:eastAsia="Courier New" w:hAnsi="Courier New"/>
                <w:sz w:val="12"/>
                <w:szCs w:val="12"/>
                <w:color w:val="auto"/>
                <w:w w:val="94"/>
              </w:rPr>
              <w:t>Additional</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97"/>
              </w:rPr>
              <w:t>Cumulative</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center"/>
              <w:ind w:right="321"/>
              <w:spacing w:after="0"/>
              <w:rPr>
                <w:sz w:val="20"/>
                <w:szCs w:val="20"/>
                <w:color w:val="auto"/>
              </w:rPr>
            </w:pPr>
            <w:r>
              <w:rPr>
                <w:rFonts w:ascii="Courier New" w:cs="Courier New" w:eastAsia="Courier New" w:hAnsi="Courier New"/>
                <w:sz w:val="12"/>
                <w:szCs w:val="12"/>
                <w:color w:val="auto"/>
                <w:w w:val="99"/>
              </w:rPr>
              <w:t>other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184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w w:val="96"/>
              </w:rPr>
              <w:t>-------------------------</w:t>
            </w:r>
          </w:p>
        </w:tc>
        <w:tc>
          <w:tcPr>
            <w:tcW w:w="280" w:type="dxa"/>
            <w:vAlign w:val="bottom"/>
          </w:tcPr>
          <w:p>
            <w:pPr>
              <w:spacing w:after="0"/>
              <w:rPr>
                <w:sz w:val="11"/>
                <w:szCs w:val="11"/>
                <w:color w:val="auto"/>
              </w:rPr>
            </w:pPr>
          </w:p>
        </w:tc>
        <w:tc>
          <w:tcPr>
            <w:tcW w:w="6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w w:val="91"/>
              </w:rPr>
              <w:t>paid-in</w:t>
            </w:r>
          </w:p>
        </w:tc>
        <w:tc>
          <w:tcPr>
            <w:tcW w:w="980" w:type="dxa"/>
            <w:vAlign w:val="bottom"/>
            <w:gridSpan w:val="3"/>
          </w:tcPr>
          <w:p>
            <w:pPr>
              <w:jc w:val="center"/>
              <w:ind w:left="301"/>
              <w:spacing w:after="0"/>
              <w:rPr>
                <w:sz w:val="20"/>
                <w:szCs w:val="20"/>
                <w:color w:val="auto"/>
              </w:rPr>
            </w:pPr>
            <w:r>
              <w:rPr>
                <w:rFonts w:ascii="Courier New" w:cs="Courier New" w:eastAsia="Courier New" w:hAnsi="Courier New"/>
                <w:sz w:val="12"/>
                <w:szCs w:val="12"/>
                <w:color w:val="auto"/>
                <w:w w:val="99"/>
              </w:rPr>
              <w:t>Capital</w:t>
            </w:r>
          </w:p>
        </w:tc>
        <w:tc>
          <w:tcPr>
            <w:tcW w:w="1000" w:type="dxa"/>
            <w:vAlign w:val="bottom"/>
            <w:gridSpan w:val="3"/>
          </w:tcPr>
          <w:p>
            <w:pPr>
              <w:jc w:val="right"/>
              <w:ind w:right="23"/>
              <w:spacing w:after="0"/>
              <w:rPr>
                <w:sz w:val="20"/>
                <w:szCs w:val="20"/>
                <w:color w:val="auto"/>
              </w:rPr>
            </w:pPr>
            <w:r>
              <w:rPr>
                <w:rFonts w:ascii="Courier New" w:cs="Courier New" w:eastAsia="Courier New" w:hAnsi="Courier New"/>
                <w:sz w:val="12"/>
                <w:szCs w:val="12"/>
                <w:color w:val="auto"/>
              </w:rPr>
              <w:t>stock based</w:t>
            </w:r>
          </w:p>
        </w:tc>
        <w:tc>
          <w:tcPr>
            <w:tcW w:w="880" w:type="dxa"/>
            <w:vAlign w:val="bottom"/>
            <w:gridSpan w:val="2"/>
          </w:tcPr>
          <w:p>
            <w:pPr>
              <w:ind w:left="140"/>
              <w:spacing w:after="0"/>
              <w:rPr>
                <w:sz w:val="20"/>
                <w:szCs w:val="20"/>
                <w:color w:val="auto"/>
              </w:rPr>
            </w:pPr>
            <w:r>
              <w:rPr>
                <w:rFonts w:ascii="Courier New" w:cs="Courier New" w:eastAsia="Courier New" w:hAnsi="Courier New"/>
                <w:sz w:val="12"/>
                <w:szCs w:val="12"/>
                <w:color w:val="auto"/>
              </w:rPr>
              <w:t>Treasury</w:t>
            </w:r>
          </w:p>
        </w:tc>
        <w:tc>
          <w:tcPr>
            <w:tcW w:w="1040" w:type="dxa"/>
            <w:vAlign w:val="bottom"/>
            <w:gridSpan w:val="2"/>
          </w:tcPr>
          <w:p>
            <w:pPr>
              <w:jc w:val="center"/>
              <w:ind w:right="21"/>
              <w:spacing w:after="0"/>
              <w:rPr>
                <w:sz w:val="20"/>
                <w:szCs w:val="20"/>
                <w:color w:val="auto"/>
              </w:rPr>
            </w:pPr>
            <w:r>
              <w:rPr>
                <w:rFonts w:ascii="Courier New" w:cs="Courier New" w:eastAsia="Courier New" w:hAnsi="Courier New"/>
                <w:sz w:val="12"/>
                <w:szCs w:val="12"/>
                <w:color w:val="auto"/>
                <w:w w:val="98"/>
              </w:rPr>
              <w:t>comprehensive</w:t>
            </w:r>
          </w:p>
        </w:tc>
        <w:tc>
          <w:tcPr>
            <w:tcW w:w="1060" w:type="dxa"/>
            <w:vAlign w:val="bottom"/>
            <w:gridSpan w:val="2"/>
          </w:tcPr>
          <w:p>
            <w:pPr>
              <w:ind w:left="100"/>
              <w:spacing w:after="0"/>
              <w:rPr>
                <w:sz w:val="20"/>
                <w:szCs w:val="20"/>
                <w:color w:val="auto"/>
              </w:rPr>
            </w:pPr>
            <w:r>
              <w:rPr>
                <w:rFonts w:ascii="Courier New" w:cs="Courier New" w:eastAsia="Courier New" w:hAnsi="Courier New"/>
                <w:sz w:val="12"/>
                <w:szCs w:val="12"/>
                <w:color w:val="auto"/>
              </w:rPr>
              <w:t>Accumulated</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Co</w:t>
            </w:r>
          </w:p>
        </w:tc>
      </w:tr>
      <w:tr>
        <w:trPr>
          <w:trHeight w:val="135"/>
        </w:trPr>
        <w:tc>
          <w:tcPr>
            <w:tcW w:w="3640" w:type="dxa"/>
            <w:vAlign w:val="bottom"/>
          </w:tcPr>
          <w:p>
            <w:pPr>
              <w:spacing w:after="0"/>
              <w:rPr>
                <w:sz w:val="11"/>
                <w:szCs w:val="11"/>
                <w:color w:val="auto"/>
              </w:rPr>
            </w:pPr>
          </w:p>
        </w:tc>
        <w:tc>
          <w:tcPr>
            <w:tcW w:w="9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Shares</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Amount</w:t>
            </w:r>
          </w:p>
        </w:tc>
        <w:tc>
          <w:tcPr>
            <w:tcW w:w="280" w:type="dxa"/>
            <w:vAlign w:val="bottom"/>
          </w:tcPr>
          <w:p>
            <w:pPr>
              <w:spacing w:after="0"/>
              <w:rPr>
                <w:sz w:val="11"/>
                <w:szCs w:val="11"/>
                <w:color w:val="auto"/>
              </w:rPr>
            </w:pPr>
          </w:p>
        </w:tc>
        <w:tc>
          <w:tcPr>
            <w:tcW w:w="6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w w:val="91"/>
              </w:rPr>
              <w:t>capital</w:t>
            </w:r>
          </w:p>
        </w:tc>
        <w:tc>
          <w:tcPr>
            <w:tcW w:w="500" w:type="dxa"/>
            <w:vAlign w:val="bottom"/>
          </w:tcPr>
          <w:p>
            <w:pPr>
              <w:spacing w:after="0"/>
              <w:rPr>
                <w:sz w:val="11"/>
                <w:szCs w:val="11"/>
                <w:color w:val="auto"/>
              </w:rPr>
            </w:pPr>
          </w:p>
        </w:tc>
        <w:tc>
          <w:tcPr>
            <w:tcW w:w="340" w:type="dxa"/>
            <w:vAlign w:val="bottom"/>
          </w:tcPr>
          <w:p>
            <w:pPr>
              <w:jc w:val="center"/>
              <w:spacing w:after="0"/>
              <w:rPr>
                <w:sz w:val="20"/>
                <w:szCs w:val="20"/>
                <w:color w:val="auto"/>
              </w:rPr>
            </w:pPr>
            <w:r>
              <w:rPr>
                <w:rFonts w:ascii="Courier New" w:cs="Courier New" w:eastAsia="Courier New" w:hAnsi="Courier New"/>
                <w:sz w:val="12"/>
                <w:szCs w:val="12"/>
                <w:color w:val="auto"/>
                <w:w w:val="94"/>
              </w:rPr>
              <w:t>notes</w:t>
            </w:r>
          </w:p>
        </w:tc>
        <w:tc>
          <w:tcPr>
            <w:tcW w:w="140" w:type="dxa"/>
            <w:vAlign w:val="bottom"/>
          </w:tcPr>
          <w:p>
            <w:pPr>
              <w:spacing w:after="0"/>
              <w:rPr>
                <w:sz w:val="11"/>
                <w:szCs w:val="11"/>
                <w:color w:val="auto"/>
              </w:rPr>
            </w:pPr>
          </w:p>
        </w:tc>
        <w:tc>
          <w:tcPr>
            <w:tcW w:w="1000" w:type="dxa"/>
            <w:vAlign w:val="bottom"/>
            <w:gridSpan w:val="3"/>
          </w:tcPr>
          <w:p>
            <w:pPr>
              <w:ind w:left="140"/>
              <w:spacing w:after="0"/>
              <w:rPr>
                <w:sz w:val="20"/>
                <w:szCs w:val="20"/>
                <w:color w:val="auto"/>
              </w:rPr>
            </w:pPr>
            <w:r>
              <w:rPr>
                <w:rFonts w:ascii="Courier New" w:cs="Courier New" w:eastAsia="Courier New" w:hAnsi="Courier New"/>
                <w:sz w:val="12"/>
                <w:szCs w:val="12"/>
                <w:color w:val="auto"/>
                <w:w w:val="97"/>
              </w:rPr>
              <w:t>compensation</w:t>
            </w:r>
          </w:p>
        </w:tc>
        <w:tc>
          <w:tcPr>
            <w:tcW w:w="240" w:type="dxa"/>
            <w:vAlign w:val="bottom"/>
          </w:tcPr>
          <w:p>
            <w:pPr>
              <w:spacing w:after="0"/>
              <w:rPr>
                <w:sz w:val="11"/>
                <w:szCs w:val="11"/>
                <w:color w:val="auto"/>
              </w:rPr>
            </w:pPr>
          </w:p>
        </w:tc>
        <w:tc>
          <w:tcPr>
            <w:tcW w:w="640" w:type="dxa"/>
            <w:vAlign w:val="bottom"/>
          </w:tcPr>
          <w:p>
            <w:pPr>
              <w:jc w:val="right"/>
              <w:ind w:right="201"/>
              <w:spacing w:after="0"/>
              <w:rPr>
                <w:sz w:val="20"/>
                <w:szCs w:val="20"/>
                <w:color w:val="auto"/>
              </w:rPr>
            </w:pPr>
            <w:r>
              <w:rPr>
                <w:rFonts w:ascii="Courier New" w:cs="Courier New" w:eastAsia="Courier New" w:hAnsi="Courier New"/>
                <w:sz w:val="12"/>
                <w:szCs w:val="12"/>
                <w:color w:val="auto"/>
                <w:w w:val="99"/>
              </w:rPr>
              <w:t>stock</w:t>
            </w:r>
          </w:p>
        </w:tc>
        <w:tc>
          <w:tcPr>
            <w:tcW w:w="104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gain (loss)</w:t>
            </w:r>
          </w:p>
        </w:tc>
        <w:tc>
          <w:tcPr>
            <w:tcW w:w="260" w:type="dxa"/>
            <w:vAlign w:val="bottom"/>
          </w:tcPr>
          <w:p>
            <w:pPr>
              <w:spacing w:after="0"/>
              <w:rPr>
                <w:sz w:val="11"/>
                <w:szCs w:val="11"/>
                <w:color w:val="auto"/>
              </w:rPr>
            </w:pPr>
          </w:p>
        </w:tc>
        <w:tc>
          <w:tcPr>
            <w:tcW w:w="80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deficit</w:t>
            </w:r>
          </w:p>
        </w:tc>
        <w:tc>
          <w:tcPr>
            <w:tcW w:w="180" w:type="dxa"/>
            <w:vAlign w:val="bottom"/>
          </w:tcPr>
          <w:p>
            <w:pPr>
              <w:jc w:val="right"/>
              <w:spacing w:after="0"/>
              <w:rPr>
                <w:sz w:val="20"/>
                <w:szCs w:val="20"/>
                <w:color w:val="auto"/>
              </w:rPr>
            </w:pPr>
            <w:r>
              <w:rPr>
                <w:rFonts w:ascii="Courier New" w:cs="Courier New" w:eastAsia="Courier New" w:hAnsi="Courier New"/>
                <w:sz w:val="12"/>
                <w:szCs w:val="12"/>
                <w:color w:val="auto"/>
              </w:rPr>
              <w:t>i</w:t>
            </w:r>
          </w:p>
        </w:tc>
      </w:tr>
      <w:tr>
        <w:trPr>
          <w:trHeight w:val="135"/>
        </w:trPr>
        <w:tc>
          <w:tcPr>
            <w:tcW w:w="364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r>
      <w:tr>
        <w:trPr>
          <w:trHeight w:val="270"/>
        </w:trPr>
        <w:tc>
          <w:tcPr>
            <w:tcW w:w="3640" w:type="dxa"/>
            <w:vAlign w:val="bottom"/>
          </w:tcPr>
          <w:p>
            <w:pPr>
              <w:ind w:left="280"/>
              <w:spacing w:after="0"/>
              <w:rPr>
                <w:sz w:val="20"/>
                <w:szCs w:val="20"/>
                <w:color w:val="auto"/>
              </w:rPr>
            </w:pPr>
            <w:r>
              <w:rPr>
                <w:rFonts w:ascii="Courier New" w:cs="Courier New" w:eastAsia="Courier New" w:hAnsi="Courier New"/>
                <w:sz w:val="12"/>
                <w:szCs w:val="12"/>
                <w:color w:val="auto"/>
              </w:rPr>
              <w:t>BALANCE - JANUARY 1, 2005</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66,999,796</w:t>
            </w:r>
          </w:p>
        </w:tc>
        <w:tc>
          <w:tcPr>
            <w:tcW w:w="4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16,274</w:t>
            </w:r>
          </w:p>
        </w:tc>
        <w:tc>
          <w:tcPr>
            <w:tcW w:w="280" w:type="dxa"/>
            <w:vAlign w:val="bottom"/>
          </w:tcPr>
          <w:p>
            <w:pPr>
              <w:ind w:left="200"/>
              <w:spacing w:after="0"/>
              <w:rPr>
                <w:sz w:val="20"/>
                <w:szCs w:val="20"/>
                <w:color w:val="auto"/>
              </w:rPr>
            </w:pPr>
            <w:r>
              <w:rPr>
                <w:rFonts w:ascii="Courier New" w:cs="Courier New" w:eastAsia="Courier New" w:hAnsi="Courier New"/>
                <w:sz w:val="12"/>
                <w:szCs w:val="12"/>
                <w:color w:val="auto"/>
                <w:w w:val="82"/>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519,839</w:t>
            </w: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00" w:type="dxa"/>
            <w:vAlign w:val="bottom"/>
            <w:gridSpan w:val="2"/>
          </w:tcPr>
          <w:p>
            <w:pPr>
              <w:jc w:val="right"/>
              <w:ind w:right="23"/>
              <w:spacing w:after="0"/>
              <w:rPr>
                <w:sz w:val="20"/>
                <w:szCs w:val="20"/>
                <w:color w:val="auto"/>
              </w:rPr>
            </w:pPr>
            <w:r>
              <w:rPr>
                <w:rFonts w:ascii="Courier New" w:cs="Courier New" w:eastAsia="Courier New" w:hAnsi="Courier New"/>
                <w:sz w:val="12"/>
                <w:szCs w:val="12"/>
                <w:color w:val="auto"/>
              </w:rPr>
              <w:t>(26)</w:t>
            </w:r>
          </w:p>
        </w:tc>
        <w:tc>
          <w:tcPr>
            <w:tcW w:w="2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(9,072)</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 (7,055)</w:t>
            </w:r>
          </w:p>
        </w:tc>
        <w:tc>
          <w:tcPr>
            <w:tcW w:w="26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(356,642)</w:t>
            </w:r>
          </w:p>
        </w:tc>
        <w:tc>
          <w:tcPr>
            <w:tcW w:w="180" w:type="dxa"/>
            <w:vAlign w:val="bottom"/>
          </w:tcPr>
          <w:p>
            <w:pPr>
              <w:spacing w:after="0"/>
              <w:rPr>
                <w:sz w:val="23"/>
                <w:szCs w:val="23"/>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ISSUANCE OF SHARES</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1,232,260</w:t>
            </w:r>
          </w:p>
        </w:tc>
        <w:tc>
          <w:tcPr>
            <w:tcW w:w="420" w:type="dxa"/>
            <w:vAlign w:val="bottom"/>
          </w:tcPr>
          <w:p>
            <w:pPr>
              <w:spacing w:after="0"/>
              <w:rPr>
                <w:sz w:val="23"/>
                <w:szCs w:val="23"/>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274</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1,520</w:t>
            </w: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THE FACILITY</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AGREEMENT WITH THE BANKS, NOTE 14B(5)</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2,793</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RIGHTS</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OFFERED TO EMPLOYEES, NOTE 14I</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448</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OTHER COMPREHENSIVE GAIN</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5,501</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(203,082)</w:t>
            </w: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COMPREHENSIVE INCOME (LOSS)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405"/>
        </w:trPr>
        <w:tc>
          <w:tcPr>
            <w:tcW w:w="3640" w:type="dxa"/>
            <w:vAlign w:val="bottom"/>
          </w:tcPr>
          <w:p>
            <w:pPr>
              <w:spacing w:after="0"/>
              <w:rPr>
                <w:sz w:val="24"/>
                <w:szCs w:val="24"/>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24"/>
                <w:szCs w:val="24"/>
                <w:color w:val="auto"/>
              </w:rPr>
            </w:pPr>
          </w:p>
        </w:tc>
      </w:tr>
      <w:tr>
        <w:trPr>
          <w:trHeight w:val="135"/>
        </w:trPr>
        <w:tc>
          <w:tcPr>
            <w:tcW w:w="3640" w:type="dxa"/>
            <w:vAlign w:val="bottom"/>
          </w:tcPr>
          <w:p>
            <w:pPr>
              <w:ind w:left="280"/>
              <w:spacing w:after="0"/>
              <w:rPr>
                <w:sz w:val="20"/>
                <w:szCs w:val="20"/>
                <w:color w:val="auto"/>
              </w:rPr>
            </w:pPr>
            <w:r>
              <w:rPr>
                <w:rFonts w:ascii="Courier New" w:cs="Courier New" w:eastAsia="Courier New" w:hAnsi="Courier New"/>
                <w:sz w:val="12"/>
                <w:szCs w:val="12"/>
                <w:color w:val="auto"/>
              </w:rPr>
              <w:t>BALANCE - DECEMBER 31, 2005</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68,232,056</w:t>
            </w:r>
          </w:p>
        </w:tc>
        <w:tc>
          <w:tcPr>
            <w:tcW w:w="4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16,548</w:t>
            </w:r>
          </w:p>
        </w:tc>
        <w:tc>
          <w:tcPr>
            <w:tcW w:w="280" w:type="dxa"/>
            <w:vAlign w:val="bottom"/>
          </w:tcPr>
          <w:p>
            <w:pPr>
              <w:ind w:left="200"/>
              <w:spacing w:after="0"/>
              <w:rPr>
                <w:sz w:val="20"/>
                <w:szCs w:val="20"/>
                <w:color w:val="auto"/>
              </w:rPr>
            </w:pPr>
            <w:r>
              <w:rPr>
                <w:rFonts w:ascii="Courier New" w:cs="Courier New" w:eastAsia="Courier New" w:hAnsi="Courier New"/>
                <w:sz w:val="12"/>
                <w:szCs w:val="12"/>
                <w:color w:val="auto"/>
                <w:w w:val="82"/>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524,600</w:t>
            </w: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500" w:type="dxa"/>
            <w:vAlign w:val="bottom"/>
            <w:gridSpan w:val="2"/>
          </w:tcPr>
          <w:p>
            <w:pPr>
              <w:jc w:val="right"/>
              <w:ind w:right="23"/>
              <w:spacing w:after="0"/>
              <w:rPr>
                <w:sz w:val="20"/>
                <w:szCs w:val="20"/>
                <w:color w:val="auto"/>
              </w:rPr>
            </w:pPr>
            <w:r>
              <w:rPr>
                <w:rFonts w:ascii="Courier New" w:cs="Courier New" w:eastAsia="Courier New" w:hAnsi="Courier New"/>
                <w:sz w:val="12"/>
                <w:szCs w:val="12"/>
                <w:color w:val="auto"/>
              </w:rPr>
              <w:t>(26)</w:t>
            </w:r>
          </w:p>
        </w:tc>
        <w:tc>
          <w:tcPr>
            <w:tcW w:w="2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(9,072)</w:t>
            </w:r>
          </w:p>
        </w:tc>
        <w:tc>
          <w:tcPr>
            <w:tcW w:w="104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 (1,554)</w:t>
            </w:r>
          </w:p>
        </w:tc>
        <w:tc>
          <w:tcPr>
            <w:tcW w:w="26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(559,724)</w:t>
            </w: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16,729,145</w:t>
            </w:r>
          </w:p>
        </w:tc>
        <w:tc>
          <w:tcPr>
            <w:tcW w:w="420" w:type="dxa"/>
            <w:vAlign w:val="bottom"/>
          </w:tcPr>
          <w:p>
            <w:pPr>
              <w:spacing w:after="0"/>
              <w:rPr>
                <w:sz w:val="23"/>
                <w:szCs w:val="23"/>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3,860</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w w:val="92"/>
              </w:rPr>
              <w:t>26,126</w:t>
            </w: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CONVERSION OF CONVERTIBLE DEBENTURES TO SHARES</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16,734,316</w:t>
            </w:r>
          </w:p>
        </w:tc>
        <w:tc>
          <w:tcPr>
            <w:tcW w:w="4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3,696</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w w:val="92"/>
              </w:rPr>
              <w:t>15,634</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4"/>
              </w:rPr>
              <w:t>4,896</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EXERCISE OF OPTIONS</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7,250</w:t>
            </w:r>
          </w:p>
        </w:tc>
        <w:tc>
          <w:tcPr>
            <w:tcW w:w="4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9</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EXERCISE OF WARRANTS</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350,000</w:t>
            </w:r>
          </w:p>
        </w:tc>
        <w:tc>
          <w:tcPr>
            <w:tcW w:w="4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81</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469</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STOCK-BASED COMPENSATION RELATED TO THE FACILITY</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AGREEMENT WITH THE BANKS, NOTE 14B(5)</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4,146</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CAPITAL NOTES</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1"/>
              </w:rPr>
              <w:t>176,401</w:t>
            </w: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OTHER COMPREHENSIVE GAIN</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1,351</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(167,927)</w:t>
            </w: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COMPREHENSIVE INCOME (LOSS)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405"/>
        </w:trPr>
        <w:tc>
          <w:tcPr>
            <w:tcW w:w="3640" w:type="dxa"/>
            <w:vAlign w:val="bottom"/>
          </w:tcPr>
          <w:p>
            <w:pPr>
              <w:spacing w:after="0"/>
              <w:rPr>
                <w:sz w:val="24"/>
                <w:szCs w:val="24"/>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24"/>
                <w:szCs w:val="24"/>
                <w:color w:val="auto"/>
              </w:rPr>
            </w:pPr>
          </w:p>
        </w:tc>
      </w:tr>
      <w:tr>
        <w:trPr>
          <w:trHeight w:val="135"/>
        </w:trPr>
        <w:tc>
          <w:tcPr>
            <w:tcW w:w="3640" w:type="dxa"/>
            <w:vAlign w:val="bottom"/>
          </w:tcPr>
          <w:p>
            <w:pPr>
              <w:ind w:left="280"/>
              <w:spacing w:after="0"/>
              <w:rPr>
                <w:sz w:val="20"/>
                <w:szCs w:val="20"/>
                <w:color w:val="auto"/>
              </w:rPr>
            </w:pPr>
            <w:r>
              <w:rPr>
                <w:rFonts w:ascii="Courier New" w:cs="Courier New" w:eastAsia="Courier New" w:hAnsi="Courier New"/>
                <w:sz w:val="12"/>
                <w:szCs w:val="12"/>
                <w:color w:val="auto"/>
              </w:rPr>
              <w:t>BALANCE - DECEMBER 31, 2006</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102,052,767</w:t>
            </w:r>
          </w:p>
        </w:tc>
        <w:tc>
          <w:tcPr>
            <w:tcW w:w="4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24,187</w:t>
            </w:r>
          </w:p>
        </w:tc>
        <w:tc>
          <w:tcPr>
            <w:tcW w:w="280" w:type="dxa"/>
            <w:vAlign w:val="bottom"/>
          </w:tcPr>
          <w:p>
            <w:pPr>
              <w:ind w:left="200"/>
              <w:spacing w:after="0"/>
              <w:rPr>
                <w:sz w:val="20"/>
                <w:szCs w:val="20"/>
                <w:color w:val="auto"/>
              </w:rPr>
            </w:pPr>
            <w:r>
              <w:rPr>
                <w:rFonts w:ascii="Courier New" w:cs="Courier New" w:eastAsia="Courier New" w:hAnsi="Courier New"/>
                <w:sz w:val="12"/>
                <w:szCs w:val="12"/>
                <w:color w:val="auto"/>
                <w:w w:val="82"/>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570,984</w:t>
            </w: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1"/>
              </w:rPr>
              <w:t>176,401</w:t>
            </w: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4"/>
              </w:rPr>
              <w:t>4,870</w:t>
            </w:r>
          </w:p>
        </w:tc>
        <w:tc>
          <w:tcPr>
            <w:tcW w:w="140" w:type="dxa"/>
            <w:vAlign w:val="bottom"/>
          </w:tcPr>
          <w:p>
            <w:pPr>
              <w:spacing w:after="0"/>
              <w:rPr>
                <w:sz w:val="11"/>
                <w:szCs w:val="11"/>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(9,072)</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(203)</w:t>
            </w:r>
          </w:p>
        </w:tc>
        <w:tc>
          <w:tcPr>
            <w:tcW w:w="26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(727,651)</w:t>
            </w: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ISSUANCE OF SHARES AND WARRANTS</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22,705,598</w:t>
            </w:r>
          </w:p>
        </w:tc>
        <w:tc>
          <w:tcPr>
            <w:tcW w:w="420" w:type="dxa"/>
            <w:vAlign w:val="bottom"/>
          </w:tcPr>
          <w:p>
            <w:pPr>
              <w:spacing w:after="0"/>
              <w:rPr>
                <w:sz w:val="23"/>
                <w:szCs w:val="23"/>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5,398</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w w:val="92"/>
              </w:rPr>
              <w:t>29,469</w:t>
            </w: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CONVERSION OF CONVERTIBLE DEBENTURES TO SHARES</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591,520</w:t>
            </w:r>
          </w:p>
        </w:tc>
        <w:tc>
          <w:tcPr>
            <w:tcW w:w="4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142</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674</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EMPLOYEE STOCK-BASED COMPENSATION</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w w:val="94"/>
              </w:rPr>
              <w:t>8,731</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EXERCISE OF OPTIONS</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176,231</w:t>
            </w:r>
          </w:p>
        </w:tc>
        <w:tc>
          <w:tcPr>
            <w:tcW w:w="420" w:type="dxa"/>
            <w:vAlign w:val="bottom"/>
          </w:tcPr>
          <w:p>
            <w:pPr>
              <w:spacing w:after="0"/>
              <w:rPr>
                <w:sz w:val="11"/>
                <w:szCs w:val="11"/>
                <w:color w:val="auto"/>
              </w:rPr>
            </w:pP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44</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183</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RECLASSIFICATION OF BIFURCATED CONVERSION</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OPTION TO SHAREHOLDERS' EQUITY</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w w:val="92"/>
              </w:rPr>
              <w:t>28,377</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STOCK-BASED COMPENSATION, NOTE 14B(5)</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1,331</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(167)</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CUMULATIVE EFFECT ADJUSTMENT OF THE FACILITY</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ind w:left="200"/>
              <w:spacing w:after="0"/>
              <w:rPr>
                <w:sz w:val="20"/>
                <w:szCs w:val="20"/>
                <w:color w:val="auto"/>
              </w:rPr>
            </w:pPr>
            <w:r>
              <w:rPr>
                <w:rFonts w:ascii="Courier New" w:cs="Courier New" w:eastAsia="Courier New" w:hAnsi="Courier New"/>
                <w:sz w:val="12"/>
                <w:szCs w:val="12"/>
                <w:color w:val="auto"/>
              </w:rPr>
              <w:t>AGREEMENT TO RETAINED EARNINGS</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ind w:right="41"/>
              <w:spacing w:after="0"/>
              <w:rPr>
                <w:sz w:val="20"/>
                <w:szCs w:val="20"/>
                <w:color w:val="auto"/>
              </w:rPr>
            </w:pPr>
            <w:r>
              <w:rPr>
                <w:rFonts w:ascii="Courier New" w:cs="Courier New" w:eastAsia="Courier New" w:hAnsi="Courier New"/>
                <w:sz w:val="12"/>
                <w:szCs w:val="12"/>
                <w:color w:val="auto"/>
              </w:rPr>
              <w:t>65,207</w:t>
            </w: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20"/>
                <w:szCs w:val="20"/>
                <w:color w:val="auto"/>
              </w:rPr>
            </w:pPr>
            <w:r>
              <w:rPr>
                <w:rFonts w:ascii="Courier New" w:cs="Courier New" w:eastAsia="Courier New" w:hAnsi="Courier New"/>
                <w:sz w:val="12"/>
                <w:szCs w:val="12"/>
                <w:color w:val="auto"/>
              </w:rPr>
              <w:t>LOSS FOR THE YEAR</w:t>
            </w: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(134,196)</w:t>
            </w: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COMPREHENSIVE INCOME (LOSS)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3640" w:type="dxa"/>
            <w:vAlign w:val="bottom"/>
          </w:tcPr>
          <w:p>
            <w:pPr>
              <w:spacing w:after="0"/>
              <w:rPr>
                <w:sz w:val="23"/>
                <w:szCs w:val="23"/>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23"/>
                <w:szCs w:val="23"/>
                <w:color w:val="auto"/>
              </w:rPr>
            </w:pPr>
          </w:p>
        </w:tc>
      </w:tr>
      <w:tr>
        <w:trPr>
          <w:trHeight w:val="135"/>
        </w:trPr>
        <w:tc>
          <w:tcPr>
            <w:tcW w:w="3640" w:type="dxa"/>
            <w:vAlign w:val="bottom"/>
          </w:tcPr>
          <w:p>
            <w:pPr>
              <w:ind w:left="280"/>
              <w:spacing w:after="0"/>
              <w:rPr>
                <w:sz w:val="20"/>
                <w:szCs w:val="20"/>
                <w:color w:val="auto"/>
              </w:rPr>
            </w:pPr>
            <w:r>
              <w:rPr>
                <w:rFonts w:ascii="Courier New" w:cs="Courier New" w:eastAsia="Courier New" w:hAnsi="Courier New"/>
                <w:sz w:val="12"/>
                <w:szCs w:val="12"/>
                <w:color w:val="auto"/>
              </w:rPr>
              <w:t>BALANCE - DECEMBER 31, 2007</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125,526,116</w:t>
            </w:r>
          </w:p>
        </w:tc>
        <w:tc>
          <w:tcPr>
            <w:tcW w:w="4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2"/>
              </w:rPr>
              <w:t>29,771</w:t>
            </w:r>
          </w:p>
        </w:tc>
        <w:tc>
          <w:tcPr>
            <w:tcW w:w="280" w:type="dxa"/>
            <w:vAlign w:val="bottom"/>
          </w:tcPr>
          <w:p>
            <w:pPr>
              <w:ind w:left="200"/>
              <w:spacing w:after="0"/>
              <w:rPr>
                <w:sz w:val="20"/>
                <w:szCs w:val="20"/>
                <w:color w:val="auto"/>
              </w:rPr>
            </w:pPr>
            <w:r>
              <w:rPr>
                <w:rFonts w:ascii="Courier New" w:cs="Courier New" w:eastAsia="Courier New" w:hAnsi="Courier New"/>
                <w:sz w:val="12"/>
                <w:szCs w:val="12"/>
                <w:color w:val="auto"/>
                <w:w w:val="82"/>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631,018</w:t>
            </w: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1"/>
              </w:rPr>
              <w:t>176,401</w:t>
            </w:r>
          </w:p>
        </w:tc>
        <w:tc>
          <w:tcPr>
            <w:tcW w:w="8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$ 13,601</w:t>
            </w:r>
          </w:p>
        </w:tc>
        <w:tc>
          <w:tcPr>
            <w:tcW w:w="140" w:type="dxa"/>
            <w:vAlign w:val="bottom"/>
          </w:tcPr>
          <w:p>
            <w:pPr>
              <w:spacing w:after="0"/>
              <w:rPr>
                <w:sz w:val="11"/>
                <w:szCs w:val="11"/>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(9,072)</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(370)</w:t>
            </w:r>
          </w:p>
        </w:tc>
        <w:tc>
          <w:tcPr>
            <w:tcW w:w="260" w:type="dxa"/>
            <w:vAlign w:val="bottom"/>
          </w:tcPr>
          <w:p>
            <w:pPr>
              <w:ind w:left="100"/>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2"/>
                <w:szCs w:val="12"/>
                <w:color w:val="auto"/>
              </w:rPr>
              <w:t>(796,640)</w:t>
            </w: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1040" w:type="dxa"/>
            <w:vAlign w:val="bottom"/>
            <w:gridSpan w:val="2"/>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106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0"/>
                <w:szCs w:val="20"/>
                <w:color w:val="auto"/>
              </w:rPr>
            </w:pPr>
            <w:r>
              <w:rPr>
                <w:rFonts w:ascii="Courier New" w:cs="Courier New" w:eastAsia="Courier New" w:hAnsi="Courier New"/>
                <w:sz w:val="12"/>
                <w:szCs w:val="12"/>
                <w:color w:val="auto"/>
              </w:rPr>
              <w:t>SEE NOTES TO CONSOLIDATED FINANCIAL STATEMENTS.</w:t>
            </w: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405"/>
        </w:trPr>
        <w:tc>
          <w:tcPr>
            <w:tcW w:w="3640" w:type="dxa"/>
            <w:vAlign w:val="bottom"/>
          </w:tcPr>
          <w:p>
            <w:pPr>
              <w:ind w:left="2600"/>
              <w:spacing w:after="0"/>
              <w:rPr>
                <w:sz w:val="20"/>
                <w:szCs w:val="20"/>
                <w:color w:val="auto"/>
              </w:rPr>
            </w:pPr>
            <w:r>
              <w:rPr>
                <w:rFonts w:ascii="Courier New" w:cs="Courier New" w:eastAsia="Courier New" w:hAnsi="Courier New"/>
                <w:sz w:val="12"/>
                <w:szCs w:val="12"/>
                <w:color w:val="auto"/>
              </w:rPr>
              <w:t>F - 4</w:t>
            </w: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22"/>
        </w:trPr>
        <w:tc>
          <w:tcPr>
            <w:tcW w:w="4560" w:type="dxa"/>
            <w:vAlign w:val="bottom"/>
            <w:gridSpan w:val="2"/>
          </w:tcPr>
          <w:p>
            <w:pPr>
              <w:ind w:left="1460"/>
              <w:spacing w:after="0"/>
              <w:rPr>
                <w:sz w:val="20"/>
                <w:szCs w:val="20"/>
                <w:color w:val="auto"/>
              </w:rPr>
            </w:pPr>
            <w:r>
              <w:rPr>
                <w:rFonts w:ascii="Courier New" w:cs="Courier New" w:eastAsia="Courier New" w:hAnsi="Courier New"/>
                <w:sz w:val="12"/>
                <w:szCs w:val="12"/>
                <w:color w:val="auto"/>
              </w:rPr>
              <w:t>TOWER SEMICONDUCTOR LTD. AND SUBSIDIARY</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35"/>
        </w:trPr>
        <w:tc>
          <w:tcPr>
            <w:tcW w:w="4560" w:type="dxa"/>
            <w:vAlign w:val="bottom"/>
            <w:gridSpan w:val="2"/>
          </w:tcPr>
          <w:p>
            <w:pPr>
              <w:ind w:left="1540"/>
              <w:spacing w:after="0"/>
              <w:rPr>
                <w:sz w:val="20"/>
                <w:szCs w:val="20"/>
                <w:color w:val="auto"/>
              </w:rPr>
            </w:pPr>
            <w:r>
              <w:rPr>
                <w:rFonts w:ascii="Courier New" w:cs="Courier New" w:eastAsia="Courier New" w:hAnsi="Courier New"/>
                <w:sz w:val="12"/>
                <w:szCs w:val="12"/>
                <w:color w:val="auto"/>
              </w:rPr>
              <w:t>CONSOLIDATED STATEMENTS OF CASH FLOWS</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4980" w:type="dxa"/>
            <w:vAlign w:val="bottom"/>
            <w:gridSpan w:val="3"/>
          </w:tcPr>
          <w:p>
            <w:pPr>
              <w:ind w:left="700"/>
              <w:spacing w:after="0"/>
              <w:rPr>
                <w:sz w:val="20"/>
                <w:szCs w:val="20"/>
                <w:color w:val="auto"/>
              </w:rPr>
            </w:pPr>
            <w:r>
              <w:rPr>
                <w:rFonts w:ascii="Courier New" w:cs="Courier New" w:eastAsia="Courier New" w:hAnsi="Courier New"/>
                <w:sz w:val="12"/>
                <w:szCs w:val="12"/>
                <w:color w:val="auto"/>
                <w:w w:val="98"/>
              </w:rPr>
              <w:t>(dollars in thousands, except share data and per share data)</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70"/>
        </w:trPr>
        <w:tc>
          <w:tcPr>
            <w:tcW w:w="36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00" w:type="dxa"/>
            <w:vAlign w:val="bottom"/>
            <w:gridSpan w:val="5"/>
          </w:tcPr>
          <w:p>
            <w:pPr>
              <w:jc w:val="center"/>
              <w:ind w:left="221"/>
              <w:spacing w:after="0"/>
              <w:rPr>
                <w:sz w:val="20"/>
                <w:szCs w:val="20"/>
                <w:color w:val="auto"/>
              </w:rPr>
            </w:pPr>
            <w:r>
              <w:rPr>
                <w:rFonts w:ascii="Courier New" w:cs="Courier New" w:eastAsia="Courier New" w:hAnsi="Courier New"/>
                <w:sz w:val="12"/>
                <w:szCs w:val="12"/>
                <w:color w:val="auto"/>
                <w:w w:val="97"/>
              </w:rPr>
              <w:t>YEAR ENDED DECEMBER 31,</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0" w:type="dxa"/>
            <w:vAlign w:val="bottom"/>
            <w:gridSpan w:val="8"/>
          </w:tcPr>
          <w:p>
            <w:pPr>
              <w:jc w:val="right"/>
              <w:spacing w:after="0"/>
              <w:rPr>
                <w:sz w:val="20"/>
                <w:szCs w:val="20"/>
                <w:color w:val="auto"/>
              </w:rPr>
            </w:pPr>
            <w:r>
              <w:rPr>
                <w:rFonts w:ascii="Courier New" w:cs="Courier New" w:eastAsia="Courier New" w:hAnsi="Courier New"/>
                <w:sz w:val="12"/>
                <w:szCs w:val="12"/>
                <w:color w:val="auto"/>
                <w:w w:val="96"/>
              </w:rPr>
              <w:t>-------------------------------------</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2007</w:t>
            </w:r>
          </w:p>
        </w:tc>
        <w:tc>
          <w:tcPr>
            <w:tcW w:w="50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2006</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2005</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35"/>
        </w:trPr>
        <w:tc>
          <w:tcPr>
            <w:tcW w:w="3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2"/>
              </w:rPr>
              <w:t>---------</w:t>
            </w:r>
          </w:p>
        </w:tc>
        <w:tc>
          <w:tcPr>
            <w:tcW w:w="98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10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bl>
    <w:p>
      <w:pPr>
        <w:sectPr>
          <w:pgSz w:w="11900" w:h="16838" w:orient="portrait"/>
          <w:cols w:equalWidth="0" w:num="1">
            <w:col w:w="11520"/>
          </w:cols>
          <w:pgMar w:left="220" w:top="137" w:right="15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620" w:type="dxa"/>
            <w:vAlign w:val="bottom"/>
          </w:tcPr>
          <w:p>
            <w:pPr>
              <w:spacing w:after="0"/>
              <w:rPr>
                <w:sz w:val="20"/>
                <w:szCs w:val="20"/>
                <w:color w:val="auto"/>
              </w:rPr>
            </w:pPr>
            <w:r>
              <w:rPr>
                <w:rFonts w:ascii="Courier New" w:cs="Courier New" w:eastAsia="Courier New" w:hAnsi="Courier New"/>
                <w:sz w:val="12"/>
                <w:szCs w:val="12"/>
                <w:color w:val="auto"/>
              </w:rPr>
              <w:t>CASH FLOWS - OPERATING ACTIVITIES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270"/>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LOSS FOR THE YEAR</w:t>
            </w:r>
          </w:p>
        </w:tc>
        <w:tc>
          <w:tcPr>
            <w:tcW w:w="9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$(134,196)</w:t>
            </w:r>
          </w:p>
        </w:tc>
        <w:tc>
          <w:tcPr>
            <w:tcW w:w="9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$(167,927)</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$(203,082)</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Adjustments to reconcile loss for the year</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5620" w:type="dxa"/>
            <w:vAlign w:val="bottom"/>
          </w:tcPr>
          <w:p>
            <w:pPr>
              <w:ind w:left="340"/>
              <w:spacing w:after="0"/>
              <w:rPr>
                <w:sz w:val="20"/>
                <w:szCs w:val="20"/>
                <w:color w:val="auto"/>
              </w:rPr>
            </w:pPr>
            <w:r>
              <w:rPr>
                <w:rFonts w:ascii="Courier New" w:cs="Courier New" w:eastAsia="Courier New" w:hAnsi="Courier New"/>
                <w:sz w:val="12"/>
                <w:szCs w:val="12"/>
                <w:color w:val="auto"/>
              </w:rPr>
              <w:t>TO NET CASH PROVIDED BY (USED IN) OPERATING ACTIVITIES: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5620" w:type="dxa"/>
            <w:vAlign w:val="bottom"/>
          </w:tcPr>
          <w:p>
            <w:pPr>
              <w:ind w:left="480"/>
              <w:spacing w:after="0"/>
              <w:rPr>
                <w:sz w:val="20"/>
                <w:szCs w:val="20"/>
                <w:color w:val="auto"/>
              </w:rPr>
            </w:pPr>
            <w:r>
              <w:rPr>
                <w:rFonts w:ascii="Courier New" w:cs="Courier New" w:eastAsia="Courier New" w:hAnsi="Courier New"/>
                <w:sz w:val="12"/>
                <w:szCs w:val="12"/>
                <w:color w:val="auto"/>
              </w:rPr>
              <w:t>INCOME AND EXPENSE ITEMS NOT INVOLVING CASH FLOWS: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5620" w:type="dxa"/>
            <w:vAlign w:val="bottom"/>
          </w:tcPr>
          <w:p>
            <w:pPr>
              <w:ind w:left="620"/>
              <w:spacing w:after="0"/>
              <w:rPr>
                <w:sz w:val="20"/>
                <w:szCs w:val="20"/>
                <w:color w:val="auto"/>
              </w:rPr>
            </w:pPr>
            <w:r>
              <w:rPr>
                <w:rFonts w:ascii="Courier New" w:cs="Courier New" w:eastAsia="Courier New" w:hAnsi="Courier New"/>
                <w:sz w:val="12"/>
                <w:szCs w:val="12"/>
                <w:color w:val="auto"/>
              </w:rPr>
              <w:t>DEPRECIATION AND AMORTIZATION</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154,343</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171,743</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153,189</w:t>
            </w:r>
          </w:p>
        </w:tc>
      </w:tr>
      <w:tr>
        <w:trPr>
          <w:trHeight w:val="135"/>
        </w:trPr>
        <w:tc>
          <w:tcPr>
            <w:tcW w:w="5620" w:type="dxa"/>
            <w:vAlign w:val="bottom"/>
          </w:tcPr>
          <w:p>
            <w:pPr>
              <w:ind w:left="620"/>
              <w:spacing w:after="0"/>
              <w:rPr>
                <w:sz w:val="20"/>
                <w:szCs w:val="20"/>
                <w:color w:val="auto"/>
              </w:rPr>
            </w:pPr>
            <w:r>
              <w:rPr>
                <w:rFonts w:ascii="Courier New" w:cs="Courier New" w:eastAsia="Courier New" w:hAnsi="Courier New"/>
                <w:sz w:val="12"/>
                <w:szCs w:val="12"/>
                <w:color w:val="auto"/>
              </w:rPr>
              <w:t>EFFECT OF INDEXATION AND TRANSLATION ON DEBENTURES</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6,227</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2,569</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(1,031)</w:t>
            </w:r>
          </w:p>
        </w:tc>
      </w:tr>
      <w:tr>
        <w:trPr>
          <w:trHeight w:val="135"/>
        </w:trPr>
        <w:tc>
          <w:tcPr>
            <w:tcW w:w="5620" w:type="dxa"/>
            <w:vAlign w:val="bottom"/>
          </w:tcPr>
          <w:p>
            <w:pPr>
              <w:ind w:left="620"/>
              <w:spacing w:after="0"/>
              <w:rPr>
                <w:sz w:val="20"/>
                <w:szCs w:val="20"/>
                <w:color w:val="auto"/>
              </w:rPr>
            </w:pPr>
            <w:r>
              <w:rPr>
                <w:rFonts w:ascii="Courier New" w:cs="Courier New" w:eastAsia="Courier New" w:hAnsi="Courier New"/>
                <w:sz w:val="12"/>
                <w:szCs w:val="12"/>
                <w:color w:val="auto"/>
              </w:rPr>
              <w:t>WRITE DOWN OF CUSTOMER ADVANCE</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(9,747)</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620"/>
              <w:spacing w:after="0"/>
              <w:rPr>
                <w:sz w:val="20"/>
                <w:szCs w:val="20"/>
                <w:color w:val="auto"/>
              </w:rPr>
            </w:pPr>
            <w:r>
              <w:rPr>
                <w:rFonts w:ascii="Courier New" w:cs="Courier New" w:eastAsia="Courier New" w:hAnsi="Courier New"/>
                <w:sz w:val="12"/>
                <w:szCs w:val="12"/>
                <w:color w:val="auto"/>
              </w:rPr>
              <w:t>OTHER INCOME, NET</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(92)</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(597)</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(2,383)</w:t>
            </w:r>
          </w:p>
        </w:tc>
      </w:tr>
      <w:tr>
        <w:trPr>
          <w:trHeight w:val="135"/>
        </w:trPr>
        <w:tc>
          <w:tcPr>
            <w:tcW w:w="5620" w:type="dxa"/>
            <w:vAlign w:val="bottom"/>
          </w:tcPr>
          <w:p>
            <w:pPr>
              <w:ind w:left="480"/>
              <w:spacing w:after="0"/>
              <w:rPr>
                <w:sz w:val="20"/>
                <w:szCs w:val="20"/>
                <w:color w:val="auto"/>
              </w:rPr>
            </w:pPr>
            <w:r>
              <w:rPr>
                <w:rFonts w:ascii="Courier New" w:cs="Courier New" w:eastAsia="Courier New" w:hAnsi="Courier New"/>
                <w:sz w:val="12"/>
                <w:szCs w:val="12"/>
                <w:color w:val="auto"/>
              </w:rPr>
              <w:t>CHANGES IN ASSETS AND LIABILITIES: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5620" w:type="dxa"/>
            <w:vAlign w:val="bottom"/>
          </w:tcPr>
          <w:p>
            <w:pPr>
              <w:ind w:left="620"/>
              <w:spacing w:after="0"/>
              <w:rPr>
                <w:sz w:val="20"/>
                <w:szCs w:val="20"/>
                <w:color w:val="auto"/>
              </w:rPr>
            </w:pPr>
            <w:r>
              <w:rPr>
                <w:rFonts w:ascii="Courier New" w:cs="Courier New" w:eastAsia="Courier New" w:hAnsi="Courier New"/>
                <w:sz w:val="12"/>
                <w:szCs w:val="12"/>
                <w:color w:val="auto"/>
              </w:rPr>
              <w:t>DECREASE (INCREASE) IN TRADE ACCOUNTS RECEIVABLE</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(13,479)</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(14,722)</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2,510</w:t>
            </w:r>
          </w:p>
        </w:tc>
      </w:tr>
      <w:tr>
        <w:trPr>
          <w:trHeight w:val="135"/>
        </w:trPr>
        <w:tc>
          <w:tcPr>
            <w:tcW w:w="5620" w:type="dxa"/>
            <w:vAlign w:val="bottom"/>
          </w:tcPr>
          <w:p>
            <w:pPr>
              <w:ind w:left="620"/>
              <w:spacing w:after="0"/>
              <w:rPr>
                <w:sz w:val="20"/>
                <w:szCs w:val="20"/>
                <w:color w:val="auto"/>
              </w:rPr>
            </w:pPr>
            <w:r>
              <w:rPr>
                <w:rFonts w:ascii="Courier New" w:cs="Courier New" w:eastAsia="Courier New" w:hAnsi="Courier New"/>
                <w:sz w:val="12"/>
                <w:szCs w:val="12"/>
                <w:color w:val="auto"/>
              </w:rPr>
              <w:t>DECREASE (INCREASE) IN OTHER RECEIVABLES AND OTHER CURRENT ASSETS</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333</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(2,662)</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1,988</w:t>
            </w:r>
          </w:p>
        </w:tc>
      </w:tr>
      <w:tr>
        <w:trPr>
          <w:trHeight w:val="135"/>
        </w:trPr>
        <w:tc>
          <w:tcPr>
            <w:tcW w:w="5620" w:type="dxa"/>
            <w:vAlign w:val="bottom"/>
          </w:tcPr>
          <w:p>
            <w:pPr>
              <w:ind w:left="620"/>
              <w:spacing w:after="0"/>
              <w:rPr>
                <w:sz w:val="20"/>
                <w:szCs w:val="20"/>
                <w:color w:val="auto"/>
              </w:rPr>
            </w:pPr>
            <w:r>
              <w:rPr>
                <w:rFonts w:ascii="Courier New" w:cs="Courier New" w:eastAsia="Courier New" w:hAnsi="Courier New"/>
                <w:sz w:val="12"/>
                <w:szCs w:val="12"/>
                <w:color w:val="auto"/>
              </w:rPr>
              <w:t>DECREASE (INCREASE) IN INVENTORIES</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459</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(14,064)</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1,086</w:t>
            </w:r>
          </w:p>
        </w:tc>
      </w:tr>
      <w:tr>
        <w:trPr>
          <w:trHeight w:val="135"/>
        </w:trPr>
        <w:tc>
          <w:tcPr>
            <w:tcW w:w="5620" w:type="dxa"/>
            <w:vAlign w:val="bottom"/>
          </w:tcPr>
          <w:p>
            <w:pPr>
              <w:ind w:left="620"/>
              <w:spacing w:after="0"/>
              <w:rPr>
                <w:sz w:val="20"/>
                <w:szCs w:val="20"/>
                <w:color w:val="auto"/>
              </w:rPr>
            </w:pPr>
            <w:r>
              <w:rPr>
                <w:rFonts w:ascii="Courier New" w:cs="Courier New" w:eastAsia="Courier New" w:hAnsi="Courier New"/>
                <w:sz w:val="12"/>
                <w:szCs w:val="12"/>
                <w:color w:val="auto"/>
              </w:rPr>
              <w:t>INCREASE (DECREASE) IN TRADE ACCOUNTS PAYABLE</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15,435</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(4,733)</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3,289</w:t>
            </w:r>
          </w:p>
        </w:tc>
      </w:tr>
      <w:tr>
        <w:trPr>
          <w:trHeight w:val="135"/>
        </w:trPr>
        <w:tc>
          <w:tcPr>
            <w:tcW w:w="5620" w:type="dxa"/>
            <w:vAlign w:val="bottom"/>
          </w:tcPr>
          <w:p>
            <w:pPr>
              <w:ind w:left="620"/>
              <w:spacing w:after="0"/>
              <w:rPr>
                <w:sz w:val="20"/>
                <w:szCs w:val="20"/>
                <w:color w:val="auto"/>
              </w:rPr>
            </w:pPr>
            <w:r>
              <w:rPr>
                <w:rFonts w:ascii="Courier New" w:cs="Courier New" w:eastAsia="Courier New" w:hAnsi="Courier New"/>
                <w:sz w:val="12"/>
                <w:szCs w:val="12"/>
                <w:color w:val="auto"/>
              </w:rPr>
              <w:t>INCREASE (DECREASE) IN OTHER CURRENT LIABILITIES</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(1,363)</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6,551</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(1,839)</w:t>
            </w:r>
          </w:p>
        </w:tc>
      </w:tr>
      <w:tr>
        <w:trPr>
          <w:trHeight w:val="135"/>
        </w:trPr>
        <w:tc>
          <w:tcPr>
            <w:tcW w:w="5620" w:type="dxa"/>
            <w:vAlign w:val="bottom"/>
          </w:tcPr>
          <w:p>
            <w:pPr>
              <w:ind w:left="620"/>
              <w:spacing w:after="0"/>
              <w:rPr>
                <w:sz w:val="20"/>
                <w:szCs w:val="20"/>
                <w:color w:val="auto"/>
              </w:rPr>
            </w:pPr>
            <w:r>
              <w:rPr>
                <w:rFonts w:ascii="Courier New" w:cs="Courier New" w:eastAsia="Courier New" w:hAnsi="Courier New"/>
                <w:sz w:val="12"/>
                <w:szCs w:val="12"/>
                <w:color w:val="auto"/>
              </w:rPr>
              <w:t>INCREASE (DECREASE) IN OTHER LONG-TERM LIABILITIES</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935</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(3,285)</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(5,368)</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18,855</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(27,127)</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(51,641)</w:t>
            </w:r>
          </w:p>
        </w:tc>
      </w:tr>
      <w:tr>
        <w:trPr>
          <w:trHeight w:val="135"/>
        </w:trPr>
        <w:tc>
          <w:tcPr>
            <w:tcW w:w="5620" w:type="dxa"/>
            <w:vAlign w:val="bottom"/>
          </w:tcPr>
          <w:p>
            <w:pPr>
              <w:ind w:left="620"/>
              <w:spacing w:after="0"/>
              <w:rPr>
                <w:sz w:val="20"/>
                <w:szCs w:val="20"/>
                <w:color w:val="auto"/>
              </w:rPr>
            </w:pPr>
            <w:r>
              <w:rPr>
                <w:rFonts w:ascii="Courier New" w:cs="Courier New" w:eastAsia="Courier New" w:hAnsi="Courier New"/>
                <w:sz w:val="12"/>
                <w:szCs w:val="12"/>
                <w:color w:val="auto"/>
              </w:rPr>
              <w:t>DECREASE IN LONG-TERM CUSTOMERS' ADVANCES, NET</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(2,172)</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(2,306)</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(760)</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760"/>
              <w:spacing w:after="0"/>
              <w:rPr>
                <w:sz w:val="20"/>
                <w:szCs w:val="20"/>
                <w:color w:val="auto"/>
              </w:rPr>
            </w:pPr>
            <w:r>
              <w:rPr>
                <w:rFonts w:ascii="Courier New" w:cs="Courier New" w:eastAsia="Courier New" w:hAnsi="Courier New"/>
                <w:sz w:val="12"/>
                <w:szCs w:val="12"/>
                <w:color w:val="auto"/>
              </w:rPr>
              <w:t>NET CASH PROVIDED BY (USED IN) OPERATING ACTIVITIES</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16,683</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(29,433)</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(52,401)</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5620" w:type="dxa"/>
            <w:vAlign w:val="bottom"/>
          </w:tcPr>
          <w:p>
            <w:pPr>
              <w:spacing w:after="0"/>
              <w:rPr>
                <w:sz w:val="20"/>
                <w:szCs w:val="20"/>
                <w:color w:val="auto"/>
              </w:rPr>
            </w:pPr>
            <w:r>
              <w:rPr>
                <w:rFonts w:ascii="Courier New" w:cs="Courier New" w:eastAsia="Courier New" w:hAnsi="Courier New"/>
                <w:sz w:val="12"/>
                <w:szCs w:val="12"/>
                <w:color w:val="auto"/>
              </w:rPr>
              <w:t>CASH FLOWS - INVESTING ACTIVITIES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DECREASE IN DESIGNATED CASH, SHORT-TERM AND LONG-TERM</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35"/>
        </w:trPr>
        <w:tc>
          <w:tcPr>
            <w:tcW w:w="5620" w:type="dxa"/>
            <w:vAlign w:val="bottom"/>
          </w:tcPr>
          <w:p>
            <w:pPr>
              <w:ind w:left="420"/>
              <w:spacing w:after="0"/>
              <w:rPr>
                <w:sz w:val="20"/>
                <w:szCs w:val="20"/>
                <w:color w:val="auto"/>
              </w:rPr>
            </w:pPr>
            <w:r>
              <w:rPr>
                <w:rFonts w:ascii="Courier New" w:cs="Courier New" w:eastAsia="Courier New" w:hAnsi="Courier New"/>
                <w:sz w:val="12"/>
                <w:szCs w:val="12"/>
                <w:color w:val="auto"/>
              </w:rPr>
              <w:t>INTEREST-BEARING DEPOSITS, NET</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31,661</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27,266</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(107,485)</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(161,187)</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(47,215)</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INVESTMENT GRANTS RECEIVED</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1,654</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5,219</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7,496</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PROCEEDS RELATED TO SALE AND DISPOSAL OF PROPERTY AND EQUIPMENT</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108</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600</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2,179</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OTHER ASSETS AND INTANGIBLE ASSETS</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(1,547)</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(5,074)</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(3,841)</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DECREASE (INCREASE) IN SHORT-TERM INTEREST-BEARING DEPOSITS</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1,230</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(1,230)</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LONG-TERM INVESTMENTS</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(950)</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760"/>
              <w:spacing w:after="0"/>
              <w:rPr>
                <w:sz w:val="20"/>
                <w:szCs w:val="20"/>
                <w:color w:val="auto"/>
              </w:rPr>
            </w:pPr>
            <w:r>
              <w:rPr>
                <w:rFonts w:ascii="Courier New" w:cs="Courier New" w:eastAsia="Courier New" w:hAnsi="Courier New"/>
                <w:sz w:val="12"/>
                <w:szCs w:val="12"/>
                <w:color w:val="auto"/>
              </w:rPr>
              <w:t>NET CASH USED IN INVESTING ACTIVITIES</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(106,990)</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5"/>
              </w:rPr>
              <w:t>(130,011)</w:t>
            </w:r>
          </w:p>
        </w:tc>
        <w:tc>
          <w:tcPr>
            <w:tcW w:w="2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(14,115)</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5620" w:type="dxa"/>
            <w:vAlign w:val="bottom"/>
          </w:tcPr>
          <w:p>
            <w:pPr>
              <w:spacing w:after="0"/>
              <w:rPr>
                <w:sz w:val="20"/>
                <w:szCs w:val="20"/>
                <w:color w:val="auto"/>
              </w:rPr>
            </w:pPr>
            <w:r>
              <w:rPr>
                <w:rFonts w:ascii="Courier New" w:cs="Courier New" w:eastAsia="Courier New" w:hAnsi="Courier New"/>
                <w:sz w:val="12"/>
                <w:szCs w:val="12"/>
                <w:color w:val="auto"/>
              </w:rPr>
              <w:t>CASH FLOWS - FINANCING ACTIVITIES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PROCEEDS FROM ISSUANCE OF DEBENTURES AND WARRANTS, NET</w:t>
            </w:r>
          </w:p>
        </w:tc>
        <w:tc>
          <w:tcPr>
            <w:tcW w:w="200" w:type="dxa"/>
            <w:vAlign w:val="bottom"/>
          </w:tcPr>
          <w:p>
            <w:pPr>
              <w:spacing w:after="0"/>
              <w:rPr>
                <w:sz w:val="23"/>
                <w:szCs w:val="23"/>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50,690</w:t>
            </w:r>
          </w:p>
        </w:tc>
        <w:tc>
          <w:tcPr>
            <w:tcW w:w="200" w:type="dxa"/>
            <w:vAlign w:val="bottom"/>
          </w:tcPr>
          <w:p>
            <w:pPr>
              <w:spacing w:after="0"/>
              <w:rPr>
                <w:sz w:val="23"/>
                <w:szCs w:val="23"/>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58,766</w:t>
            </w:r>
          </w:p>
        </w:tc>
        <w:tc>
          <w:tcPr>
            <w:tcW w:w="240" w:type="dxa"/>
            <w:vAlign w:val="bottom"/>
          </w:tcPr>
          <w:p>
            <w:pPr>
              <w:spacing w:after="0"/>
              <w:rPr>
                <w:sz w:val="23"/>
                <w:szCs w:val="23"/>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25,086</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PROCEEDS FROM LONG-TERM LOANS</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28,000</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18,295</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21,103</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PROCEEDS FROM ISSUANCE OF ORDINARY SHARES AND WARRANTS, NET</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26,534</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20,673</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PROCEEDS FROM EXERCISE OF WARRANTS</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550</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PROCEEDS ON ACCOUNT OF CAPITAL NOTES</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100,000</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REPAYMENT OF DEBENTURE</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(7,088)</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(6,476)</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PROCEEDS FROM EXERCISE OF SHARE OPTIONS</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227</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DEBTS REPAYMENT</w:t>
            </w:r>
          </w:p>
        </w:tc>
        <w:tc>
          <w:tcPr>
            <w:tcW w:w="200" w:type="dxa"/>
            <w:vAlign w:val="bottom"/>
          </w:tcPr>
          <w:p>
            <w:pPr>
              <w:spacing w:after="0"/>
              <w:rPr>
                <w:sz w:val="11"/>
                <w:szCs w:val="11"/>
                <w:color w:val="auto"/>
              </w:rPr>
            </w:pP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(3,230)</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760"/>
              <w:spacing w:after="0"/>
              <w:rPr>
                <w:sz w:val="20"/>
                <w:szCs w:val="20"/>
                <w:color w:val="auto"/>
              </w:rPr>
            </w:pPr>
            <w:r>
              <w:rPr>
                <w:rFonts w:ascii="Courier New" w:cs="Courier New" w:eastAsia="Courier New" w:hAnsi="Courier New"/>
                <w:sz w:val="12"/>
                <w:szCs w:val="12"/>
                <w:color w:val="auto"/>
              </w:rPr>
              <w:t>NET CASH PROVIDED BY FINANCING ACTIVITIES</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95,133</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191,817</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46,189</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5620" w:type="dxa"/>
            <w:vAlign w:val="bottom"/>
          </w:tcPr>
          <w:p>
            <w:pPr>
              <w:ind w:left="480"/>
              <w:spacing w:after="0"/>
              <w:rPr>
                <w:sz w:val="20"/>
                <w:szCs w:val="20"/>
                <w:color w:val="auto"/>
              </w:rPr>
            </w:pPr>
            <w:r>
              <w:rPr>
                <w:rFonts w:ascii="Courier New" w:cs="Courier New" w:eastAsia="Courier New" w:hAnsi="Courier New"/>
                <w:sz w:val="12"/>
                <w:szCs w:val="12"/>
                <w:color w:val="auto"/>
              </w:rPr>
              <w:t>INCREASE (DECREASE) IN CASH AND CASH EQUIVALENTS</w:t>
            </w:r>
          </w:p>
        </w:tc>
        <w:tc>
          <w:tcPr>
            <w:tcW w:w="200" w:type="dxa"/>
            <w:vAlign w:val="bottom"/>
          </w:tcPr>
          <w:p>
            <w:pPr>
              <w:spacing w:after="0"/>
              <w:rPr>
                <w:sz w:val="23"/>
                <w:szCs w:val="23"/>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4,826</w:t>
            </w:r>
          </w:p>
        </w:tc>
        <w:tc>
          <w:tcPr>
            <w:tcW w:w="200" w:type="dxa"/>
            <w:vAlign w:val="bottom"/>
          </w:tcPr>
          <w:p>
            <w:pPr>
              <w:spacing w:after="0"/>
              <w:rPr>
                <w:sz w:val="23"/>
                <w:szCs w:val="23"/>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32,373</w:t>
            </w:r>
          </w:p>
        </w:tc>
        <w:tc>
          <w:tcPr>
            <w:tcW w:w="2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(20,327)</w:t>
            </w:r>
          </w:p>
        </w:tc>
      </w:tr>
      <w:tr>
        <w:trPr>
          <w:trHeight w:val="135"/>
        </w:trPr>
        <w:tc>
          <w:tcPr>
            <w:tcW w:w="5620" w:type="dxa"/>
            <w:vAlign w:val="bottom"/>
          </w:tcPr>
          <w:p>
            <w:pPr>
              <w:spacing w:after="0"/>
              <w:rPr>
                <w:sz w:val="20"/>
                <w:szCs w:val="20"/>
                <w:color w:val="auto"/>
              </w:rPr>
            </w:pPr>
            <w:r>
              <w:rPr>
                <w:rFonts w:ascii="Courier New" w:cs="Courier New" w:eastAsia="Courier New" w:hAnsi="Courier New"/>
                <w:sz w:val="12"/>
                <w:szCs w:val="12"/>
                <w:color w:val="auto"/>
              </w:rPr>
              <w:t>CASH AND CASH EQUIVALENTS - BEGINNING OF YEAR</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39,710</w:t>
            </w:r>
          </w:p>
        </w:tc>
        <w:tc>
          <w:tcPr>
            <w:tcW w:w="200" w:type="dxa"/>
            <w:vAlign w:val="bottom"/>
          </w:tcPr>
          <w:p>
            <w:pPr>
              <w:spacing w:after="0"/>
              <w:rPr>
                <w:sz w:val="11"/>
                <w:szCs w:val="11"/>
                <w:color w:val="auto"/>
              </w:rPr>
            </w:pP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7,337</w:t>
            </w:r>
          </w:p>
        </w:tc>
        <w:tc>
          <w:tcPr>
            <w:tcW w:w="240" w:type="dxa"/>
            <w:vAlign w:val="bottom"/>
          </w:tcPr>
          <w:p>
            <w:pPr>
              <w:spacing w:after="0"/>
              <w:rPr>
                <w:sz w:val="11"/>
                <w:szCs w:val="11"/>
                <w:color w:val="auto"/>
              </w:rPr>
            </w:pP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27,664</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5620" w:type="dxa"/>
            <w:vAlign w:val="bottom"/>
          </w:tcPr>
          <w:p>
            <w:pPr>
              <w:ind w:left="480"/>
              <w:spacing w:after="0"/>
              <w:rPr>
                <w:sz w:val="20"/>
                <w:szCs w:val="20"/>
                <w:color w:val="auto"/>
              </w:rPr>
            </w:pPr>
            <w:r>
              <w:rPr>
                <w:rFonts w:ascii="Courier New" w:cs="Courier New" w:eastAsia="Courier New" w:hAnsi="Courier New"/>
                <w:sz w:val="12"/>
                <w:szCs w:val="12"/>
                <w:color w:val="auto"/>
              </w:rPr>
              <w:t>CASH AND CASH EQUIVALENTS - END OF YEAR</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44,536</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39,710</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7,337</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5620" w:type="dxa"/>
            <w:vAlign w:val="bottom"/>
          </w:tcPr>
          <w:p>
            <w:pPr>
              <w:spacing w:after="0"/>
              <w:rPr>
                <w:sz w:val="20"/>
                <w:szCs w:val="20"/>
                <w:color w:val="auto"/>
              </w:rPr>
            </w:pPr>
            <w:r>
              <w:rPr>
                <w:rFonts w:ascii="Courier New" w:cs="Courier New" w:eastAsia="Courier New" w:hAnsi="Courier New"/>
                <w:sz w:val="12"/>
                <w:szCs w:val="12"/>
                <w:color w:val="auto"/>
              </w:rPr>
              <w:t>NON-CASH ACTIVITIES</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PROPERTY AND EQUIPMENT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17,982</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42,575</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12,792</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RELATED TO</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5620" w:type="dxa"/>
            <w:vAlign w:val="bottom"/>
          </w:tcPr>
          <w:p>
            <w:pPr>
              <w:ind w:left="340"/>
              <w:spacing w:after="0"/>
              <w:rPr>
                <w:sz w:val="20"/>
                <w:szCs w:val="20"/>
                <w:color w:val="auto"/>
              </w:rPr>
            </w:pPr>
            <w:r>
              <w:rPr>
                <w:rFonts w:ascii="Courier New" w:cs="Courier New" w:eastAsia="Courier New" w:hAnsi="Courier New"/>
                <w:sz w:val="12"/>
                <w:szCs w:val="12"/>
                <w:color w:val="auto"/>
              </w:rPr>
              <w:t>THE FACILITY AGREEMENT WITH THE BANKS</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4,146</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2,793</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(SEE NOTE 14B(5))</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1,331</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STOCK-BASED COMPENSATION RELATED TO RIGHTS OFFERED</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5620" w:type="dxa"/>
            <w:vAlign w:val="bottom"/>
          </w:tcPr>
          <w:p>
            <w:pPr>
              <w:ind w:left="340"/>
              <w:spacing w:after="0"/>
              <w:rPr>
                <w:sz w:val="20"/>
                <w:szCs w:val="20"/>
                <w:color w:val="auto"/>
              </w:rPr>
            </w:pPr>
            <w:r>
              <w:rPr>
                <w:rFonts w:ascii="Courier New" w:cs="Courier New" w:eastAsia="Courier New" w:hAnsi="Courier New"/>
                <w:sz w:val="12"/>
                <w:szCs w:val="12"/>
                <w:color w:val="auto"/>
              </w:rPr>
              <w:t>TO EMPLOYEES, (SEE NOTE 14I)</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448</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INVESTMENTS IN OTHER ASSETS</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433</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442</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CONVERSION OF LONG-TERM CUSTOMERS' ADVANCES</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5620" w:type="dxa"/>
            <w:vAlign w:val="bottom"/>
          </w:tcPr>
          <w:p>
            <w:pPr>
              <w:ind w:left="340"/>
              <w:spacing w:after="0"/>
              <w:rPr>
                <w:sz w:val="20"/>
                <w:szCs w:val="20"/>
                <w:color w:val="auto"/>
              </w:rPr>
            </w:pPr>
            <w:r>
              <w:rPr>
                <w:rFonts w:ascii="Courier New" w:cs="Courier New" w:eastAsia="Courier New" w:hAnsi="Courier New"/>
                <w:sz w:val="12"/>
                <w:szCs w:val="12"/>
                <w:color w:val="auto"/>
              </w:rPr>
              <w:t>TO SHARE CAPITAL</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6,414</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7,621</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1,794</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CONVERSION OF CONVERTIBLE DEBENTURES TO SHARES CAPITAL</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816</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19,330</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w w:val="99"/>
              </w:rPr>
              <w:t>CUMULATIVE EFFECT ADJUSTMENT OF THE FACILITY AGREEMENT TO RETAINED EARNINGS</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65,207</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RECLASSIFICATION OF BIFURCATED CONVERSION OPTION TO SHAREHOLDERS' EQUITY</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28,377</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CONVERSION OF LONG TERM DEBT TO CAPITAL NOTES</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76,401</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5620" w:type="dxa"/>
            <w:vAlign w:val="bottom"/>
          </w:tcPr>
          <w:p>
            <w:pPr>
              <w:spacing w:after="0"/>
              <w:rPr>
                <w:sz w:val="20"/>
                <w:szCs w:val="20"/>
                <w:color w:val="auto"/>
              </w:rPr>
            </w:pPr>
            <w:r>
              <w:rPr>
                <w:rFonts w:ascii="Courier New" w:cs="Courier New" w:eastAsia="Courier New" w:hAnsi="Courier New"/>
                <w:sz w:val="12"/>
                <w:szCs w:val="12"/>
                <w:color w:val="auto"/>
              </w:rPr>
              <w:t>SUPPLEMENTAL DISCLOSURE OF CASH FLOW INFORMATION</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YEAR FOR INTEREST</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28,831</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35,008</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32,805</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5620" w:type="dxa"/>
            <w:vAlign w:val="bottom"/>
          </w:tcPr>
          <w:p>
            <w:pPr>
              <w:ind w:left="200"/>
              <w:spacing w:after="0"/>
              <w:rPr>
                <w:sz w:val="20"/>
                <w:szCs w:val="20"/>
                <w:color w:val="auto"/>
              </w:rPr>
            </w:pPr>
            <w:r>
              <w:rPr>
                <w:rFonts w:ascii="Courier New" w:cs="Courier New" w:eastAsia="Courier New" w:hAnsi="Courier New"/>
                <w:sz w:val="12"/>
                <w:szCs w:val="12"/>
                <w:color w:val="auto"/>
              </w:rPr>
              <w:t>CASH PAID DURING THE YEAR FOR INCOME TAXES</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55</w:t>
            </w:r>
          </w:p>
        </w:tc>
        <w:tc>
          <w:tcPr>
            <w:tcW w:w="2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134</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ind w:right="1"/>
              <w:spacing w:after="0"/>
              <w:rPr>
                <w:sz w:val="20"/>
                <w:szCs w:val="20"/>
                <w:color w:val="auto"/>
              </w:rPr>
            </w:pPr>
            <w:r>
              <w:rPr>
                <w:rFonts w:ascii="Courier New" w:cs="Courier New" w:eastAsia="Courier New" w:hAnsi="Courier New"/>
                <w:sz w:val="12"/>
                <w:szCs w:val="12"/>
                <w:color w:val="auto"/>
              </w:rPr>
              <w:t>86</w:t>
            </w:r>
          </w:p>
        </w:tc>
      </w:tr>
      <w:tr>
        <w:trPr>
          <w:trHeight w:val="135"/>
        </w:trPr>
        <w:tc>
          <w:tcPr>
            <w:tcW w:w="5620" w:type="dxa"/>
            <w:vAlign w:val="bottom"/>
          </w:tcPr>
          <w:p>
            <w:pPr>
              <w:spacing w:after="0"/>
              <w:rPr>
                <w:sz w:val="11"/>
                <w:szCs w:val="11"/>
                <w:color w:val="auto"/>
              </w:rPr>
            </w:pP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98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SEE NOTES TO CONSOLIDATED FINANCIAL STATEMENTS.</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1 - DESCRIPTION OF BUSINESS AND GENERAL</w:t>
      </w:r>
    </w:p>
    <w:p>
      <w:pPr>
        <w:spacing w:after="0" w:line="139" w:lineRule="exact"/>
        <w:rPr>
          <w:sz w:val="20"/>
          <w:szCs w:val="20"/>
          <w:color w:val="auto"/>
        </w:rPr>
      </w:pPr>
    </w:p>
    <w:p>
      <w:pPr>
        <w:ind w:left="340" w:right="4619"/>
        <w:spacing w:after="0" w:line="238" w:lineRule="auto"/>
        <w:rPr>
          <w:sz w:val="20"/>
          <w:szCs w:val="20"/>
          <w:color w:val="auto"/>
        </w:rPr>
      </w:pPr>
      <w:r>
        <w:rPr>
          <w:rFonts w:ascii="Courier New" w:cs="Courier New" w:eastAsia="Courier New" w:hAnsi="Courier New"/>
          <w:sz w:val="12"/>
          <w:szCs w:val="12"/>
          <w:color w:val="auto"/>
        </w:rPr>
        <w:t>Tower Semiconductor Ltd. ("the Company"), incorporated in Israel, commenced operations in 1993. The Company is an independent wafer foundry that delivers customized solutions in a variety of advanced complementary metal oxide semiconductor (CMOS) technologies, including digital CMOS, mixed-signal and RF (radio frequency) CMOS, CMOS image sensors and power management devices. The Company manufactures integrated circuits in geometries ranging between 1.0 and 0.35 microns at its 150-millimeter fabrication facility ("Fab 1"), and in geometries ranging between 0.18 and 0.13 microns at its 200-millimeter fabrication facility ("Fab 2"). As a foundry, the Company manufactures wafers using its advanced technological capabilities and the proprietary integrated circuit designs of its customers.</w:t>
      </w:r>
    </w:p>
    <w:p>
      <w:pPr>
        <w:spacing w:after="0" w:line="139" w:lineRule="exact"/>
        <w:rPr>
          <w:sz w:val="20"/>
          <w:szCs w:val="20"/>
          <w:color w:val="auto"/>
        </w:rPr>
      </w:pPr>
    </w:p>
    <w:p>
      <w:pPr>
        <w:ind w:left="340" w:right="4619"/>
        <w:spacing w:after="0" w:line="264" w:lineRule="auto"/>
        <w:rPr>
          <w:sz w:val="20"/>
          <w:szCs w:val="20"/>
          <w:color w:val="auto"/>
        </w:rPr>
      </w:pPr>
      <w:r>
        <w:rPr>
          <w:rFonts w:ascii="Courier New" w:cs="Courier New" w:eastAsia="Courier New" w:hAnsi="Courier New"/>
          <w:sz w:val="11"/>
          <w:szCs w:val="11"/>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advancements in production</w:t>
      </w:r>
    </w:p>
    <w:p>
      <w:pPr>
        <w:sectPr>
          <w:pgSz w:w="11900" w:h="16838" w:orient="portrait"/>
          <w:cols w:equalWidth="0" w:num="1">
            <w:col w:w="10239"/>
          </w:cols>
          <w:pgMar w:left="220" w:top="137" w:right="1440" w:bottom="0" w:gutter="0" w:footer="0" w:header="0"/>
        </w:sectPr>
      </w:pPr>
    </w:p>
    <w:bookmarkStart w:id="51" w:name="page52"/>
    <w:bookmarkEnd w:id="51"/>
    <w:p>
      <w:pPr>
        <w:ind w:left="340"/>
        <w:spacing w:after="0"/>
        <w:rPr>
          <w:sz w:val="20"/>
          <w:szCs w:val="20"/>
          <w:color w:val="auto"/>
        </w:rPr>
      </w:pPr>
      <w:r>
        <w:rPr>
          <w:rFonts w:ascii="Courier New" w:cs="Courier New" w:eastAsia="Courier New" w:hAnsi="Courier New"/>
          <w:sz w:val="12"/>
          <w:szCs w:val="12"/>
          <w:color w:val="auto"/>
        </w:rPr>
        <w:t>technology.</w:t>
      </w:r>
    </w:p>
    <w:p>
      <w:pPr>
        <w:spacing w:after="0" w:line="139" w:lineRule="exact"/>
        <w:rPr>
          <w:sz w:val="20"/>
          <w:szCs w:val="20"/>
          <w:color w:val="auto"/>
        </w:rPr>
      </w:pPr>
    </w:p>
    <w:p>
      <w:pPr>
        <w:ind w:left="340" w:right="4619"/>
        <w:spacing w:after="0" w:line="235" w:lineRule="auto"/>
        <w:rPr>
          <w:sz w:val="20"/>
          <w:szCs w:val="20"/>
          <w:color w:val="auto"/>
        </w:rPr>
      </w:pPr>
      <w:r>
        <w:rPr>
          <w:rFonts w:ascii="Courier New" w:cs="Courier New" w:eastAsia="Courier New" w:hAnsi="Courier New"/>
          <w:sz w:val="12"/>
          <w:szCs w:val="12"/>
          <w:color w:val="auto"/>
        </w:rPr>
        <w:t>The Company's Ordinary Shares are traded on the NASDAQ Global Market and on the Tel-Aviv Stock Exchange.</w:t>
      </w:r>
    </w:p>
    <w:p>
      <w:pPr>
        <w:spacing w:after="0" w:line="139" w:lineRule="exact"/>
        <w:rPr>
          <w:sz w:val="20"/>
          <w:szCs w:val="20"/>
          <w:color w:val="auto"/>
        </w:rPr>
      </w:pPr>
    </w:p>
    <w:p>
      <w:pPr>
        <w:ind w:left="340" w:right="4619"/>
        <w:spacing w:after="0" w:line="237" w:lineRule="auto"/>
        <w:rPr>
          <w:sz w:val="20"/>
          <w:szCs w:val="20"/>
          <w:color w:val="auto"/>
        </w:rPr>
      </w:pPr>
      <w:r>
        <w:rPr>
          <w:rFonts w:ascii="Courier New" w:cs="Courier New" w:eastAsia="Courier New" w:hAnsi="Courier New"/>
          <w:sz w:val="12"/>
          <w:szCs w:val="12"/>
          <w:color w:val="auto"/>
        </w:rPr>
        <w:t>In recent years, the Company has experienced significant recurring losses, recurring negative cash flows from operating activities and an increasing accumulated deficit. The Company is working in various ways to mitigate its financial difficulties. Since the second half of 2005, the Company increased its customer base, mainly in Fab 2, modified its organizational structure to better address its customers and its market positioning, increased its sales and its EBITDA, reduced its losses, increased its capacity level, utilization rates, raised funds and restructured its bank debt. See also Note 9B and Notes 14I-M.</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w:t>
      </w:r>
    </w:p>
    <w:p>
      <w:pPr>
        <w:spacing w:after="0" w:line="139" w:lineRule="exact"/>
        <w:rPr>
          <w:sz w:val="20"/>
          <w:szCs w:val="20"/>
          <w:color w:val="auto"/>
        </w:rPr>
      </w:pPr>
    </w:p>
    <w:p>
      <w:pPr>
        <w:ind w:left="340" w:right="4619"/>
        <w:spacing w:after="0" w:line="237" w:lineRule="auto"/>
        <w:rPr>
          <w:sz w:val="20"/>
          <w:szCs w:val="20"/>
          <w:color w:val="auto"/>
        </w:rPr>
      </w:pPr>
      <w:r>
        <w:rPr>
          <w:rFonts w:ascii="Courier New" w:cs="Courier New" w:eastAsia="Courier New" w:hAnsi="Courier New"/>
          <w:sz w:val="12"/>
          <w:szCs w:val="12"/>
          <w:color w:val="auto"/>
        </w:rPr>
        <w:t>The Company's consolidated financial statements are presented in accordance with U.S. generally accepted accounting principles ("US GAAP"). The Company recasted the comparative amounts included in this financial statements to US GAAP. In prior years the Company prepared its financial reports in accordance with generally accepted accounting principles in Israel. ("IL GAAP") and provided reconciliation to US GAAP in the notes to the financial statements.</w:t>
      </w:r>
    </w:p>
    <w:p>
      <w:pPr>
        <w:spacing w:after="0" w:line="137" w:lineRule="exact"/>
        <w:rPr>
          <w:sz w:val="20"/>
          <w:szCs w:val="20"/>
          <w:color w:val="auto"/>
        </w:rPr>
      </w:pPr>
    </w:p>
    <w:p>
      <w:pPr>
        <w:ind w:left="700" w:hanging="357"/>
        <w:spacing w:after="0"/>
        <w:tabs>
          <w:tab w:leader="none" w:pos="700"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USE OF ESTIMATES IN PREPARATION OF FINANCIAL STATEMENTS</w:t>
      </w:r>
    </w:p>
    <w:p>
      <w:pPr>
        <w:spacing w:after="0" w:line="138"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PRINCIPLES OF CONSOLIDATION</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consolidated financial statements include the financial statements of the Company and its wholly-owned marketing subsidiary in the United States, after elimination of material inter-company transactions and balances. The effect of the subsidiary's operations on the Company's revenues, net loss and total assets was immaterial for the dates and periods presented.</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CASH AND CASH EQUIVALENTS</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Cash and cash equivalents consist of banks deposits and short-term investments (primarily time deposits and certificates of deposit) with original maturities of three months or less.</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ALLOWANCE FOR DOUBTFUL ACCOUNTS</w:t>
      </w:r>
    </w:p>
    <w:p>
      <w:pPr>
        <w:spacing w:after="0" w:line="138" w:lineRule="exact"/>
        <w:rPr>
          <w:rFonts w:ascii="Courier New" w:cs="Courier New" w:eastAsia="Courier New" w:hAnsi="Courier New"/>
          <w:sz w:val="12"/>
          <w:szCs w:val="12"/>
          <w:color w:val="auto"/>
        </w:rPr>
      </w:pPr>
    </w:p>
    <w:p>
      <w:pPr>
        <w:ind w:left="700" w:right="51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allowance for doubtful accounts is computed on the specific identification basis for accounts whose collectibility, in management's estimation, is uncertain.</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INVENTORIES</w:t>
      </w:r>
    </w:p>
    <w:p>
      <w:pPr>
        <w:spacing w:after="0" w:line="138" w:lineRule="exact"/>
        <w:rPr>
          <w:rFonts w:ascii="Courier New" w:cs="Courier New" w:eastAsia="Courier New" w:hAnsi="Courier New"/>
          <w:sz w:val="12"/>
          <w:szCs w:val="12"/>
          <w:color w:val="auto"/>
        </w:rPr>
      </w:pPr>
    </w:p>
    <w:p>
      <w:pPr>
        <w:ind w:left="700" w:right="461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Inventories are stated at the lower of cost or market. Cost is determined for raw materials and supplies on the basis of the weighted moving average cost per unit. Cost is determined for work in process and finished goods on the basis of actual production costs.</w:t>
      </w:r>
    </w:p>
    <w:p>
      <w:pPr>
        <w:spacing w:after="0" w:line="25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PROPERTY AND EQUIPMENT</w:t>
      </w:r>
    </w:p>
    <w:p>
      <w:pPr>
        <w:spacing w:after="0" w:line="138" w:lineRule="exact"/>
        <w:rPr>
          <w:rFonts w:ascii="Courier New" w:cs="Courier New" w:eastAsia="Courier New" w:hAnsi="Courier New"/>
          <w:sz w:val="12"/>
          <w:szCs w:val="12"/>
          <w:color w:val="auto"/>
        </w:rPr>
      </w:pPr>
    </w:p>
    <w:p>
      <w:pPr>
        <w:ind w:left="1040" w:right="4619" w:hanging="345"/>
        <w:spacing w:after="0" w:line="238" w:lineRule="auto"/>
        <w:tabs>
          <w:tab w:leader="none" w:pos="1040" w:val="left"/>
        </w:tabs>
        <w:numPr>
          <w:ilvl w:val="1"/>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Property and equipment are presented at cost, including financing expenses and other capitalizable costs. Capitalizable costs include only incremental direct costs that are identifiable with, and related to, the property and equipment and are incurred prior to its initial operation. Identifiable incremental direct costs include costs associated with the funding, acquiring, constructing, establishing and installing property and equipment (whether performed by others or by the Company), and costs directly related to preproduction test runs of property and equipment that are necessary to get it ready for its intended use. Those costs include payroll and payroll-related costs of employees who devote time and are dedicated to the acquiring, constructing, establishing and installing of property and equipment. Allocation, when appropriate, of capitalizable incremental direct costs is based on management's estimates and methodologies including time sheet inputs.</w:t>
      </w:r>
    </w:p>
    <w:p>
      <w:pPr>
        <w:spacing w:after="0" w:line="139" w:lineRule="exact"/>
        <w:rPr>
          <w:rFonts w:ascii="Courier New" w:cs="Courier New" w:eastAsia="Courier New" w:hAnsi="Courier New"/>
          <w:sz w:val="12"/>
          <w:szCs w:val="12"/>
          <w:color w:val="auto"/>
        </w:rPr>
      </w:pPr>
    </w:p>
    <w:p>
      <w:pPr>
        <w:ind w:left="1040" w:right="469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Cost is presented net of investment grants received or receivable, and less accumulated depreciation and amortization. The accrual for grants receivable is determined based on qualified investments made during the reporting period, provided that the primary criteria for entitlement have been met.</w:t>
      </w:r>
    </w:p>
    <w:p>
      <w:pPr>
        <w:spacing w:after="0" w:line="127" w:lineRule="exact"/>
        <w:rPr>
          <w:rFonts w:ascii="Courier New" w:cs="Courier New" w:eastAsia="Courier New" w:hAnsi="Courier New"/>
          <w:sz w:val="12"/>
          <w:szCs w:val="12"/>
          <w:color w:val="auto"/>
        </w:rPr>
      </w:pPr>
    </w:p>
    <w:p>
      <w:pPr>
        <w:ind w:left="104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During the second quarter of 2007, the Company reassessed the estimated useful lives of its machinery and equipment and as a result, effective as of April 1, 2007, machinery and equipment is to be depreciated over estimated useful lives of 7 years rather than 5 years as estimated prior to such date. The change reflects the Company's best estimate of the useful lives of its equipment and is also based on experience accumulated from Fab 1 and on recent trends in industry practices. The Company believes that the change better reflects the economics associated with the ownership of the equipment. This change has been accounted for as a change in estimate and was applied prospectively. For the effect of this change, see Note 6A.</w:t>
      </w:r>
    </w:p>
    <w:p>
      <w:pPr>
        <w:spacing w:after="0" w:line="138" w:lineRule="exact"/>
        <w:rPr>
          <w:rFonts w:ascii="Courier New" w:cs="Courier New" w:eastAsia="Courier New" w:hAnsi="Courier New"/>
          <w:sz w:val="12"/>
          <w:szCs w:val="12"/>
          <w:color w:val="auto"/>
        </w:rPr>
      </w:pPr>
    </w:p>
    <w:p>
      <w:pPr>
        <w:ind w:left="1040"/>
        <w:spacing w:after="0"/>
        <w:rPr>
          <w:rFonts w:ascii="Courier New" w:cs="Courier New" w:eastAsia="Courier New" w:hAnsi="Courier New"/>
          <w:sz w:val="12"/>
          <w:szCs w:val="12"/>
          <w:color w:val="auto"/>
        </w:rPr>
      </w:pPr>
      <w:r>
        <w:rPr>
          <w:rFonts w:ascii="Courier New" w:cs="Courier New" w:eastAsia="Courier New" w:hAnsi="Courier New"/>
          <w:sz w:val="11"/>
          <w:szCs w:val="11"/>
          <w:color w:val="auto"/>
        </w:rPr>
        <w:t>Depreciation is calculated based on the straight-line method over</w:t>
      </w:r>
    </w:p>
    <w:p>
      <w:pPr>
        <w:sectPr>
          <w:pgSz w:w="11900" w:h="16838" w:orient="portrait"/>
          <w:cols w:equalWidth="0" w:num="1">
            <w:col w:w="10239"/>
          </w:cols>
          <w:pgMar w:left="220" w:top="137" w:right="1440" w:bottom="0" w:gutter="0" w:footer="0" w:header="0"/>
        </w:sectPr>
      </w:pPr>
    </w:p>
    <w:bookmarkStart w:id="52" w:name="page53"/>
    <w:bookmarkEnd w:id="52"/>
    <w:p>
      <w:pPr>
        <w:ind w:left="1040"/>
        <w:spacing w:after="0"/>
        <w:rPr>
          <w:sz w:val="20"/>
          <w:szCs w:val="20"/>
          <w:color w:val="auto"/>
        </w:rPr>
      </w:pPr>
      <w:r>
        <w:rPr>
          <w:rFonts w:ascii="Courier New" w:cs="Courier New" w:eastAsia="Courier New" w:hAnsi="Courier New"/>
          <w:sz w:val="11"/>
          <w:szCs w:val="11"/>
          <w:color w:val="auto"/>
        </w:rPr>
        <w:t>the estimated economic lives commonly used in the industry of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assets or terms of the related leases, as follows:</w:t>
      </w:r>
    </w:p>
    <w:p>
      <w:pPr>
        <w:spacing w:after="0" w:line="134" w:lineRule="exact"/>
        <w:rPr>
          <w:sz w:val="20"/>
          <w:szCs w:val="20"/>
          <w:color w:val="auto"/>
        </w:rPr>
      </w:pPr>
    </w:p>
    <w:tbl>
      <w:tblPr>
        <w:tblLayout w:type="fixed"/>
        <w:tblInd w:w="1040" w:type="dxa"/>
        <w:tblCellMar>
          <w:top w:w="0" w:type="dxa"/>
          <w:left w:w="0" w:type="dxa"/>
          <w:bottom w:w="0" w:type="dxa"/>
          <w:right w:w="0" w:type="dxa"/>
        </w:tblCellMar>
      </w:tblPr>
      <w:tr>
        <w:trPr>
          <w:trHeight w:val="136"/>
        </w:trPr>
        <w:tc>
          <w:tcPr>
            <w:tcW w:w="3300" w:type="dxa"/>
            <w:vAlign w:val="bottom"/>
          </w:tcPr>
          <w:p>
            <w:pPr>
              <w:spacing w:after="0"/>
              <w:rPr>
                <w:sz w:val="20"/>
                <w:szCs w:val="20"/>
                <w:color w:val="auto"/>
              </w:rPr>
            </w:pPr>
            <w:r>
              <w:rPr>
                <w:rFonts w:ascii="Courier New" w:cs="Courier New" w:eastAsia="Courier New" w:hAnsi="Courier New"/>
                <w:sz w:val="12"/>
                <w:szCs w:val="12"/>
                <w:color w:val="auto"/>
              </w:rPr>
              <w:t>Building (including facility infrastructure)</w:t>
            </w:r>
          </w:p>
        </w:tc>
        <w:tc>
          <w:tcPr>
            <w:tcW w:w="1000" w:type="dxa"/>
            <w:vAlign w:val="bottom"/>
            <w:gridSpan w:val="2"/>
          </w:tcPr>
          <w:p>
            <w:pPr>
              <w:ind w:left="220"/>
              <w:spacing w:after="0"/>
              <w:rPr>
                <w:sz w:val="20"/>
                <w:szCs w:val="20"/>
                <w:color w:val="auto"/>
              </w:rPr>
            </w:pPr>
            <w:r>
              <w:rPr>
                <w:rFonts w:ascii="Courier New" w:cs="Courier New" w:eastAsia="Courier New" w:hAnsi="Courier New"/>
                <w:sz w:val="12"/>
                <w:szCs w:val="12"/>
                <w:color w:val="auto"/>
                <w:w w:val="95"/>
              </w:rPr>
              <w:t>14-25 years</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Machinery and equipment</w:t>
            </w:r>
          </w:p>
        </w:tc>
        <w:tc>
          <w:tcPr>
            <w:tcW w:w="320" w:type="dxa"/>
            <w:vAlign w:val="bottom"/>
          </w:tcPr>
          <w:p>
            <w:pPr>
              <w:ind w:left="220"/>
              <w:spacing w:after="0"/>
              <w:rPr>
                <w:sz w:val="20"/>
                <w:szCs w:val="20"/>
                <w:color w:val="auto"/>
              </w:rPr>
            </w:pPr>
            <w:r>
              <w:rPr>
                <w:rFonts w:ascii="Courier New" w:cs="Courier New" w:eastAsia="Courier New" w:hAnsi="Courier New"/>
                <w:sz w:val="12"/>
                <w:szCs w:val="12"/>
                <w:color w:val="auto"/>
              </w:rPr>
              <w:t>7</w:t>
            </w:r>
          </w:p>
        </w:tc>
        <w:tc>
          <w:tcPr>
            <w:tcW w:w="680" w:type="dxa"/>
            <w:vAlign w:val="bottom"/>
          </w:tcPr>
          <w:p>
            <w:pPr>
              <w:ind w:left="40"/>
              <w:spacing w:after="0"/>
              <w:rPr>
                <w:sz w:val="20"/>
                <w:szCs w:val="20"/>
                <w:color w:val="auto"/>
              </w:rPr>
            </w:pPr>
            <w:r>
              <w:rPr>
                <w:rFonts w:ascii="Courier New" w:cs="Courier New" w:eastAsia="Courier New" w:hAnsi="Courier New"/>
                <w:sz w:val="12"/>
                <w:szCs w:val="12"/>
                <w:color w:val="auto"/>
                <w:w w:val="95"/>
              </w:rPr>
              <w:t>years (*)</w:t>
            </w:r>
          </w:p>
        </w:tc>
      </w:tr>
      <w:tr>
        <w:trPr>
          <w:trHeight w:val="135"/>
        </w:trPr>
        <w:tc>
          <w:tcPr>
            <w:tcW w:w="3300" w:type="dxa"/>
            <w:vAlign w:val="bottom"/>
          </w:tcPr>
          <w:p>
            <w:pPr>
              <w:spacing w:after="0"/>
              <w:rPr>
                <w:sz w:val="20"/>
                <w:szCs w:val="20"/>
                <w:color w:val="auto"/>
              </w:rPr>
            </w:pPr>
            <w:r>
              <w:rPr>
                <w:rFonts w:ascii="Courier New" w:cs="Courier New" w:eastAsia="Courier New" w:hAnsi="Courier New"/>
                <w:sz w:val="12"/>
                <w:szCs w:val="12"/>
                <w:color w:val="auto"/>
              </w:rPr>
              <w:t>Transportation vehicles</w:t>
            </w:r>
          </w:p>
        </w:tc>
        <w:tc>
          <w:tcPr>
            <w:tcW w:w="320" w:type="dxa"/>
            <w:vAlign w:val="bottom"/>
          </w:tcPr>
          <w:p>
            <w:pPr>
              <w:ind w:left="220"/>
              <w:spacing w:after="0"/>
              <w:rPr>
                <w:sz w:val="20"/>
                <w:szCs w:val="20"/>
                <w:color w:val="auto"/>
              </w:rPr>
            </w:pPr>
            <w:r>
              <w:rPr>
                <w:rFonts w:ascii="Courier New" w:cs="Courier New" w:eastAsia="Courier New" w:hAnsi="Courier New"/>
                <w:sz w:val="12"/>
                <w:szCs w:val="12"/>
                <w:color w:val="auto"/>
              </w:rPr>
              <w:t>7</w:t>
            </w:r>
          </w:p>
        </w:tc>
        <w:tc>
          <w:tcPr>
            <w:tcW w:w="680" w:type="dxa"/>
            <w:vAlign w:val="bottom"/>
          </w:tcPr>
          <w:p>
            <w:pPr>
              <w:ind w:left="40"/>
              <w:spacing w:after="0"/>
              <w:rPr>
                <w:sz w:val="20"/>
                <w:szCs w:val="20"/>
                <w:color w:val="auto"/>
              </w:rPr>
            </w:pPr>
            <w:r>
              <w:rPr>
                <w:rFonts w:ascii="Courier New" w:cs="Courier New" w:eastAsia="Courier New" w:hAnsi="Courier New"/>
                <w:sz w:val="12"/>
                <w:szCs w:val="12"/>
                <w:color w:val="auto"/>
              </w:rPr>
              <w:t>years</w:t>
            </w:r>
          </w:p>
        </w:tc>
      </w:tr>
    </w:tbl>
    <w:p>
      <w:pPr>
        <w:spacing w:after="0" w:line="134" w:lineRule="exact"/>
        <w:rPr>
          <w:sz w:val="20"/>
          <w:szCs w:val="20"/>
          <w:color w:val="auto"/>
        </w:rPr>
      </w:pPr>
    </w:p>
    <w:p>
      <w:pPr>
        <w:ind w:left="1320" w:hanging="274"/>
        <w:spacing w:after="0"/>
        <w:tabs>
          <w:tab w:leader="none" w:pos="1320" w:val="left"/>
        </w:tabs>
        <w:numPr>
          <w:ilvl w:val="1"/>
          <w:numId w:val="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5 years through March 31, 2007.</w:t>
      </w:r>
    </w:p>
    <w:p>
      <w:pPr>
        <w:spacing w:after="0" w:line="138" w:lineRule="exact"/>
        <w:rPr>
          <w:rFonts w:ascii="Courier New" w:cs="Courier New" w:eastAsia="Courier New" w:hAnsi="Courier New"/>
          <w:sz w:val="12"/>
          <w:szCs w:val="12"/>
          <w:color w:val="auto"/>
        </w:rPr>
      </w:pPr>
    </w:p>
    <w:p>
      <w:pPr>
        <w:ind w:left="1040" w:right="4839" w:hanging="345"/>
        <w:spacing w:after="0" w:line="273" w:lineRule="auto"/>
        <w:tabs>
          <w:tab w:leader="none" w:pos="1040" w:val="left"/>
        </w:tabs>
        <w:numPr>
          <w:ilvl w:val="0"/>
          <w:numId w:val="34"/>
        </w:numPr>
        <w:rPr>
          <w:rFonts w:ascii="Courier New" w:cs="Courier New" w:eastAsia="Courier New" w:hAnsi="Courier New"/>
          <w:sz w:val="11"/>
          <w:szCs w:val="11"/>
          <w:color w:val="auto"/>
        </w:rPr>
      </w:pPr>
      <w:r>
        <w:rPr>
          <w:rFonts w:ascii="Courier New" w:cs="Courier New" w:eastAsia="Courier New" w:hAnsi="Courier New"/>
          <w:sz w:val="11"/>
          <w:szCs w:val="11"/>
          <w:color w:val="auto"/>
        </w:rPr>
        <w:t>Impairment examinations and recognition are performed and determined based on the accounting policy outlined in Q below.</w:t>
      </w:r>
    </w:p>
    <w:p>
      <w:pPr>
        <w:spacing w:after="0" w:line="25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- 8</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INTANGIBLE ASSETS</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TECHNOLOGY - The cost of Fab 2 technologies includes the technology process cost and incremental direct costs associated with implementing the technologies until the technologies are ready for their intended use. The costs in relation to Fab 2 technologies are amortized over the expected estimated economic life of the technologies, commonly used in the industry. Amortization phases commence on the dates on which each of the Fab 2 manufacturing lines is ready for its intended use. The technologies are presented net of accumulated amortization as of December 31, 2007 and 2006 in the amounts of $63,911 and $53,741.</w:t>
      </w:r>
    </w:p>
    <w:p>
      <w:pPr>
        <w:spacing w:after="0" w:line="131" w:lineRule="exact"/>
        <w:rPr>
          <w:rFonts w:ascii="Courier New" w:cs="Courier New" w:eastAsia="Courier New" w:hAnsi="Courier New"/>
          <w:sz w:val="12"/>
          <w:szCs w:val="12"/>
          <w:color w:val="auto"/>
        </w:rPr>
      </w:pPr>
    </w:p>
    <w:p>
      <w:pPr>
        <w:ind w:left="700" w:right="47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Impairment examinations and recognition are performed and determined based on the accounting policy outlined in Q below.</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ASSETS</w:t>
      </w:r>
    </w:p>
    <w:p>
      <w:pPr>
        <w:spacing w:after="0" w:line="134"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DEFERRED FINANCING CHARGES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Deferred financing charges in relation to funding the ramp-up of Fab 2 are amortized over the lives of the borrowings as an adjustment to the yield using the effective interest method. During the ramp up period of Fab 2, amortized deferred financing charges are capitalized to property and equipment.</w:t>
      </w:r>
    </w:p>
    <w:p>
      <w:pPr>
        <w:spacing w:after="0" w:line="135"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PREPAID LONG-TERM LAND LEASE</w:t>
      </w:r>
    </w:p>
    <w:p>
      <w:pPr>
        <w:spacing w:after="0" w:line="138" w:lineRule="exact"/>
        <w:rPr>
          <w:rFonts w:ascii="Courier New" w:cs="Courier New" w:eastAsia="Courier New" w:hAnsi="Courier New"/>
          <w:sz w:val="12"/>
          <w:szCs w:val="12"/>
          <w:color w:val="auto"/>
        </w:rPr>
      </w:pPr>
    </w:p>
    <w:p>
      <w:pPr>
        <w:ind w:left="700"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Prepaid lease payments to the Israel Land Administration ("ILA") as detailed in Notes 13A(8) and 13C are amortized during the lease period.</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CONVERTIBLE DEBENTURES</w:t>
      </w:r>
    </w:p>
    <w:p>
      <w:pPr>
        <w:spacing w:after="0" w:line="138" w:lineRule="exact"/>
        <w:rPr>
          <w:rFonts w:ascii="Courier New" w:cs="Courier New" w:eastAsia="Courier New" w:hAnsi="Courier New"/>
          <w:sz w:val="12"/>
          <w:szCs w:val="12"/>
          <w:color w:val="auto"/>
        </w:rPr>
      </w:pPr>
    </w:p>
    <w:p>
      <w:pPr>
        <w:ind w:left="700" w:right="50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Under Accounting Principles Board Opinion No. 14 ("APB 14"), the proceeds from the sale of the securities are allocated to each security issued based on their relative fair value.</w:t>
      </w:r>
    </w:p>
    <w:p>
      <w:pPr>
        <w:spacing w:after="0" w:line="139"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SFAS 133 generally provides three criteria that, if met, require companies to bifurcate conversion options from their host instruments and account for them as free standing derivative financial instruments. These three criteria are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and (c) a separate instrument with the same terms as the embedded derivative instrument would be considered a derivative instrument subject to the requirements of SFAS 133. One scope exception provided by SFAS 133 and relevant to convertibles is when the embedded conversion feature is both indexed to and classified in the Company's equity based on the criteria established in EITF 00-19 and other EITF's. Financing costs are generally expensed as incurred unless directly related to the new ramp-up of equipment. In such case the costs are capitalized to property and equipment during the installation period until the equipment ready for its intended use.</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INCOME TAXES</w:t>
      </w:r>
    </w:p>
    <w:p>
      <w:pPr>
        <w:spacing w:after="0" w:line="138"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accounts for income taxes in accordance with SFAS No. 109, "Accounting for Income Taxes" ("SFAS No. 109"). This Statement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w:t>
      </w:r>
    </w:p>
    <w:p>
      <w:pPr>
        <w:spacing w:after="0" w:line="127"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Deferred tax assets are recognized, if it is probable that such assets would be realized, for temporary differences, which will result in deductible amounts in future years and for carryforwards. An allowance against such deferred tax asset is recognized if it is probable that some portion or all of the deferred tax assets will not be realized. Due to the material loss carryforward of the Company as of December 31, 2007 and uncertainties with regard to its utilization in the future, no deferred taxes were recorded in the Company's results of operations.</w:t>
      </w:r>
    </w:p>
    <w:p>
      <w:pPr>
        <w:spacing w:after="0" w:line="13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REVENUE RECOGNITION</w:t>
      </w:r>
    </w:p>
    <w:p>
      <w:pPr>
        <w:spacing w:after="0" w:line="138"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Revenues are recognized when persuasive evidence of an agreement exists with fixed or determinable prices, shipment has occurred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w:t>
      </w:r>
    </w:p>
    <w:p>
      <w:pPr>
        <w:sectPr>
          <w:pgSz w:w="11900" w:h="16838" w:orient="portrait"/>
          <w:cols w:equalWidth="0" w:num="1">
            <w:col w:w="10239"/>
          </w:cols>
          <w:pgMar w:left="220" w:top="141" w:right="1440" w:bottom="0" w:gutter="0" w:footer="0" w:header="0"/>
        </w:sectPr>
      </w:pPr>
    </w:p>
    <w:bookmarkStart w:id="53" w:name="page54"/>
    <w:bookmarkEnd w:id="53"/>
    <w:p>
      <w:pPr>
        <w:ind w:left="700"/>
        <w:spacing w:after="0"/>
        <w:rPr>
          <w:sz w:val="20"/>
          <w:szCs w:val="20"/>
          <w:color w:val="auto"/>
        </w:rPr>
      </w:pPr>
      <w:r>
        <w:rPr>
          <w:rFonts w:ascii="Courier New" w:cs="Courier New" w:eastAsia="Courier New" w:hAnsi="Courier New"/>
          <w:sz w:val="12"/>
          <w:szCs w:val="12"/>
          <w:color w:val="auto"/>
        </w:rPr>
        <w:t>specified criteria prior to formal customer acceptance, and that</w:t>
      </w:r>
    </w:p>
    <w:p>
      <w:pPr>
        <w:ind w:left="700"/>
        <w:spacing w:after="0"/>
        <w:rPr>
          <w:sz w:val="20"/>
          <w:szCs w:val="20"/>
          <w:color w:val="auto"/>
        </w:rPr>
      </w:pPr>
      <w:r>
        <w:rPr>
          <w:rFonts w:ascii="Courier New" w:cs="Courier New" w:eastAsia="Courier New" w:hAnsi="Courier New"/>
          <w:sz w:val="12"/>
          <w:szCs w:val="12"/>
          <w:color w:val="auto"/>
        </w:rPr>
        <w:t>product performance upon customer on-site testing can reasonably be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expected to conform to the specified acceptance provisions. An accrual</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for estimated returns, computed primarily on the basis of historical</w:t>
      </w:r>
    </w:p>
    <w:p>
      <w:pPr>
        <w:ind w:left="700"/>
        <w:spacing w:after="0"/>
        <w:rPr>
          <w:sz w:val="20"/>
          <w:szCs w:val="20"/>
          <w:color w:val="auto"/>
        </w:rPr>
      </w:pPr>
      <w:r>
        <w:rPr>
          <w:rFonts w:ascii="Courier New" w:cs="Courier New" w:eastAsia="Courier New" w:hAnsi="Courier New"/>
          <w:sz w:val="12"/>
          <w:szCs w:val="12"/>
          <w:color w:val="auto"/>
        </w:rPr>
        <w:t>experience, is recorded at the time when revenues are recognized.</w:t>
      </w:r>
    </w:p>
    <w:p>
      <w:pPr>
        <w:spacing w:after="0" w:line="133" w:lineRule="exact"/>
        <w:rPr>
          <w:sz w:val="20"/>
          <w:szCs w:val="20"/>
          <w:color w:val="auto"/>
        </w:rPr>
      </w:pPr>
    </w:p>
    <w:p>
      <w:pPr>
        <w:ind w:left="700" w:hanging="357"/>
        <w:spacing w:after="0"/>
        <w:tabs>
          <w:tab w:leader="none" w:pos="700" w:val="left"/>
        </w:tabs>
        <w:numPr>
          <w:ilvl w:val="0"/>
          <w:numId w:val="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RESEARCH AND DEVELOPMENT</w:t>
      </w:r>
    </w:p>
    <w:p>
      <w:pPr>
        <w:spacing w:after="0" w:line="138" w:lineRule="exact"/>
        <w:rPr>
          <w:rFonts w:ascii="Courier New" w:cs="Courier New" w:eastAsia="Courier New" w:hAnsi="Courier New"/>
          <w:sz w:val="12"/>
          <w:szCs w:val="12"/>
          <w:color w:val="auto"/>
        </w:rPr>
      </w:pPr>
    </w:p>
    <w:p>
      <w:pPr>
        <w:ind w:left="70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26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LOSS PER ORDINARY SHARE</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Basic earnings per share is calculated, in accordance with SFAS No. 128, "Earnings Per Share" ("SFAS No. 128"), by dividing profit or loss attributable to ordinary equity holders of the entity (the numerator) by the weighted average number of Ordinary Shares outstanding (the denominator) during the reported period. Diluted earnings per share is calculated by adjusting profit or loss attributable to ordinary equity holders of the entity, and the weighted average number of shares outstanding, for the effects of all dilutive potential Ordinary Shares.</w:t>
      </w:r>
    </w:p>
    <w:p>
      <w:pPr>
        <w:spacing w:after="0" w:line="138"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COMPREHENSIVE INCOME (LOSS)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Accordance with SFAS 130, 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are included in comprehensive income but excluded from net income.</w:t>
      </w:r>
    </w:p>
    <w:p>
      <w:pPr>
        <w:spacing w:after="0" w:line="137"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FUNCTIONAL CURRENCY AND TRANSACTION GAINS AND LOSSES</w:t>
      </w:r>
    </w:p>
    <w:p>
      <w:pPr>
        <w:spacing w:after="0" w:line="138"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currency of the primary economic environment in which the Company conducts its operations is the U.S. dollar ("dollar"). Accordingly, the Company uses the dollar as its functional and reporting currency. Financing expenses, net in 2007 and 2006 include net foreign currency transaction losses of $3,526, and $3,659, respectively. Financing expenses, net in 2005 include net foreign currency transaction gains of $1,398.</w:t>
      </w:r>
    </w:p>
    <w:p>
      <w:pPr>
        <w:spacing w:after="0" w:line="13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STOCK-BASED COMPENSATION</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January 1, 2006, the Company adopted the provisions of SFAS No. 123 (revised 2004), "Share-Based Payment" (SFAS No. 123(R)), under which employee share-based equity awards accounted for under the fair value method. Accordingly, stock-based compensation to employees and directors is measured at the grant date, based on the fair value of the award. The Company elected the modified prospective method as its transition method. Under the modified prospective method the compensation cost recognized by the Company beginning in 2006 includes</w:t>
      </w:r>
    </w:p>
    <w:p>
      <w:pPr>
        <w:ind w:left="700" w:right="4619" w:hanging="5"/>
        <w:spacing w:after="0" w:line="237" w:lineRule="auto"/>
        <w:tabs>
          <w:tab w:leader="none" w:pos="981" w:val="left"/>
        </w:tabs>
        <w:numPr>
          <w:ilvl w:val="1"/>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compensation cost for all equity incentive awards granted prior to, but not yet vested as of January 1, 2006, based on the grant-date fair value estimated in accordance with the original provisions of SFAS No. 123, and (b) compensation cost for all stock-based compensations granted subsequent to January 1, 2006, based on the grant-date fair value estimated in accordance with the provisions of SFAS No. 123(R). The Company uses the straight-line attribution method to recognize stock-based compensation costs over the service period of the award.</w:t>
      </w: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- 11</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STOCK-BASED COMPENSATION (CONT.)</w:t>
      </w:r>
    </w:p>
    <w:p>
      <w:pPr>
        <w:spacing w:after="0" w:line="138" w:lineRule="exact"/>
        <w:rPr>
          <w:rFonts w:ascii="Courier New" w:cs="Courier New" w:eastAsia="Courier New" w:hAnsi="Courier New"/>
          <w:sz w:val="12"/>
          <w:szCs w:val="12"/>
          <w:color w:val="auto"/>
        </w:rPr>
      </w:pPr>
    </w:p>
    <w:p>
      <w:pPr>
        <w:ind w:left="700" w:right="475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As for the periods before the adoption of the Standard, the Company accounted for employee and director stock-based compensation in accordance with Accounting Principles Board Opinion No. 25, "Accounting for Stock Issued to Employees" ("APB 25") and authoritative interpretations thereof. Accordingly, the Company accounted for share options granted to employees and directors based on the intrinsic value of the options on the measurement date.</w:t>
      </w:r>
    </w:p>
    <w:p>
      <w:pPr>
        <w:spacing w:after="0" w:line="12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PRO FORMA LOSS PER SHARE ACCORDING TO SFAS 123 AND SFAS 148</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Had compensation cost for the Company's share option plans been</w:t>
      </w:r>
    </w:p>
    <w:p>
      <w:pPr>
        <w:ind w:left="1040"/>
        <w:spacing w:after="0"/>
        <w:rPr>
          <w:sz w:val="20"/>
          <w:szCs w:val="20"/>
          <w:color w:val="auto"/>
        </w:rPr>
      </w:pPr>
      <w:r>
        <w:rPr>
          <w:rFonts w:ascii="Courier New" w:cs="Courier New" w:eastAsia="Courier New" w:hAnsi="Courier New"/>
          <w:sz w:val="12"/>
          <w:szCs w:val="12"/>
          <w:color w:val="auto"/>
        </w:rPr>
        <w:t>determined based on the fair value at the grant dates for all</w:t>
      </w:r>
    </w:p>
    <w:p>
      <w:pPr>
        <w:ind w:left="1040"/>
        <w:spacing w:after="0" w:line="237" w:lineRule="auto"/>
        <w:rPr>
          <w:sz w:val="20"/>
          <w:szCs w:val="20"/>
          <w:color w:val="auto"/>
        </w:rPr>
      </w:pPr>
      <w:r>
        <w:rPr>
          <w:rFonts w:ascii="Courier New" w:cs="Courier New" w:eastAsia="Courier New" w:hAnsi="Courier New"/>
          <w:sz w:val="12"/>
          <w:szCs w:val="12"/>
          <w:color w:val="auto"/>
        </w:rPr>
        <w:t>awards made through December 31, 2005 in accordance with SFAS</w:t>
      </w:r>
    </w:p>
    <w:p>
      <w:pPr>
        <w:ind w:left="1040"/>
        <w:spacing w:after="0"/>
        <w:rPr>
          <w:sz w:val="20"/>
          <w:szCs w:val="20"/>
          <w:color w:val="auto"/>
        </w:rPr>
      </w:pPr>
      <w:r>
        <w:rPr>
          <w:rFonts w:ascii="Courier New" w:cs="Courier New" w:eastAsia="Courier New" w:hAnsi="Courier New"/>
          <w:sz w:val="12"/>
          <w:szCs w:val="12"/>
          <w:color w:val="auto"/>
        </w:rPr>
        <w:t>123, as amended by SFAS 148, the Company's pro forma loss per</w:t>
      </w:r>
    </w:p>
    <w:p>
      <w:pPr>
        <w:ind w:left="1040"/>
        <w:spacing w:after="0" w:line="237" w:lineRule="auto"/>
        <w:rPr>
          <w:sz w:val="20"/>
          <w:szCs w:val="20"/>
          <w:color w:val="auto"/>
        </w:rPr>
      </w:pPr>
      <w:r>
        <w:rPr>
          <w:rFonts w:ascii="Courier New" w:cs="Courier New" w:eastAsia="Courier New" w:hAnsi="Courier New"/>
          <w:sz w:val="12"/>
          <w:szCs w:val="12"/>
          <w:color w:val="auto"/>
        </w:rPr>
        <w:t>share would have been as follows:</w:t>
      </w:r>
    </w:p>
    <w:p>
      <w:pPr>
        <w:spacing w:after="0" w:line="134" w:lineRule="exact"/>
        <w:rPr>
          <w:sz w:val="20"/>
          <w:szCs w:val="20"/>
          <w:color w:val="auto"/>
        </w:rPr>
      </w:pPr>
    </w:p>
    <w:p>
      <w:pPr>
        <w:ind w:left="3020"/>
        <w:spacing w:after="0"/>
        <w:rPr>
          <w:sz w:val="20"/>
          <w:szCs w:val="20"/>
          <w:color w:val="auto"/>
        </w:rPr>
      </w:pPr>
      <w:r>
        <w:rPr>
          <w:rFonts w:ascii="Courier New" w:cs="Courier New" w:eastAsia="Courier New" w:hAnsi="Courier New"/>
          <w:sz w:val="12"/>
          <w:szCs w:val="12"/>
          <w:color w:val="auto"/>
        </w:rPr>
        <w:t>For the year ended</w:t>
      </w:r>
    </w:p>
    <w:p>
      <w:pPr>
        <w:ind w:left="3160"/>
        <w:spacing w:after="0"/>
        <w:rPr>
          <w:sz w:val="20"/>
          <w:szCs w:val="20"/>
          <w:color w:val="auto"/>
        </w:rPr>
      </w:pPr>
      <w:r>
        <w:rPr>
          <w:rFonts w:ascii="Courier New" w:cs="Courier New" w:eastAsia="Courier New" w:hAnsi="Courier New"/>
          <w:sz w:val="12"/>
          <w:szCs w:val="12"/>
          <w:color w:val="auto"/>
        </w:rPr>
        <w:t>December 31, 2005</w:t>
      </w:r>
    </w:p>
    <w:p>
      <w:pPr>
        <w:ind w:left="3360"/>
        <w:spacing w:after="0" w:line="237" w:lineRule="auto"/>
        <w:rPr>
          <w:sz w:val="20"/>
          <w:szCs w:val="20"/>
          <w:color w:val="auto"/>
        </w:rPr>
      </w:pPr>
      <w:r>
        <w:rPr>
          <w:rFonts w:ascii="Courier New" w:cs="Courier New" w:eastAsia="Courier New" w:hAnsi="Courier New"/>
          <w:sz w:val="12"/>
          <w:szCs w:val="12"/>
          <w:color w:val="auto"/>
        </w:rPr>
        <w:t>---------</w:t>
      </w:r>
    </w:p>
    <w:p>
      <w:pPr>
        <w:spacing w:after="0"/>
        <w:rPr>
          <w:sz w:val="20"/>
          <w:szCs w:val="20"/>
          <w:color w:val="auto"/>
        </w:rPr>
      </w:pPr>
      <w:r>
        <w:rPr>
          <w:rFonts w:ascii="Courier New" w:cs="Courier New" w:eastAsia="Courier New" w:hAnsi="Courier New"/>
          <w:sz w:val="12"/>
          <w:szCs w:val="12"/>
          <w:color w:val="auto"/>
        </w:rPr>
        <w:t>PRO FORMA LOSS</w:t>
      </w:r>
    </w:p>
    <w:p>
      <w:pPr>
        <w:sectPr>
          <w:pgSz w:w="11900" w:h="16838" w:orient="portrait"/>
          <w:cols w:equalWidth="0" w:num="1">
            <w:col w:w="10239"/>
          </w:cols>
          <w:pgMar w:left="220" w:top="137" w:right="1440" w:bottom="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Loss for the year, as reported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$(203,082)</w:t>
      </w:r>
    </w:p>
    <w:p>
      <w:pPr>
        <w:spacing w:after="0" w:line="10" w:lineRule="exact"/>
        <w:rPr>
          <w:sz w:val="20"/>
          <w:szCs w:val="20"/>
          <w:color w:val="auto"/>
        </w:rPr>
      </w:pPr>
    </w:p>
    <w:p>
      <w:pPr>
        <w:sectPr>
          <w:pgSz w:w="11900" w:h="16838" w:orient="portrait"/>
          <w:cols w:equalWidth="0" w:num="2">
            <w:col w:w="2640" w:space="720"/>
            <w:col w:w="6879"/>
          </w:cols>
          <w:pgMar w:left="220" w:top="137" w:right="1440"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Less - stock-based compensation</w:t>
      </w:r>
    </w:p>
    <w:p>
      <w:pPr>
        <w:sectPr>
          <w:pgSz w:w="11900" w:h="16838" w:orient="portrait"/>
          <w:cols w:equalWidth="0" w:num="1">
            <w:col w:w="10239"/>
          </w:cols>
          <w:pgMar w:left="220" w:top="137" w:right="1440" w:bottom="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determined under APB 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w:t>
      </w:r>
    </w:p>
    <w:p>
      <w:pPr>
        <w:spacing w:after="0" w:line="10" w:lineRule="exact"/>
        <w:rPr>
          <w:sz w:val="20"/>
          <w:szCs w:val="20"/>
          <w:color w:val="auto"/>
        </w:rPr>
      </w:pPr>
    </w:p>
    <w:p>
      <w:pPr>
        <w:sectPr>
          <w:pgSz w:w="11900" w:h="16838" w:orient="portrait"/>
          <w:cols w:equalWidth="0" w:num="2">
            <w:col w:w="3140" w:space="720"/>
            <w:col w:w="6379"/>
          </w:cols>
          <w:pgMar w:left="220" w:top="137" w:right="1440"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Add - stock-based compensation</w:t>
      </w:r>
    </w:p>
    <w:p>
      <w:pPr>
        <w:sectPr>
          <w:pgSz w:w="11900" w:h="16838" w:orient="portrait"/>
          <w:cols w:equalWidth="0" w:num="1">
            <w:col w:w="10239"/>
          </w:cols>
          <w:pgMar w:left="220" w:top="137" w:right="1440" w:bottom="0" w:gutter="0" w:footer="0" w:header="0"/>
          <w:type w:val="continuous"/>
        </w:sectPr>
      </w:pPr>
    </w:p>
    <w:p>
      <w:pPr>
        <w:spacing w:after="0" w:line="10" w:lineRule="exact"/>
        <w:rPr>
          <w:sz w:val="20"/>
          <w:szCs w:val="20"/>
          <w:color w:val="auto"/>
        </w:rPr>
      </w:pPr>
    </w:p>
    <w:p>
      <w:pPr>
        <w:ind w:right="900"/>
        <w:spacing w:after="0" w:line="469" w:lineRule="auto"/>
        <w:rPr>
          <w:sz w:val="20"/>
          <w:szCs w:val="20"/>
          <w:color w:val="auto"/>
        </w:rPr>
      </w:pPr>
      <w:r>
        <w:rPr>
          <w:rFonts w:ascii="Courier New" w:cs="Courier New" w:eastAsia="Courier New" w:hAnsi="Courier New"/>
          <w:sz w:val="12"/>
          <w:szCs w:val="12"/>
          <w:color w:val="auto"/>
        </w:rPr>
        <w:t>determined under SFAS 123 Pro forma loss</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1"/>
          <w:szCs w:val="11"/>
          <w:color w:val="auto"/>
        </w:rPr>
        <w:t>(4,229)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$(207,311)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39" w:lineRule="exact"/>
        <w:rPr>
          <w:sz w:val="20"/>
          <w:szCs w:val="20"/>
          <w:color w:val="auto"/>
        </w:rPr>
      </w:pPr>
    </w:p>
    <w:p>
      <w:pPr>
        <w:sectPr>
          <w:pgSz w:w="11900" w:h="16838" w:orient="portrait"/>
          <w:cols w:equalWidth="0" w:num="2">
            <w:col w:w="2640" w:space="720"/>
            <w:col w:w="6879"/>
          </w:cols>
          <w:pgMar w:left="220" w:top="137" w:right="1440" w:bottom="0" w:gutter="0" w:footer="0" w:header="0"/>
          <w:type w:val="continuous"/>
        </w:sectPr>
      </w:pPr>
    </w:p>
    <w:p>
      <w:pPr>
        <w:spacing w:after="0"/>
        <w:rPr>
          <w:sz w:val="20"/>
          <w:szCs w:val="20"/>
          <w:color w:val="auto"/>
        </w:rPr>
      </w:pPr>
      <w:r>
        <w:rPr>
          <w:rFonts w:ascii="Courier New" w:cs="Courier New" w:eastAsia="Courier New" w:hAnsi="Courier New"/>
          <w:sz w:val="11"/>
          <w:szCs w:val="11"/>
          <w:color w:val="auto"/>
        </w:rPr>
        <w:t>BASIC LOSS PER SHARE</w:t>
      </w:r>
    </w:p>
    <w:p>
      <w:pPr>
        <w:sectPr>
          <w:pgSz w:w="11900" w:h="16838" w:orient="portrait"/>
          <w:cols w:equalWidth="0" w:num="1">
            <w:col w:w="10239"/>
          </w:cols>
          <w:pgMar w:left="220" w:top="137" w:right="1440" w:bottom="0" w:gutter="0" w:footer="0" w:header="0"/>
          <w:type w:val="continuous"/>
        </w:sectPr>
      </w:pPr>
    </w:p>
    <w:bookmarkStart w:id="54" w:name="page55"/>
    <w:bookmarkEnd w:id="54"/>
    <w:p>
      <w:pPr>
        <w:spacing w:after="0"/>
        <w:rPr>
          <w:sz w:val="20"/>
          <w:szCs w:val="20"/>
          <w:color w:val="auto"/>
        </w:rPr>
      </w:pPr>
      <w:r>
        <w:rPr>
          <w:rFonts w:ascii="Courier New" w:cs="Courier New" w:eastAsia="Courier New" w:hAnsi="Courier New"/>
          <w:sz w:val="11"/>
          <w:szCs w:val="11"/>
          <w:color w:val="auto"/>
        </w:rPr>
        <w:t>As reported</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Pro forma</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(3.06)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4"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1"/>
          <w:szCs w:val="11"/>
          <w:color w:val="auto"/>
        </w:rPr>
        <w:t>$</w:t>
      </w:r>
      <w:r>
        <w:rPr>
          <w:sz w:val="20"/>
          <w:szCs w:val="20"/>
          <w:color w:val="auto"/>
        </w:rPr>
        <w:tab/>
      </w:r>
      <w:r>
        <w:rPr>
          <w:rFonts w:ascii="Courier New" w:cs="Courier New" w:eastAsia="Courier New" w:hAnsi="Courier New"/>
          <w:sz w:val="11"/>
          <w:szCs w:val="11"/>
          <w:color w:val="auto"/>
        </w:rPr>
        <w:t>(3.12)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134" w:lineRule="exact"/>
        <w:rPr>
          <w:sz w:val="20"/>
          <w:szCs w:val="20"/>
          <w:color w:val="auto"/>
        </w:rPr>
      </w:pPr>
    </w:p>
    <w:p>
      <w:pPr>
        <w:sectPr>
          <w:pgSz w:w="11900" w:h="16838" w:orient="portrait"/>
          <w:cols w:equalWidth="0" w:num="2">
            <w:col w:w="2640" w:space="720"/>
            <w:col w:w="6879"/>
          </w:cols>
          <w:pgMar w:left="220" w:top="141" w:right="1440" w:bottom="0" w:gutter="0" w:footer="0" w:header="0"/>
        </w:sectPr>
      </w:pPr>
    </w:p>
    <w:p>
      <w:pPr>
        <w:ind w:left="700"/>
        <w:spacing w:after="0"/>
        <w:rPr>
          <w:sz w:val="20"/>
          <w:szCs w:val="20"/>
          <w:color w:val="auto"/>
        </w:rPr>
      </w:pPr>
      <w:r>
        <w:rPr>
          <w:rFonts w:ascii="Courier New" w:cs="Courier New" w:eastAsia="Courier New" w:hAnsi="Courier New"/>
          <w:sz w:val="12"/>
          <w:szCs w:val="12"/>
          <w:color w:val="auto"/>
        </w:rPr>
        <w:t>STOCK-BASED COMPENSATION IN FINANCING TRANSACTIONS</w:t>
      </w:r>
    </w:p>
    <w:p>
      <w:pPr>
        <w:spacing w:after="0" w:line="139"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Company calculates the fair value of stock-based compensation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included in its financing transactions. That fair value is</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recognized in equity. The amount of fair value of the warrants is</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considered a discount on the debt issued and adjust the yield on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the financing transaction.</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IMPAIRMENT OF LONG-LIVED ASSETS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Management reviews long-lived assets on a periodic basis, as well as when such a review is required based upon relevant circumstances, to determine whether events or changes in circumstances indicate that the carrying amount of such assets may not be recoverable. Management's review of possible impairment charges for the periods presented was performed based on management's business plan and approved by the board of directors of the Company. The business plan is based, among other things, on the future completion of the ramp-up of Fab 2. Application of SFAS No. 144 "Accounting for the Impairment or Disposal of Long-Lived Assets" ("SFAS No. 144") resulted in no impairment charges for the periods presented.</w:t>
      </w:r>
    </w:p>
    <w:p>
      <w:pPr>
        <w:spacing w:after="0" w:line="140"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DERIVATIVES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issues from time to time derivatives, whether embedded or freestanding, that are denominated in currency other than its functional currency (generally the NIS in which its shares are also traded). The Company consider those instruments to be indexed only to its own stock and not dual indexed. The Company considered the various guidance on that issue and decided that pending the final consensus in EITF 07-5 it will continue to consider such instruments as indexed solely to its own shares.</w:t>
      </w:r>
    </w:p>
    <w:p>
      <w:pPr>
        <w:spacing w:after="0" w:line="137"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INITIAL ADOPTION OF NEW STANDARDS</w:t>
      </w:r>
    </w:p>
    <w:p>
      <w:pPr>
        <w:spacing w:after="0" w:line="138"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SFAS NO. 159, "THE FAIR VALUE OPTION FOR FINANCIAL ASSETS AND FINANCIAL LIABILITIES" - In February 2007, the FASB issued SFAS No. 159, "The Fair Value Option for Financial Assets and Financial Liabilities" (SFAS No. 159). SFAS No. 159 permits companies to choose to measure certain financial instruments and certain other items at fair value. The standard requires that unrealized gains and losses on items for which the fair value option has been elected be reported in earnings. The Company adopted the provisions of this standard, together with the adoption of FASB No. 157 FAIR VALUE MEASUREMENTS, starting with the first quarter of 2007.</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2 - SUMMARY OF SIGNIFICANT ACCOUNTING POLICIES (CONT.)</w:t>
      </w:r>
    </w:p>
    <w:p>
      <w:pPr>
        <w:spacing w:after="0" w:line="134" w:lineRule="exact"/>
        <w:rPr>
          <w:sz w:val="20"/>
          <w:szCs w:val="20"/>
          <w:color w:val="auto"/>
        </w:rPr>
      </w:pPr>
    </w:p>
    <w:p>
      <w:pPr>
        <w:ind w:left="700" w:hanging="357"/>
        <w:spacing w:after="0"/>
        <w:tabs>
          <w:tab w:leader="none" w:pos="700" w:val="left"/>
        </w:tabs>
        <w:numPr>
          <w:ilvl w:val="0"/>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RECENTLY ISSUED ACCOUNTING STANDARDS</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SFAS NO. 141 (REVISED 2007 ) "BUSINESS COMBINATIONS" - In December 2007, the FASB issued FASB 141(R), "Business Combinations" of which the objective is to improve the relevance, representational faithfulness, and comparability of the information that a reporting entity provides in its financial reports about a business combination and its effects. The new standard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In December 2007, the FASB issued FASB 160 "Non-controlling Interests in Consolidated Financial Statements - an amendment of ARB No.51" of which the objective is to improve the relevance, comparability, and transparency of the financial information that a reporting entity provides in its consolidated financial statements by establishing accounting and reporting standards by requiring all entities to report non controlling (minority) interests in subsidiaries in the same way - as equity in the consolidated financial statements. Moreover, Statement 160 eliminates the diversity that currently exists in accounting for transactions between an entity and non-controlling interests by requiring they be treated as equity transactions. Both FASB 141(R) and FASB 160 are effective for fiscal years beginning after December 15, 2008. The Company is currently examining this new standard; however, at this stage, it is unable to estimate the standard's effect, if any, on its financial position and results of operations.</w:t>
      </w:r>
    </w:p>
    <w:p>
      <w:pPr>
        <w:spacing w:after="0" w:line="200" w:lineRule="exact"/>
        <w:rPr>
          <w:rFonts w:ascii="Courier New" w:cs="Courier New" w:eastAsia="Courier New" w:hAnsi="Courier New"/>
          <w:sz w:val="12"/>
          <w:szCs w:val="12"/>
          <w:color w:val="auto"/>
        </w:rPr>
      </w:pPr>
    </w:p>
    <w:p>
      <w:pPr>
        <w:spacing w:after="0" w:line="203"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RECLASSIFICATION</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Certain amounts in prior years' financial statements have been</w:t>
      </w:r>
    </w:p>
    <w:p>
      <w:pPr>
        <w:ind w:left="700"/>
        <w:spacing w:after="0"/>
        <w:rPr>
          <w:sz w:val="20"/>
          <w:szCs w:val="20"/>
          <w:color w:val="auto"/>
        </w:rPr>
      </w:pPr>
      <w:r>
        <w:rPr>
          <w:rFonts w:ascii="Courier New" w:cs="Courier New" w:eastAsia="Courier New" w:hAnsi="Courier New"/>
          <w:sz w:val="12"/>
          <w:szCs w:val="12"/>
          <w:color w:val="auto"/>
        </w:rPr>
        <w:t>reclassified in order to conform to the 2007 presentation.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720" w:type="dxa"/>
            <w:vAlign w:val="bottom"/>
          </w:tcPr>
          <w:p>
            <w:pPr>
              <w:spacing w:after="0"/>
              <w:rPr>
                <w:sz w:val="20"/>
                <w:szCs w:val="20"/>
                <w:color w:val="auto"/>
              </w:rPr>
            </w:pPr>
            <w:r>
              <w:rPr>
                <w:rFonts w:ascii="Courier New" w:cs="Courier New" w:eastAsia="Courier New" w:hAnsi="Courier New"/>
                <w:sz w:val="12"/>
                <w:szCs w:val="12"/>
                <w:color w:val="auto"/>
              </w:rPr>
              <w:t>NOTE 3 - OTHER RECEIVABLES</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70"/>
        </w:trPr>
        <w:tc>
          <w:tcPr>
            <w:tcW w:w="3720" w:type="dxa"/>
            <w:vAlign w:val="bottom"/>
          </w:tcPr>
          <w:p>
            <w:pPr>
              <w:ind w:left="340"/>
              <w:spacing w:after="0"/>
              <w:rPr>
                <w:sz w:val="20"/>
                <w:szCs w:val="20"/>
                <w:color w:val="auto"/>
              </w:rPr>
            </w:pPr>
            <w:r>
              <w:rPr>
                <w:rFonts w:ascii="Courier New" w:cs="Courier New" w:eastAsia="Courier New" w:hAnsi="Courier New"/>
                <w:sz w:val="12"/>
                <w:szCs w:val="12"/>
                <w:color w:val="auto"/>
              </w:rPr>
              <w:t>Other receivables consist of the following:</w:t>
            </w: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3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5"/>
              </w:rPr>
              <w:t>As of December 31,</w:t>
            </w:r>
          </w:p>
        </w:tc>
      </w:tr>
      <w:tr>
        <w:trPr>
          <w:trHeight w:val="135"/>
        </w:trPr>
        <w:tc>
          <w:tcPr>
            <w:tcW w:w="3720" w:type="dxa"/>
            <w:vAlign w:val="bottom"/>
          </w:tcPr>
          <w:p>
            <w:pPr>
              <w:spacing w:after="0"/>
              <w:rPr>
                <w:sz w:val="11"/>
                <w:szCs w:val="11"/>
                <w:color w:val="auto"/>
              </w:rPr>
            </w:pPr>
          </w:p>
        </w:tc>
        <w:tc>
          <w:tcPr>
            <w:tcW w:w="15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0"/>
              </w:rPr>
              <w:t>2007</w:t>
            </w:r>
          </w:p>
        </w:tc>
        <w:tc>
          <w:tcPr>
            <w:tcW w:w="7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3720" w:type="dxa"/>
            <w:vAlign w:val="bottom"/>
          </w:tcPr>
          <w:p>
            <w:pPr>
              <w:spacing w:after="0"/>
              <w:rPr>
                <w:sz w:val="11"/>
                <w:szCs w:val="11"/>
                <w:color w:val="auto"/>
              </w:rPr>
            </w:pP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720" w:type="dxa"/>
            <w:vAlign w:val="bottom"/>
          </w:tcPr>
          <w:p>
            <w:pPr>
              <w:spacing w:after="0"/>
              <w:rPr>
                <w:sz w:val="20"/>
                <w:szCs w:val="20"/>
                <w:color w:val="auto"/>
              </w:rPr>
            </w:pPr>
            <w:r>
              <w:rPr>
                <w:rFonts w:ascii="Courier New" w:cs="Courier New" w:eastAsia="Courier New" w:hAnsi="Courier New"/>
                <w:sz w:val="12"/>
                <w:szCs w:val="12"/>
                <w:color w:val="auto"/>
              </w:rPr>
              <w:t>Government of Israel - investment grants receivable</w:t>
            </w:r>
          </w:p>
        </w:tc>
        <w:tc>
          <w:tcPr>
            <w:tcW w:w="28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24</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  1,530</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Other government agencies</w:t>
            </w:r>
          </w:p>
        </w:tc>
        <w:tc>
          <w:tcPr>
            <w:tcW w:w="28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4,661</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3,847</w:t>
            </w:r>
          </w:p>
        </w:tc>
      </w:tr>
      <w:tr>
        <w:trPr>
          <w:trHeight w:val="135"/>
        </w:trPr>
        <w:tc>
          <w:tcPr>
            <w:tcW w:w="3720" w:type="dxa"/>
            <w:vAlign w:val="bottom"/>
          </w:tcPr>
          <w:p>
            <w:pPr>
              <w:spacing w:after="0"/>
              <w:rPr>
                <w:sz w:val="20"/>
                <w:szCs w:val="20"/>
                <w:color w:val="auto"/>
              </w:rPr>
            </w:pPr>
            <w:r>
              <w:rPr>
                <w:rFonts w:ascii="Courier New" w:cs="Courier New" w:eastAsia="Courier New" w:hAnsi="Courier New"/>
                <w:sz w:val="12"/>
                <w:szCs w:val="12"/>
                <w:color w:val="auto"/>
              </w:rPr>
              <w:t>Others</w:t>
            </w:r>
          </w:p>
        </w:tc>
        <w:tc>
          <w:tcPr>
            <w:tcW w:w="280" w:type="dxa"/>
            <w:vAlign w:val="bottom"/>
          </w:tcPr>
          <w:p>
            <w:pPr>
              <w:spacing w:after="0"/>
              <w:rPr>
                <w:sz w:val="11"/>
                <w:szCs w:val="11"/>
                <w:color w:val="auto"/>
              </w:rPr>
            </w:pPr>
          </w:p>
        </w:tc>
        <w:tc>
          <w:tcPr>
            <w:tcW w:w="5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63</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48</w:t>
            </w:r>
          </w:p>
        </w:tc>
      </w:tr>
      <w:tr>
        <w:trPr>
          <w:trHeight w:val="135"/>
        </w:trPr>
        <w:tc>
          <w:tcPr>
            <w:tcW w:w="3720" w:type="dxa"/>
            <w:vAlign w:val="bottom"/>
          </w:tcPr>
          <w:p>
            <w:pPr>
              <w:spacing w:after="0"/>
              <w:rPr>
                <w:sz w:val="11"/>
                <w:szCs w:val="11"/>
                <w:color w:val="auto"/>
              </w:rPr>
            </w:pPr>
          </w:p>
        </w:tc>
        <w:tc>
          <w:tcPr>
            <w:tcW w:w="8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ectPr>
          <w:pgSz w:w="11900" w:h="16838" w:orient="portrait"/>
          <w:cols w:equalWidth="0" w:num="1">
            <w:col w:w="10239"/>
          </w:cols>
          <w:pgMar w:left="220" w:top="141" w:right="1440" w:bottom="0" w:gutter="0" w:footer="0" w:header="0"/>
          <w:type w:val="continuous"/>
        </w:sectPr>
      </w:pPr>
    </w:p>
    <w:bookmarkStart w:id="55" w:name="page56"/>
    <w:bookmarkEnd w:id="55"/>
    <w:p>
      <w:pPr>
        <w:spacing w:after="0" w:line="63" w:lineRule="exact"/>
        <w:rPr>
          <w:sz w:val="20"/>
          <w:szCs w:val="20"/>
          <w:color w:val="auto"/>
        </w:rPr>
      </w:pPr>
    </w:p>
    <w:p>
      <w:pPr>
        <w:ind w:left="3860"/>
        <w:spacing w:after="0"/>
        <w:tabs>
          <w:tab w:leader="none" w:pos="40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4,748</w:t>
      </w:r>
    </w:p>
    <w:p>
      <w:pPr>
        <w:spacing w:after="0" w:line="4" w:lineRule="exact"/>
        <w:rPr>
          <w:sz w:val="20"/>
          <w:szCs w:val="20"/>
          <w:color w:val="auto"/>
        </w:rPr>
      </w:pPr>
    </w:p>
    <w:p>
      <w:pPr>
        <w:ind w:left="3860"/>
        <w:spacing w:after="0"/>
        <w:rPr>
          <w:sz w:val="20"/>
          <w:szCs w:val="20"/>
          <w:color w:val="auto"/>
        </w:rPr>
      </w:pPr>
      <w:r>
        <w:rPr>
          <w:rFonts w:ascii="Courier New" w:cs="Courier New" w:eastAsia="Courier New" w:hAnsi="Courier New"/>
          <w:sz w:val="11"/>
          <w:szCs w:val="11"/>
          <w:color w:val="auto"/>
        </w:rPr>
        <w: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18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5,425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w:t>
      </w:r>
    </w:p>
    <w:p>
      <w:pPr>
        <w:spacing w:after="0" w:line="200" w:lineRule="exact"/>
        <w:rPr>
          <w:sz w:val="20"/>
          <w:szCs w:val="20"/>
          <w:color w:val="auto"/>
        </w:rPr>
      </w:pPr>
    </w:p>
    <w:p>
      <w:pPr>
        <w:sectPr>
          <w:pgSz w:w="11900" w:h="16902" w:orient="portrait"/>
          <w:cols w:equalWidth="0" w:num="2">
            <w:col w:w="4420" w:space="280"/>
            <w:col w:w="5539"/>
          </w:cols>
          <w:pgMar w:left="220" w:top="137" w:right="1440" w:bottom="0" w:gutter="0" w:footer="0" w:header="0"/>
        </w:sectPr>
      </w:pPr>
    </w:p>
    <w:p>
      <w:pPr>
        <w:spacing w:after="0" w:line="76"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4 - INVENTORIES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Inventories consist of the following (*):</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440" w:type="dxa"/>
            <w:vAlign w:val="bottom"/>
          </w:tcPr>
          <w:p>
            <w:pPr>
              <w:spacing w:after="0"/>
              <w:rPr>
                <w:sz w:val="11"/>
                <w:szCs w:val="11"/>
                <w:color w:val="auto"/>
              </w:rPr>
            </w:pPr>
          </w:p>
        </w:tc>
        <w:tc>
          <w:tcPr>
            <w:tcW w:w="1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1440" w:type="dxa"/>
            <w:vAlign w:val="bottom"/>
          </w:tcPr>
          <w:p>
            <w:pPr>
              <w:spacing w:after="0"/>
              <w:rPr>
                <w:sz w:val="11"/>
                <w:szCs w:val="11"/>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440" w:type="dxa"/>
            <w:vAlign w:val="bottom"/>
          </w:tcPr>
          <w:p>
            <w:pPr>
              <w:spacing w:after="0"/>
              <w:rPr>
                <w:sz w:val="11"/>
                <w:szCs w:val="11"/>
                <w:color w:val="auto"/>
              </w:rPr>
            </w:pPr>
          </w:p>
        </w:tc>
        <w:tc>
          <w:tcPr>
            <w:tcW w:w="116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2007</w:t>
            </w: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1440" w:type="dxa"/>
            <w:vAlign w:val="bottom"/>
          </w:tcPr>
          <w:p>
            <w:pPr>
              <w:spacing w:after="0"/>
              <w:rPr>
                <w:sz w:val="11"/>
                <w:szCs w:val="11"/>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1440" w:type="dxa"/>
            <w:vAlign w:val="bottom"/>
          </w:tcPr>
          <w:p>
            <w:pPr>
              <w:spacing w:after="0"/>
              <w:rPr>
                <w:sz w:val="20"/>
                <w:szCs w:val="20"/>
                <w:color w:val="auto"/>
              </w:rPr>
            </w:pPr>
            <w:r>
              <w:rPr>
                <w:rFonts w:ascii="Courier New" w:cs="Courier New" w:eastAsia="Courier New" w:hAnsi="Courier New"/>
                <w:sz w:val="12"/>
                <w:szCs w:val="12"/>
                <w:color w:val="auto"/>
              </w:rPr>
              <w:t>Raw materials</w:t>
            </w: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$ 12,351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$ 11,234</w:t>
            </w:r>
          </w:p>
        </w:tc>
      </w:tr>
      <w:tr>
        <w:trPr>
          <w:trHeight w:val="135"/>
        </w:trPr>
        <w:tc>
          <w:tcPr>
            <w:tcW w:w="1440" w:type="dxa"/>
            <w:vAlign w:val="bottom"/>
          </w:tcPr>
          <w:p>
            <w:pPr>
              <w:spacing w:after="0"/>
              <w:rPr>
                <w:sz w:val="20"/>
                <w:szCs w:val="20"/>
                <w:color w:val="auto"/>
              </w:rPr>
            </w:pPr>
            <w:r>
              <w:rPr>
                <w:rFonts w:ascii="Courier New" w:cs="Courier New" w:eastAsia="Courier New" w:hAnsi="Courier New"/>
                <w:sz w:val="12"/>
                <w:szCs w:val="12"/>
                <w:color w:val="auto"/>
              </w:rPr>
              <w:t>Work in process</w:t>
            </w: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14,964</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22,884</w:t>
            </w:r>
          </w:p>
        </w:tc>
      </w:tr>
      <w:tr>
        <w:trPr>
          <w:trHeight w:val="135"/>
        </w:trPr>
        <w:tc>
          <w:tcPr>
            <w:tcW w:w="1440" w:type="dxa"/>
            <w:vAlign w:val="bottom"/>
          </w:tcPr>
          <w:p>
            <w:pPr>
              <w:spacing w:after="0"/>
              <w:rPr>
                <w:sz w:val="20"/>
                <w:szCs w:val="20"/>
                <w:color w:val="auto"/>
              </w:rPr>
            </w:pPr>
            <w:r>
              <w:rPr>
                <w:rFonts w:ascii="Courier New" w:cs="Courier New" w:eastAsia="Courier New" w:hAnsi="Courier New"/>
                <w:sz w:val="12"/>
                <w:szCs w:val="12"/>
                <w:color w:val="auto"/>
              </w:rPr>
              <w:t>Finished goods</w:t>
            </w: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491</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645</w:t>
            </w:r>
          </w:p>
        </w:tc>
      </w:tr>
      <w:tr>
        <w:trPr>
          <w:trHeight w:val="135"/>
        </w:trPr>
        <w:tc>
          <w:tcPr>
            <w:tcW w:w="1440" w:type="dxa"/>
            <w:vAlign w:val="bottom"/>
          </w:tcPr>
          <w:p>
            <w:pPr>
              <w:spacing w:after="0"/>
              <w:rPr>
                <w:sz w:val="11"/>
                <w:szCs w:val="11"/>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440" w:type="dxa"/>
            <w:vAlign w:val="bottom"/>
          </w:tcPr>
          <w:p>
            <w:pPr>
              <w:spacing w:after="0"/>
              <w:rPr>
                <w:sz w:val="11"/>
                <w:szCs w:val="11"/>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$ 27,806</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$ 34,763</w:t>
            </w:r>
          </w:p>
        </w:tc>
      </w:tr>
      <w:tr>
        <w:trPr>
          <w:trHeight w:val="135"/>
        </w:trPr>
        <w:tc>
          <w:tcPr>
            <w:tcW w:w="1440" w:type="dxa"/>
            <w:vAlign w:val="bottom"/>
          </w:tcPr>
          <w:p>
            <w:pPr>
              <w:spacing w:after="0"/>
              <w:rPr>
                <w:sz w:val="11"/>
                <w:szCs w:val="11"/>
                <w:color w:val="auto"/>
              </w:rPr>
            </w:pPr>
          </w:p>
        </w:tc>
        <w:tc>
          <w:tcPr>
            <w:tcW w:w="11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340" w:right="4979" w:firstLine="3"/>
        <w:spacing w:after="0" w:line="235" w:lineRule="auto"/>
        <w:tabs>
          <w:tab w:leader="none" w:pos="621"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of aggregate write-downs to net realizable value of $6,497 and $5,948 as of December 31, 2007 and 2006, respectively.</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5 - LONG-TERM INVESTMENTS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Long-term investments consist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w w:val="95"/>
              </w:rPr>
              <w:t>As of December 31,</w:t>
            </w:r>
          </w:p>
        </w:tc>
      </w:tr>
      <w:tr>
        <w:trPr>
          <w:trHeight w:val="135"/>
        </w:trPr>
        <w:tc>
          <w:tcPr>
            <w:tcW w:w="3320" w:type="dxa"/>
            <w:vAlign w:val="bottom"/>
          </w:tcPr>
          <w:p>
            <w:pPr>
              <w:spacing w:after="0"/>
              <w:rPr>
                <w:sz w:val="11"/>
                <w:szCs w:val="11"/>
                <w:color w:val="auto"/>
              </w:rPr>
            </w:pPr>
          </w:p>
        </w:tc>
        <w:tc>
          <w:tcPr>
            <w:tcW w:w="180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jc w:val="right"/>
              <w:ind w:right="281"/>
              <w:spacing w:after="0"/>
              <w:rPr>
                <w:sz w:val="20"/>
                <w:szCs w:val="20"/>
                <w:color w:val="auto"/>
              </w:rPr>
            </w:pPr>
            <w:r>
              <w:rPr>
                <w:rFonts w:ascii="Courier New" w:cs="Courier New" w:eastAsia="Courier New" w:hAnsi="Courier New"/>
                <w:sz w:val="12"/>
                <w:szCs w:val="12"/>
                <w:color w:val="auto"/>
                <w:w w:val="90"/>
              </w:rPr>
              <w:t>2007</w:t>
            </w:r>
          </w:p>
        </w:tc>
        <w:tc>
          <w:tcPr>
            <w:tcW w:w="7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3320" w:type="dxa"/>
            <w:vAlign w:val="bottom"/>
          </w:tcPr>
          <w:p>
            <w:pPr>
              <w:spacing w:after="0"/>
              <w:rPr>
                <w:sz w:val="11"/>
                <w:szCs w:val="11"/>
                <w:color w:val="auto"/>
              </w:rPr>
            </w:pPr>
          </w:p>
        </w:tc>
        <w:tc>
          <w:tcPr>
            <w:tcW w:w="10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320" w:type="dxa"/>
            <w:vAlign w:val="bottom"/>
          </w:tcPr>
          <w:p>
            <w:pPr>
              <w:spacing w:after="0"/>
              <w:rPr>
                <w:sz w:val="20"/>
                <w:szCs w:val="20"/>
                <w:color w:val="auto"/>
              </w:rPr>
            </w:pPr>
            <w:r>
              <w:rPr>
                <w:rFonts w:ascii="Courier New" w:cs="Courier New" w:eastAsia="Courier New" w:hAnsi="Courier New"/>
                <w:sz w:val="12"/>
                <w:szCs w:val="12"/>
                <w:color w:val="auto"/>
              </w:rPr>
              <w:t>Severance pay funds, see Note 12B</w:t>
            </w: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2"/>
              </w:rPr>
              <w:t>13,848</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$ 13,535</w:t>
            </w:r>
          </w:p>
        </w:tc>
      </w:tr>
      <w:tr>
        <w:trPr>
          <w:trHeight w:val="135"/>
        </w:trPr>
        <w:tc>
          <w:tcPr>
            <w:tcW w:w="3320" w:type="dxa"/>
            <w:vAlign w:val="bottom"/>
          </w:tcPr>
          <w:p>
            <w:pPr>
              <w:spacing w:after="0"/>
              <w:rPr>
                <w:sz w:val="20"/>
                <w:szCs w:val="20"/>
                <w:color w:val="auto"/>
              </w:rPr>
            </w:pPr>
            <w:r>
              <w:rPr>
                <w:rFonts w:ascii="Courier New" w:cs="Courier New" w:eastAsia="Courier New" w:hAnsi="Courier New"/>
                <w:sz w:val="12"/>
                <w:szCs w:val="12"/>
                <w:color w:val="auto"/>
              </w:rPr>
              <w:t>Investment in Limited partnership, see below</w:t>
            </w:r>
          </w:p>
        </w:tc>
        <w:tc>
          <w:tcPr>
            <w:tcW w:w="400" w:type="dxa"/>
            <w:vAlign w:val="bottom"/>
          </w:tcPr>
          <w:p>
            <w:pPr>
              <w:spacing w:after="0"/>
              <w:rPr>
                <w:sz w:val="11"/>
                <w:szCs w:val="11"/>
                <w:color w:val="auto"/>
              </w:rPr>
            </w:pP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950</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20" w:type="dxa"/>
            <w:vAlign w:val="bottom"/>
          </w:tcPr>
          <w:p>
            <w:pPr>
              <w:spacing w:after="0"/>
              <w:rPr>
                <w:sz w:val="20"/>
                <w:szCs w:val="20"/>
                <w:color w:val="auto"/>
              </w:rPr>
            </w:pPr>
            <w:r>
              <w:rPr>
                <w:rFonts w:ascii="Courier New" w:cs="Courier New" w:eastAsia="Courier New" w:hAnsi="Courier New"/>
                <w:sz w:val="12"/>
                <w:szCs w:val="12"/>
                <w:color w:val="auto"/>
              </w:rPr>
              <w:t>Others</w:t>
            </w:r>
          </w:p>
        </w:tc>
        <w:tc>
          <w:tcPr>
            <w:tcW w:w="400" w:type="dxa"/>
            <w:vAlign w:val="bottom"/>
          </w:tcPr>
          <w:p>
            <w:pPr>
              <w:spacing w:after="0"/>
              <w:rPr>
                <w:sz w:val="11"/>
                <w:szCs w:val="11"/>
                <w:color w:val="auto"/>
              </w:rPr>
            </w:pP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295</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1,790</w:t>
            </w:r>
          </w:p>
        </w:tc>
      </w:tr>
      <w:tr>
        <w:trPr>
          <w:trHeight w:val="135"/>
        </w:trPr>
        <w:tc>
          <w:tcPr>
            <w:tcW w:w="3320" w:type="dxa"/>
            <w:vAlign w:val="bottom"/>
          </w:tcPr>
          <w:p>
            <w:pPr>
              <w:spacing w:after="0"/>
              <w:rPr>
                <w:sz w:val="11"/>
                <w:szCs w:val="11"/>
                <w:color w:val="auto"/>
              </w:rPr>
            </w:pPr>
          </w:p>
        </w:tc>
        <w:tc>
          <w:tcPr>
            <w:tcW w:w="10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320" w:type="dxa"/>
            <w:vAlign w:val="bottom"/>
          </w:tcPr>
          <w:p>
            <w:pPr>
              <w:spacing w:after="0"/>
              <w:rPr>
                <w:sz w:val="11"/>
                <w:szCs w:val="11"/>
                <w:color w:val="auto"/>
              </w:rPr>
            </w:pP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2"/>
              </w:rPr>
              <w:t>15,093</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$ 15,325</w:t>
            </w:r>
          </w:p>
        </w:tc>
      </w:tr>
      <w:tr>
        <w:trPr>
          <w:trHeight w:val="135"/>
        </w:trPr>
        <w:tc>
          <w:tcPr>
            <w:tcW w:w="3320" w:type="dxa"/>
            <w:vAlign w:val="bottom"/>
          </w:tcPr>
          <w:p>
            <w:pPr>
              <w:spacing w:after="0"/>
              <w:rPr>
                <w:sz w:val="11"/>
                <w:szCs w:val="11"/>
                <w:color w:val="auto"/>
              </w:rPr>
            </w:pPr>
          </w:p>
        </w:tc>
        <w:tc>
          <w:tcPr>
            <w:tcW w:w="10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INVESTMENT IN LIMITED PARTNERSHIP:</w:t>
      </w:r>
    </w:p>
    <w:p>
      <w:pPr>
        <w:spacing w:after="0" w:line="139" w:lineRule="exact"/>
        <w:rPr>
          <w:sz w:val="20"/>
          <w:szCs w:val="20"/>
          <w:color w:val="auto"/>
        </w:rPr>
      </w:pPr>
    </w:p>
    <w:p>
      <w:pPr>
        <w:ind w:left="340" w:right="4699"/>
        <w:spacing w:after="0" w:line="237" w:lineRule="auto"/>
        <w:rPr>
          <w:sz w:val="20"/>
          <w:szCs w:val="20"/>
          <w:color w:val="auto"/>
        </w:rPr>
      </w:pPr>
      <w:r>
        <w:rPr>
          <w:rFonts w:ascii="Courier New" w:cs="Courier New" w:eastAsia="Courier New" w:hAnsi="Courier New"/>
          <w:sz w:val="12"/>
          <w:szCs w:val="12"/>
          <w:color w:val="auto"/>
        </w:rPr>
        <w:t>In December 2007, the Company together with CMT Medical Technologies Ltd., a leading provider of advanced digital X-ray imaging systems for medical diagnosis, establishment a limited partnership to develop and market X-ray detectors for medical applications. The Company owns 38% of the limited partnership and accounts for the investment in the limited partnership using the equity method.</w:t>
      </w:r>
    </w:p>
    <w:p>
      <w:pPr>
        <w:spacing w:after="0" w:line="136"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6 - PROPERTY AND EQUIPMENT, NET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0" w:type="dxa"/>
            <w:vAlign w:val="bottom"/>
          </w:tcPr>
          <w:p>
            <w:pPr>
              <w:ind w:left="340"/>
              <w:spacing w:after="0"/>
              <w:rPr>
                <w:sz w:val="20"/>
                <w:szCs w:val="20"/>
                <w:color w:val="auto"/>
              </w:rPr>
            </w:pPr>
            <w:r>
              <w:rPr>
                <w:rFonts w:ascii="Courier New" w:cs="Courier New" w:eastAsia="Courier New" w:hAnsi="Courier New"/>
                <w:sz w:val="12"/>
                <w:szCs w:val="12"/>
                <w:color w:val="auto"/>
              </w:rPr>
              <w:t>A.</w:t>
            </w:r>
          </w:p>
        </w:tc>
        <w:tc>
          <w:tcPr>
            <w:tcW w:w="2780" w:type="dxa"/>
            <w:vAlign w:val="bottom"/>
          </w:tcPr>
          <w:p>
            <w:pPr>
              <w:ind w:left="120"/>
              <w:spacing w:after="0"/>
              <w:rPr>
                <w:sz w:val="20"/>
                <w:szCs w:val="20"/>
                <w:color w:val="auto"/>
              </w:rPr>
            </w:pPr>
            <w:r>
              <w:rPr>
                <w:rFonts w:ascii="Courier New" w:cs="Courier New" w:eastAsia="Courier New" w:hAnsi="Courier New"/>
                <w:sz w:val="12"/>
                <w:szCs w:val="12"/>
                <w:color w:val="auto"/>
              </w:rPr>
              <w:t>Composition:</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70"/>
        </w:trPr>
        <w:tc>
          <w:tcPr>
            <w:tcW w:w="58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60" w:type="dxa"/>
            <w:vAlign w:val="bottom"/>
            <w:gridSpan w:val="3"/>
          </w:tcPr>
          <w:p>
            <w:pPr>
              <w:jc w:val="right"/>
              <w:ind w:right="22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04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2007</w:t>
            </w:r>
          </w:p>
        </w:tc>
        <w:tc>
          <w:tcPr>
            <w:tcW w:w="280" w:type="dxa"/>
            <w:vAlign w:val="bottom"/>
          </w:tcPr>
          <w:p>
            <w:pPr>
              <w:spacing w:after="0"/>
              <w:rPr>
                <w:sz w:val="11"/>
                <w:szCs w:val="11"/>
                <w:color w:val="auto"/>
              </w:rPr>
            </w:pPr>
          </w:p>
        </w:tc>
        <w:tc>
          <w:tcPr>
            <w:tcW w:w="6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1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COST:</w:t>
            </w:r>
          </w:p>
        </w:tc>
        <w:tc>
          <w:tcPr>
            <w:tcW w:w="2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rPr>
              <w:t>Buildings (including facility infrastructure)</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235,960</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233,781</w:t>
            </w:r>
          </w:p>
        </w:tc>
      </w:tr>
      <w:tr>
        <w:trPr>
          <w:trHeight w:val="13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rPr>
              <w:t>Machinery and equipment</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985,608</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895,725</w:t>
            </w:r>
          </w:p>
        </w:tc>
      </w:tr>
      <w:tr>
        <w:trPr>
          <w:trHeight w:val="13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rPr>
              <w:t>Transportation vehicles</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304</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307</w:t>
            </w:r>
          </w:p>
        </w:tc>
      </w:tr>
      <w:tr>
        <w:trPr>
          <w:trHeight w:val="135"/>
        </w:trPr>
        <w:tc>
          <w:tcPr>
            <w:tcW w:w="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1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5"/>
              </w:rPr>
              <w:t>1,221,872</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w w:val="95"/>
              </w:rPr>
              <w:t>1,129,813</w:t>
            </w:r>
          </w:p>
        </w:tc>
      </w:tr>
      <w:tr>
        <w:trPr>
          <w:trHeight w:val="135"/>
        </w:trPr>
        <w:tc>
          <w:tcPr>
            <w:tcW w:w="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1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rPr>
              <w:t>ACCUMULATED DEPRECIATION AND AMORTIZATION</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13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rPr>
              <w:t>Buildings (including facility infrastructure)</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75,227</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61,200</w:t>
            </w:r>
          </w:p>
        </w:tc>
      </w:tr>
      <w:tr>
        <w:trPr>
          <w:trHeight w:val="13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rPr>
              <w:t>Machinery and equipment</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644,111</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535,548</w:t>
            </w:r>
          </w:p>
        </w:tc>
      </w:tr>
      <w:tr>
        <w:trPr>
          <w:trHeight w:val="135"/>
        </w:trPr>
        <w:tc>
          <w:tcPr>
            <w:tcW w:w="3360" w:type="dxa"/>
            <w:vAlign w:val="bottom"/>
            <w:gridSpan w:val="2"/>
          </w:tcPr>
          <w:p>
            <w:pPr>
              <w:spacing w:after="0"/>
              <w:rPr>
                <w:sz w:val="20"/>
                <w:szCs w:val="20"/>
                <w:color w:val="auto"/>
              </w:rPr>
            </w:pPr>
            <w:r>
              <w:rPr>
                <w:rFonts w:ascii="Courier New" w:cs="Courier New" w:eastAsia="Courier New" w:hAnsi="Courier New"/>
                <w:sz w:val="12"/>
                <w:szCs w:val="12"/>
                <w:color w:val="auto"/>
              </w:rPr>
              <w:t>Transportation vehicles</w:t>
            </w: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247</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267</w:t>
            </w:r>
          </w:p>
        </w:tc>
      </w:tr>
      <w:tr>
        <w:trPr>
          <w:trHeight w:val="135"/>
        </w:trPr>
        <w:tc>
          <w:tcPr>
            <w:tcW w:w="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1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719,585</w:t>
            </w:r>
          </w:p>
        </w:tc>
        <w:tc>
          <w:tcPr>
            <w:tcW w:w="2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597,015</w:t>
            </w:r>
          </w:p>
        </w:tc>
      </w:tr>
      <w:tr>
        <w:trPr>
          <w:trHeight w:val="135"/>
        </w:trPr>
        <w:tc>
          <w:tcPr>
            <w:tcW w:w="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1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502,287</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2"/>
                <w:szCs w:val="12"/>
                <w:color w:val="auto"/>
              </w:rPr>
              <w:t>532,798</w:t>
            </w:r>
          </w:p>
        </w:tc>
      </w:tr>
      <w:tr>
        <w:trPr>
          <w:trHeight w:val="135"/>
        </w:trPr>
        <w:tc>
          <w:tcPr>
            <w:tcW w:w="5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11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Supplemental disclosure relating to cost of property and equipment:</w:t>
      </w:r>
    </w:p>
    <w:p>
      <w:pPr>
        <w:spacing w:after="0" w:line="139" w:lineRule="exact"/>
        <w:rPr>
          <w:sz w:val="20"/>
          <w:szCs w:val="20"/>
          <w:color w:val="auto"/>
        </w:rPr>
      </w:pPr>
    </w:p>
    <w:p>
      <w:pPr>
        <w:ind w:left="1040" w:right="4979" w:hanging="345"/>
        <w:spacing w:after="0" w:line="264" w:lineRule="auto"/>
        <w:tabs>
          <w:tab w:leader="none" w:pos="1040" w:val="left"/>
        </w:tabs>
        <w:numPr>
          <w:ilvl w:val="0"/>
          <w:numId w:val="43"/>
        </w:numPr>
        <w:rPr>
          <w:rFonts w:ascii="Courier New" w:cs="Courier New" w:eastAsia="Courier New" w:hAnsi="Courier New"/>
          <w:sz w:val="11"/>
          <w:szCs w:val="11"/>
          <w:color w:val="auto"/>
        </w:rPr>
      </w:pPr>
      <w:r>
        <w:rPr>
          <w:rFonts w:ascii="Courier New" w:cs="Courier New" w:eastAsia="Courier New" w:hAnsi="Courier New"/>
          <w:sz w:val="11"/>
          <w:szCs w:val="11"/>
          <w:color w:val="auto"/>
        </w:rPr>
        <w:t>As of December 31, 2007 and 2006, the cost of property and equipment included costs relating to Fab 2 in the amount of $966,164 and $879,413, respectively. Said amounts are net of investment grants of $164,675 and $164,587, respectively.</w:t>
      </w:r>
    </w:p>
    <w:p>
      <w:pPr>
        <w:spacing w:after="0" w:line="127" w:lineRule="exact"/>
        <w:rPr>
          <w:rFonts w:ascii="Courier New" w:cs="Courier New" w:eastAsia="Courier New" w:hAnsi="Courier New"/>
          <w:sz w:val="11"/>
          <w:szCs w:val="11"/>
          <w:color w:val="auto"/>
        </w:rPr>
      </w:pPr>
    </w:p>
    <w:p>
      <w:pPr>
        <w:ind w:left="1040" w:right="4619" w:hanging="345"/>
        <w:spacing w:after="0" w:line="236" w:lineRule="auto"/>
        <w:tabs>
          <w:tab w:leader="none" w:pos="1040"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2007, the cost of buildings, machinery and equipment was reflected net of investment grants in the aggregate of $267,922 (as of December 31, 2006 - $267,866).</w:t>
      </w:r>
    </w:p>
    <w:p>
      <w:pPr>
        <w:spacing w:after="0" w:line="139" w:lineRule="exact"/>
        <w:rPr>
          <w:rFonts w:ascii="Courier New" w:cs="Courier New" w:eastAsia="Courier New" w:hAnsi="Courier New"/>
          <w:sz w:val="12"/>
          <w:szCs w:val="12"/>
          <w:color w:val="auto"/>
        </w:rPr>
      </w:pPr>
    </w:p>
    <w:p>
      <w:pPr>
        <w:ind w:left="1040" w:right="4699" w:hanging="345"/>
        <w:spacing w:after="0" w:line="236" w:lineRule="auto"/>
        <w:tabs>
          <w:tab w:leader="none" w:pos="1040"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Cost of property and equipment as of December 31, 2007 and 2006 includes capitalized financing costs in the aggregate of $19,625 and $11,839, respectively.</w:t>
      </w:r>
    </w:p>
    <w:p>
      <w:pPr>
        <w:spacing w:after="0" w:line="139" w:lineRule="exact"/>
        <w:rPr>
          <w:rFonts w:ascii="Courier New" w:cs="Courier New" w:eastAsia="Courier New" w:hAnsi="Courier New"/>
          <w:sz w:val="12"/>
          <w:szCs w:val="12"/>
          <w:color w:val="auto"/>
        </w:rPr>
      </w:pPr>
    </w:p>
    <w:p>
      <w:pPr>
        <w:ind w:left="1040" w:right="4699" w:hanging="345"/>
        <w:spacing w:after="0" w:line="236" w:lineRule="auto"/>
        <w:tabs>
          <w:tab w:leader="none" w:pos="1040"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Depreciation expenses, in relation to Fab 2 property and equipment were $113,393, $123,422 and $114,141 in 2007, 2006 and 2005 respectively.</w:t>
      </w:r>
    </w:p>
    <w:p>
      <w:pPr>
        <w:spacing w:after="0" w:line="139" w:lineRule="exact"/>
        <w:rPr>
          <w:rFonts w:ascii="Courier New" w:cs="Courier New" w:eastAsia="Courier New" w:hAnsi="Courier New"/>
          <w:sz w:val="12"/>
          <w:szCs w:val="12"/>
          <w:color w:val="auto"/>
        </w:rPr>
      </w:pPr>
    </w:p>
    <w:p>
      <w:pPr>
        <w:ind w:left="1040" w:right="4699" w:hanging="345"/>
        <w:spacing w:after="0" w:line="236" w:lineRule="auto"/>
        <w:tabs>
          <w:tab w:leader="none" w:pos="1040"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Had depreciation been calculated using five years of useful life depreciation method (see Note 2F(1)), depreciation expenses for 2007 would have been $167,356 as compared to $122,647 recognized in this financial statements.</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ectPr>
          <w:pgSz w:w="11900" w:h="16902" w:orient="portrait"/>
          <w:cols w:equalWidth="0" w:num="1">
            <w:col w:w="10239"/>
          </w:cols>
          <w:pgMar w:left="220" w:top="137" w:right="1440" w:bottom="0" w:gutter="0" w:footer="0" w:header="0"/>
          <w:type w:val="continuous"/>
        </w:sectPr>
      </w:pPr>
    </w:p>
    <w:bookmarkStart w:id="56" w:name="page57"/>
    <w:bookmarkEnd w:id="56"/>
    <w:p>
      <w:pPr>
        <w:spacing w:after="0"/>
        <w:rPr>
          <w:sz w:val="20"/>
          <w:szCs w:val="20"/>
          <w:color w:val="auto"/>
        </w:rPr>
      </w:pPr>
      <w:r>
        <w:rPr>
          <w:rFonts w:ascii="Courier New" w:cs="Courier New" w:eastAsia="Courier New" w:hAnsi="Courier New"/>
          <w:sz w:val="12"/>
          <w:szCs w:val="12"/>
          <w:color w:val="auto"/>
        </w:rPr>
        <w:t>NOTE 6 - PROPERTY AND EQUIPMENT, NET (CONT.)</w:t>
      </w:r>
    </w:p>
    <w:p>
      <w:pPr>
        <w:spacing w:after="0" w:line="134" w:lineRule="exact"/>
        <w:rPr>
          <w:sz w:val="20"/>
          <w:szCs w:val="20"/>
          <w:color w:val="auto"/>
        </w:rPr>
      </w:pPr>
    </w:p>
    <w:p>
      <w:pPr>
        <w:ind w:left="700" w:hanging="357"/>
        <w:spacing w:after="0"/>
        <w:tabs>
          <w:tab w:leader="none" w:pos="70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INVESTMENT GRANTS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1996, an investment program ("1996 program") for expansion of Fab 1 in the aggregate amount (as amended in December 1999 and 2001) of $228,680, entitling the Company to investment grants, was approved by the Investment Center. The Company completed its investments under the 1996 program in December 2001 and invested through such date approximately $207,000. In May 2002, the Company submitted the final report in relation to the 1996 program. As of December 31, 2007, the report has not yet received final approval from the Investment Center.</w:t>
      </w:r>
    </w:p>
    <w:p>
      <w:pPr>
        <w:spacing w:after="0" w:line="142" w:lineRule="exact"/>
        <w:rPr>
          <w:rFonts w:ascii="Courier New" w:cs="Courier New" w:eastAsia="Courier New" w:hAnsi="Courier New"/>
          <w:sz w:val="12"/>
          <w:szCs w:val="12"/>
          <w:color w:val="auto"/>
        </w:rPr>
      </w:pPr>
    </w:p>
    <w:p>
      <w:pPr>
        <w:ind w:left="700" w:right="497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See Note 13A(7) with respect to the Fab 2 program approved by the Investment Center in December 2000.</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Entitlement to the above grants and other tax benefits is subject to various conditions stipulated by the Israeli Law for the Encouragement of Capital Investments - 1959 ("Investments Law") and the regulations promulgated thereunder, as well as the criteria set forth in the certificates of approval.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of the Company's assets, see also Note 17A.</w:t>
      </w:r>
    </w:p>
    <w:p>
      <w:pPr>
        <w:spacing w:after="0" w:line="140"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liens, see Note 13A(7) Notes 13D(1) and (2) and 9D.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3580" w:type="dxa"/>
            <w:vAlign w:val="bottom"/>
          </w:tcPr>
          <w:p>
            <w:pPr>
              <w:spacing w:after="0"/>
              <w:rPr>
                <w:sz w:val="20"/>
                <w:szCs w:val="20"/>
                <w:color w:val="auto"/>
              </w:rPr>
            </w:pPr>
            <w:r>
              <w:rPr>
                <w:rFonts w:ascii="Courier New" w:cs="Courier New" w:eastAsia="Courier New" w:hAnsi="Courier New"/>
                <w:sz w:val="12"/>
                <w:szCs w:val="12"/>
                <w:color w:val="auto"/>
              </w:rPr>
              <w:t>NOTE 7 - OTHER ASSETS, NET</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270"/>
        </w:trPr>
        <w:tc>
          <w:tcPr>
            <w:tcW w:w="3580" w:type="dxa"/>
            <w:vAlign w:val="bottom"/>
          </w:tcPr>
          <w:p>
            <w:pPr>
              <w:ind w:left="340"/>
              <w:spacing w:after="0"/>
              <w:rPr>
                <w:sz w:val="20"/>
                <w:szCs w:val="20"/>
                <w:color w:val="auto"/>
              </w:rPr>
            </w:pPr>
            <w:r>
              <w:rPr>
                <w:rFonts w:ascii="Courier New" w:cs="Courier New" w:eastAsia="Courier New" w:hAnsi="Courier New"/>
                <w:sz w:val="12"/>
                <w:szCs w:val="12"/>
                <w:color w:val="auto"/>
              </w:rPr>
              <w:t>Other assets, net consist of the following:</w:t>
            </w:r>
          </w:p>
        </w:tc>
        <w:tc>
          <w:tcPr>
            <w:tcW w:w="9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0"/>
        </w:trPr>
        <w:tc>
          <w:tcPr>
            <w:tcW w:w="3580" w:type="dxa"/>
            <w:vAlign w:val="bottom"/>
          </w:tcPr>
          <w:p>
            <w:pPr>
              <w:spacing w:after="0"/>
              <w:rPr>
                <w:sz w:val="23"/>
                <w:szCs w:val="23"/>
                <w:color w:val="auto"/>
              </w:rPr>
            </w:pPr>
          </w:p>
        </w:tc>
        <w:tc>
          <w:tcPr>
            <w:tcW w:w="162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3580" w:type="dxa"/>
            <w:vAlign w:val="bottom"/>
          </w:tcPr>
          <w:p>
            <w:pPr>
              <w:spacing w:after="0"/>
              <w:rPr>
                <w:sz w:val="11"/>
                <w:szCs w:val="11"/>
                <w:color w:val="auto"/>
              </w:rPr>
            </w:pPr>
          </w:p>
        </w:tc>
        <w:tc>
          <w:tcPr>
            <w:tcW w:w="16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11"/>
                <w:szCs w:val="11"/>
                <w:color w:val="auto"/>
              </w:rPr>
            </w:pPr>
          </w:p>
        </w:tc>
        <w:tc>
          <w:tcPr>
            <w:tcW w:w="90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2007</w:t>
            </w:r>
          </w:p>
        </w:tc>
        <w:tc>
          <w:tcPr>
            <w:tcW w:w="7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3580" w:type="dxa"/>
            <w:vAlign w:val="bottom"/>
          </w:tcPr>
          <w:p>
            <w:pPr>
              <w:spacing w:after="0"/>
              <w:rPr>
                <w:sz w:val="11"/>
                <w:szCs w:val="11"/>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580" w:type="dxa"/>
            <w:vAlign w:val="bottom"/>
          </w:tcPr>
          <w:p>
            <w:pPr>
              <w:spacing w:after="0"/>
              <w:rPr>
                <w:sz w:val="20"/>
                <w:szCs w:val="20"/>
                <w:color w:val="auto"/>
              </w:rPr>
            </w:pPr>
            <w:r>
              <w:rPr>
                <w:rFonts w:ascii="Courier New" w:cs="Courier New" w:eastAsia="Courier New" w:hAnsi="Courier New"/>
                <w:sz w:val="12"/>
                <w:szCs w:val="12"/>
                <w:color w:val="auto"/>
              </w:rPr>
              <w:t>Prepaid expenses - long-term</w:t>
            </w: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$ 1,270</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$ 1,346</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Deferred Financing Charges, net</w:t>
            </w: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1,734</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Debentures issuance expenses, net (see Note 14)</w:t>
            </w: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3,418</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834</w:t>
            </w:r>
          </w:p>
        </w:tc>
      </w:tr>
      <w:tr>
        <w:trPr>
          <w:trHeight w:val="135"/>
        </w:trPr>
        <w:tc>
          <w:tcPr>
            <w:tcW w:w="3580" w:type="dxa"/>
            <w:vAlign w:val="bottom"/>
          </w:tcPr>
          <w:p>
            <w:pPr>
              <w:spacing w:after="0"/>
              <w:rPr>
                <w:sz w:val="20"/>
                <w:szCs w:val="20"/>
                <w:color w:val="auto"/>
              </w:rPr>
            </w:pPr>
            <w:r>
              <w:rPr>
                <w:rFonts w:ascii="Courier New" w:cs="Courier New" w:eastAsia="Courier New" w:hAnsi="Courier New"/>
                <w:sz w:val="12"/>
                <w:szCs w:val="12"/>
                <w:color w:val="auto"/>
              </w:rPr>
              <w:t>Prepaid long-term Land Lease, net (see Note 13C)</w:t>
            </w: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4,622</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4,749</w:t>
            </w:r>
          </w:p>
        </w:tc>
      </w:tr>
      <w:tr>
        <w:trPr>
          <w:trHeight w:val="135"/>
        </w:trPr>
        <w:tc>
          <w:tcPr>
            <w:tcW w:w="3580" w:type="dxa"/>
            <w:vAlign w:val="bottom"/>
          </w:tcPr>
          <w:p>
            <w:pPr>
              <w:spacing w:after="0"/>
              <w:rPr>
                <w:sz w:val="11"/>
                <w:szCs w:val="11"/>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80" w:type="dxa"/>
            <w:vAlign w:val="bottom"/>
          </w:tcPr>
          <w:p>
            <w:pPr>
              <w:spacing w:after="0"/>
              <w:rPr>
                <w:sz w:val="11"/>
                <w:szCs w:val="11"/>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$11,044</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$ 6,929</w:t>
            </w:r>
          </w:p>
        </w:tc>
      </w:tr>
      <w:tr>
        <w:trPr>
          <w:trHeight w:val="135"/>
        </w:trPr>
        <w:tc>
          <w:tcPr>
            <w:tcW w:w="3580" w:type="dxa"/>
            <w:vAlign w:val="bottom"/>
          </w:tcPr>
          <w:p>
            <w:pPr>
              <w:spacing w:after="0"/>
              <w:rPr>
                <w:sz w:val="11"/>
                <w:szCs w:val="11"/>
                <w:color w:val="auto"/>
              </w:rPr>
            </w:pPr>
          </w:p>
        </w:tc>
        <w:tc>
          <w:tcPr>
            <w:tcW w:w="9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405"/>
        </w:trPr>
        <w:tc>
          <w:tcPr>
            <w:tcW w:w="3580" w:type="dxa"/>
            <w:vAlign w:val="bottom"/>
          </w:tcPr>
          <w:p>
            <w:pPr>
              <w:ind w:left="2600"/>
              <w:spacing w:after="0"/>
              <w:rPr>
                <w:sz w:val="20"/>
                <w:szCs w:val="20"/>
                <w:color w:val="auto"/>
              </w:rPr>
            </w:pPr>
            <w:r>
              <w:rPr>
                <w:rFonts w:ascii="Courier New" w:cs="Courier New" w:eastAsia="Courier New" w:hAnsi="Courier New"/>
                <w:sz w:val="12"/>
                <w:szCs w:val="12"/>
                <w:color w:val="auto"/>
              </w:rPr>
              <w:t>F - 17</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8 - OTHER CURRENT LIABILITIES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Other current liabilities consist of the following:</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4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461"/>
              <w:spacing w:after="0"/>
              <w:rPr>
                <w:sz w:val="20"/>
                <w:szCs w:val="20"/>
                <w:color w:val="auto"/>
              </w:rPr>
            </w:pPr>
            <w:r>
              <w:rPr>
                <w:rFonts w:ascii="Courier New" w:cs="Courier New" w:eastAsia="Courier New" w:hAnsi="Courier New"/>
                <w:sz w:val="12"/>
                <w:szCs w:val="12"/>
                <w:color w:val="auto"/>
              </w:rPr>
              <w:t>2007</w:t>
            </w:r>
          </w:p>
        </w:tc>
        <w:tc>
          <w:tcPr>
            <w:tcW w:w="6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Accrued salaries</w:t>
            </w:r>
          </w:p>
        </w:tc>
        <w:tc>
          <w:tcPr>
            <w:tcW w:w="1160" w:type="dxa"/>
            <w:vAlign w:val="bottom"/>
          </w:tcPr>
          <w:p>
            <w:pPr>
              <w:spacing w:after="0"/>
              <w:rPr>
                <w:sz w:val="23"/>
                <w:szCs w:val="23"/>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  6,138</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  8,730</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Vacation accrual</w:t>
            </w: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3,574</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3,385</w:t>
            </w:r>
          </w:p>
        </w:tc>
      </w:tr>
      <w:tr>
        <w:trPr>
          <w:trHeight w:val="135"/>
        </w:trPr>
        <w:tc>
          <w:tcPr>
            <w:tcW w:w="4660" w:type="dxa"/>
            <w:vAlign w:val="bottom"/>
            <w:gridSpan w:val="3"/>
          </w:tcPr>
          <w:p>
            <w:pPr>
              <w:spacing w:after="0"/>
              <w:rPr>
                <w:sz w:val="20"/>
                <w:szCs w:val="20"/>
                <w:color w:val="auto"/>
              </w:rPr>
            </w:pPr>
            <w:r>
              <w:rPr>
                <w:rFonts w:ascii="Courier New" w:cs="Courier New" w:eastAsia="Courier New" w:hAnsi="Courier New"/>
                <w:sz w:val="12"/>
                <w:szCs w:val="12"/>
                <w:color w:val="auto"/>
                <w:w w:val="97"/>
              </w:rPr>
              <w:t>Interest payable (primarily in relation to convertible debentures)</w:t>
            </w: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742</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1,089</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Due to related parties</w:t>
            </w: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7,459</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5,895</w:t>
            </w:r>
          </w:p>
        </w:tc>
      </w:tr>
      <w:tr>
        <w:trPr>
          <w:trHeight w:val="135"/>
        </w:trPr>
        <w:tc>
          <w:tcPr>
            <w:tcW w:w="62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2,111</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2,997</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$ 20,024</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$ 22,096</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NOTE 9 - LONG-TERM DEBT FROM BANKS</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620" w:type="dxa"/>
            <w:vAlign w:val="bottom"/>
          </w:tcPr>
          <w:p>
            <w:pPr>
              <w:ind w:left="340"/>
              <w:spacing w:after="0"/>
              <w:rPr>
                <w:sz w:val="20"/>
                <w:szCs w:val="20"/>
                <w:color w:val="auto"/>
              </w:rPr>
            </w:pPr>
            <w:r>
              <w:rPr>
                <w:rFonts w:ascii="Courier New" w:cs="Courier New" w:eastAsia="Courier New" w:hAnsi="Courier New"/>
                <w:sz w:val="12"/>
                <w:szCs w:val="12"/>
                <w:color w:val="auto"/>
              </w:rPr>
              <w:t>A.</w:t>
            </w:r>
          </w:p>
        </w:tc>
        <w:tc>
          <w:tcPr>
            <w:tcW w:w="2880" w:type="dxa"/>
            <w:vAlign w:val="bottom"/>
          </w:tcPr>
          <w:p>
            <w:pPr>
              <w:ind w:left="80"/>
              <w:spacing w:after="0"/>
              <w:rPr>
                <w:sz w:val="20"/>
                <w:szCs w:val="20"/>
                <w:color w:val="auto"/>
              </w:rPr>
            </w:pPr>
            <w:r>
              <w:rPr>
                <w:rFonts w:ascii="Courier New" w:cs="Courier New" w:eastAsia="Courier New" w:hAnsi="Courier New"/>
                <w:sz w:val="12"/>
                <w:szCs w:val="12"/>
                <w:color w:val="auto"/>
              </w:rPr>
              <w:t>Composition:</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6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2500" w:type="dxa"/>
            <w:vAlign w:val="bottom"/>
            <w:gridSpan w:val="2"/>
          </w:tcPr>
          <w:p>
            <w:pPr>
              <w:ind w:left="420"/>
              <w:spacing w:after="0"/>
              <w:rPr>
                <w:sz w:val="20"/>
                <w:szCs w:val="20"/>
                <w:color w:val="auto"/>
              </w:rPr>
            </w:pPr>
            <w:r>
              <w:rPr>
                <w:rFonts w:ascii="Courier New" w:cs="Courier New" w:eastAsia="Courier New" w:hAnsi="Courier New"/>
                <w:sz w:val="12"/>
                <w:szCs w:val="12"/>
                <w:color w:val="auto"/>
              </w:rPr>
              <w:t>As of December 31, 2007</w:t>
            </w:r>
          </w:p>
        </w:tc>
        <w:tc>
          <w:tcPr>
            <w:tcW w:w="600" w:type="dxa"/>
            <w:vAlign w:val="bottom"/>
          </w:tcPr>
          <w:p>
            <w:pPr>
              <w:spacing w:after="0"/>
              <w:rPr>
                <w:sz w:val="23"/>
                <w:szCs w:val="23"/>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500" w:type="dxa"/>
            <w:vAlign w:val="bottom"/>
            <w:gridSpan w:val="2"/>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2500" w:type="dxa"/>
            <w:vAlign w:val="bottom"/>
            <w:gridSpan w:val="2"/>
          </w:tcPr>
          <w:p>
            <w:pPr>
              <w:jc w:val="right"/>
              <w:ind w:right="1101"/>
              <w:spacing w:after="0"/>
              <w:rPr>
                <w:sz w:val="20"/>
                <w:szCs w:val="20"/>
                <w:color w:val="auto"/>
              </w:rPr>
            </w:pPr>
            <w:r>
              <w:rPr>
                <w:rFonts w:ascii="Courier New" w:cs="Courier New" w:eastAsia="Courier New" w:hAnsi="Courier New"/>
                <w:sz w:val="12"/>
                <w:szCs w:val="12"/>
                <w:color w:val="auto"/>
              </w:rPr>
              <w:t>Effective interest</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ind w:left="420"/>
              <w:spacing w:after="0"/>
              <w:rPr>
                <w:sz w:val="20"/>
                <w:szCs w:val="20"/>
                <w:color w:val="auto"/>
              </w:rPr>
            </w:pPr>
            <w:r>
              <w:rPr>
                <w:rFonts w:ascii="Courier New" w:cs="Courier New" w:eastAsia="Courier New" w:hAnsi="Courier New"/>
                <w:sz w:val="12"/>
                <w:szCs w:val="12"/>
                <w:color w:val="auto"/>
              </w:rPr>
              <w:t>rate (*)</w:t>
            </w:r>
          </w:p>
        </w:tc>
        <w:tc>
          <w:tcPr>
            <w:tcW w:w="13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r>
      <w:tr>
        <w:trPr>
          <w:trHeight w:val="270"/>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1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5.98%</w:t>
            </w: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$ 288,693</w:t>
            </w:r>
          </w:p>
        </w:tc>
        <w:tc>
          <w:tcPr>
            <w:tcW w:w="600" w:type="dxa"/>
            <w:vAlign w:val="bottom"/>
          </w:tcPr>
          <w:p>
            <w:pPr>
              <w:spacing w:after="0"/>
              <w:rPr>
                <w:sz w:val="23"/>
                <w:szCs w:val="23"/>
                <w:color w:val="auto"/>
              </w:rPr>
            </w:pP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1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5.10%</w:t>
            </w: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80,000</w:t>
            </w:r>
          </w:p>
        </w:tc>
        <w:tc>
          <w:tcPr>
            <w:tcW w:w="600" w:type="dxa"/>
            <w:vAlign w:val="bottom"/>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1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7.88%</w:t>
            </w: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14,000</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w w:val="98"/>
              </w:rPr>
              <w:t>Total long-term debt from Banks- principle amount</w:t>
            </w: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382,693</w:t>
            </w:r>
          </w:p>
        </w:tc>
        <w:tc>
          <w:tcPr>
            <w:tcW w:w="600" w:type="dxa"/>
            <w:vAlign w:val="bottom"/>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Fair value adjustments</w:t>
            </w:r>
          </w:p>
        </w:tc>
        <w:tc>
          <w:tcPr>
            <w:tcW w:w="1160" w:type="dxa"/>
            <w:vAlign w:val="bottom"/>
          </w:tcPr>
          <w:p>
            <w:pPr>
              <w:spacing w:after="0"/>
              <w:rPr>
                <w:sz w:val="11"/>
                <w:szCs w:val="11"/>
                <w:color w:val="auto"/>
              </w:rPr>
            </w:pPr>
          </w:p>
        </w:tc>
        <w:tc>
          <w:tcPr>
            <w:tcW w:w="13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(3,379)</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Total long-term debt from Banks</w:t>
            </w: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$ 379,314</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spacing w:after="0"/>
              <w:rPr>
                <w:sz w:val="11"/>
                <w:szCs w:val="11"/>
                <w:color w:val="auto"/>
              </w:rPr>
            </w:pPr>
          </w:p>
        </w:tc>
      </w:tr>
      <w:tr>
        <w:trPr>
          <w:trHeight w:val="270"/>
        </w:trPr>
        <w:tc>
          <w:tcPr>
            <w:tcW w:w="6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As of December 31, 2006</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2"/>
                <w:szCs w:val="12"/>
                <w:color w:val="auto"/>
                <w:w w:val="98"/>
              </w:rPr>
              <w:t>Effective interest</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rate (*)</w:t>
            </w:r>
          </w:p>
        </w:tc>
        <w:tc>
          <w:tcPr>
            <w:tcW w:w="600" w:type="dxa"/>
            <w:vAlign w:val="bottom"/>
          </w:tcPr>
          <w:p>
            <w:pPr>
              <w:spacing w:after="0"/>
              <w:rPr>
                <w:sz w:val="11"/>
                <w:szCs w:val="11"/>
                <w:color w:val="auto"/>
              </w:rPr>
            </w:pP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jc w:val="right"/>
              <w:ind w:right="321"/>
              <w:spacing w:after="0"/>
              <w:rPr>
                <w:sz w:val="20"/>
                <w:szCs w:val="20"/>
                <w:color w:val="auto"/>
              </w:rPr>
            </w:pPr>
            <w:r>
              <w:rPr>
                <w:rFonts w:ascii="Courier New" w:cs="Courier New" w:eastAsia="Courier New" w:hAnsi="Courier New"/>
                <w:sz w:val="12"/>
                <w:szCs w:val="12"/>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160" w:type="dxa"/>
            <w:vAlign w:val="bottom"/>
          </w:tcPr>
          <w:p>
            <w:pPr>
              <w:spacing w:after="0"/>
              <w:rPr>
                <w:sz w:val="23"/>
                <w:szCs w:val="23"/>
                <w:color w:val="auto"/>
              </w:rPr>
            </w:pPr>
          </w:p>
        </w:tc>
        <w:tc>
          <w:tcPr>
            <w:tcW w:w="13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6.48%</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$288,693</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160" w:type="dxa"/>
            <w:vAlign w:val="bottom"/>
          </w:tcPr>
          <w:p>
            <w:pPr>
              <w:spacing w:after="0"/>
              <w:rPr>
                <w:sz w:val="11"/>
                <w:szCs w:val="11"/>
                <w:color w:val="auto"/>
              </w:rPr>
            </w:pPr>
          </w:p>
        </w:tc>
        <w:tc>
          <w:tcPr>
            <w:tcW w:w="13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5.10%</w:t>
            </w: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80,000</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In U.S. Dollar</w:t>
            </w: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w w:val="98"/>
              </w:rPr>
              <w:t>Total long-term debt from Banks- principle amount</w:t>
            </w: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368,693</w:t>
            </w:r>
          </w:p>
        </w:tc>
      </w:tr>
      <w:tr>
        <w:trPr>
          <w:trHeight w:val="135"/>
        </w:trPr>
        <w:tc>
          <w:tcPr>
            <w:tcW w:w="4660" w:type="dxa"/>
            <w:vAlign w:val="bottom"/>
            <w:gridSpan w:val="3"/>
          </w:tcPr>
          <w:p>
            <w:pPr>
              <w:spacing w:after="0"/>
              <w:rPr>
                <w:sz w:val="20"/>
                <w:szCs w:val="20"/>
                <w:color w:val="auto"/>
              </w:rPr>
            </w:pPr>
            <w:r>
              <w:rPr>
                <w:rFonts w:ascii="Courier New" w:cs="Courier New" w:eastAsia="Courier New" w:hAnsi="Courier New"/>
                <w:sz w:val="12"/>
                <w:szCs w:val="12"/>
                <w:color w:val="auto"/>
                <w:w w:val="97"/>
              </w:rPr>
              <w:t>Deferred gain on debt restructuring in accordance with SFAS No. 15</w:t>
            </w: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53,622</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Total carrying amount</w:t>
            </w: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422,315</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Embedded feature</w:t>
            </w: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10,115</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500" w:type="dxa"/>
            <w:vAlign w:val="bottom"/>
            <w:gridSpan w:val="2"/>
          </w:tcPr>
          <w:p>
            <w:pPr>
              <w:spacing w:after="0"/>
              <w:rPr>
                <w:sz w:val="20"/>
                <w:szCs w:val="20"/>
                <w:color w:val="auto"/>
              </w:rPr>
            </w:pPr>
            <w:r>
              <w:rPr>
                <w:rFonts w:ascii="Courier New" w:cs="Courier New" w:eastAsia="Courier New" w:hAnsi="Courier New"/>
                <w:sz w:val="12"/>
                <w:szCs w:val="12"/>
                <w:color w:val="auto"/>
              </w:rPr>
              <w:t>Total long-term debt from Banks</w:t>
            </w: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$432,430</w:t>
            </w:r>
          </w:p>
        </w:tc>
      </w:tr>
      <w:tr>
        <w:trPr>
          <w:trHeight w:val="135"/>
        </w:trPr>
        <w:tc>
          <w:tcPr>
            <w:tcW w:w="6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620" w:type="dxa"/>
            <w:vAlign w:val="bottom"/>
          </w:tcPr>
          <w:p>
            <w:pPr>
              <w:ind w:left="340"/>
              <w:spacing w:after="0"/>
              <w:rPr>
                <w:sz w:val="20"/>
                <w:szCs w:val="20"/>
                <w:color w:val="auto"/>
              </w:rPr>
            </w:pPr>
            <w:r>
              <w:rPr>
                <w:rFonts w:ascii="Courier New" w:cs="Courier New" w:eastAsia="Courier New" w:hAnsi="Courier New"/>
                <w:sz w:val="12"/>
                <w:szCs w:val="12"/>
                <w:color w:val="auto"/>
              </w:rPr>
              <w:t>(*)</w:t>
            </w:r>
          </w:p>
        </w:tc>
        <w:tc>
          <w:tcPr>
            <w:tcW w:w="2880" w:type="dxa"/>
            <w:vAlign w:val="bottom"/>
          </w:tcPr>
          <w:p>
            <w:pPr>
              <w:ind w:left="80"/>
              <w:spacing w:after="0"/>
              <w:rPr>
                <w:sz w:val="20"/>
                <w:szCs w:val="20"/>
                <w:color w:val="auto"/>
              </w:rPr>
            </w:pPr>
            <w:r>
              <w:rPr>
                <w:rFonts w:ascii="Courier New" w:cs="Courier New" w:eastAsia="Courier New" w:hAnsi="Courier New"/>
                <w:sz w:val="12"/>
                <w:szCs w:val="12"/>
                <w:color w:val="auto"/>
              </w:rPr>
              <w:t>See E below</w:t>
            </w: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405"/>
        </w:trPr>
        <w:tc>
          <w:tcPr>
            <w:tcW w:w="620" w:type="dxa"/>
            <w:vAlign w:val="bottom"/>
          </w:tcPr>
          <w:p>
            <w:pPr>
              <w:spacing w:after="0"/>
              <w:rPr>
                <w:sz w:val="24"/>
                <w:szCs w:val="24"/>
                <w:color w:val="auto"/>
              </w:rPr>
            </w:pPr>
          </w:p>
        </w:tc>
        <w:tc>
          <w:tcPr>
            <w:tcW w:w="2880" w:type="dxa"/>
            <w:vAlign w:val="bottom"/>
          </w:tcPr>
          <w:p>
            <w:pPr>
              <w:ind w:left="1980"/>
              <w:spacing w:after="0"/>
              <w:rPr>
                <w:sz w:val="20"/>
                <w:szCs w:val="20"/>
                <w:color w:val="auto"/>
              </w:rPr>
            </w:pPr>
            <w:r>
              <w:rPr>
                <w:rFonts w:ascii="Courier New" w:cs="Courier New" w:eastAsia="Courier New" w:hAnsi="Courier New"/>
                <w:sz w:val="12"/>
                <w:szCs w:val="12"/>
                <w:color w:val="auto"/>
              </w:rPr>
              <w:t>F - 18</w:t>
            </w: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0239"/>
          </w:cols>
          <w:pgMar w:left="220" w:top="272" w:right="1440" w:bottom="77" w:gutter="0" w:footer="0" w:header="0"/>
        </w:sectPr>
      </w:pPr>
    </w:p>
    <w:bookmarkStart w:id="57" w:name="page58"/>
    <w:bookmarkEnd w:id="57"/>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LONG-TERM DEBT FROM BANKS (CONT.)</w:t>
      </w:r>
    </w:p>
    <w:p>
      <w:pPr>
        <w:spacing w:after="0" w:line="134" w:lineRule="exact"/>
        <w:rPr>
          <w:sz w:val="20"/>
          <w:szCs w:val="20"/>
          <w:color w:val="auto"/>
        </w:rPr>
      </w:pPr>
    </w:p>
    <w:p>
      <w:pPr>
        <w:ind w:left="700" w:hanging="357"/>
        <w:spacing w:after="0"/>
        <w:tabs>
          <w:tab w:leader="none" w:pos="700" w:val="left"/>
        </w:tabs>
        <w:numPr>
          <w:ilvl w:val="0"/>
          <w:numId w:val="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2001, the Company entered into a Facility Agreement, as amended to date, with two leading Israeli banks ("Banks") entitling the Company to borrow an aggregate, of $500,000 to finance the construction and equipping of Fab 2 ("Facility Agreement"). Of that amount, the Company withdrew an aggregate of $497,000. Under the original terms of the Facility Agreement the loans bore interest at a rate of three-month USD LIBOR plus 1.55% per annum payable at the end of each quarter. The loans were originally to be paid in 12 quarterly installments 3 years from date of each loan drawn down. The loans were subject to certain prepayment provisions. The Facility Agreement was since amended in various instances. Prior to the closing of the September 2006 Amendment, the loans bore interest based on the three-month USD LIBOR rate plus 2.5%. For interest rates following September 2006 Amendment, see below.</w:t>
      </w:r>
    </w:p>
    <w:p>
      <w:pPr>
        <w:spacing w:after="0" w:line="139"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JULY 2005 AMENDMENT - In July 2005, the Company and its Banks entered into a definitive amendment to the Facility Agreement, which closed in August 2005. The Amendment provided, among other things, for the Banks to provide additional financing of up to approximately $30,000, subject to the Company raising through the issuance of shares or convertible debentures $30,000 by March 31, 2006. In connection with the Amendment, The Israel Corporation Ltd ("TIC" or "Equity Investor") and SanDisk Corporation, Alliance Semiconductor Corporation and Macronix International Co. Ltd. (collectively, the "primary Wafer Partners") committed to invest an aggregate of $23,500 towards such funding in the context of a rights offering. Following the satisfaction of all the Company's commitments under the July 2005 Amendment, the Banks provided the Company with $29,693 in additional loans.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- 19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LONG-TERM DEBT FROM BANKS (CONT.)</w:t>
      </w:r>
    </w:p>
    <w:p>
      <w:pPr>
        <w:spacing w:after="0" w:line="134" w:lineRule="exact"/>
        <w:rPr>
          <w:sz w:val="20"/>
          <w:szCs w:val="20"/>
          <w:color w:val="auto"/>
        </w:rPr>
      </w:pPr>
    </w:p>
    <w:p>
      <w:pPr>
        <w:ind w:left="700" w:hanging="357"/>
        <w:spacing w:after="0"/>
        <w:tabs>
          <w:tab w:leader="none" w:pos="700" w:val="left"/>
        </w:tabs>
        <w:numPr>
          <w:ilvl w:val="0"/>
          <w:numId w:val="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SEPTEMBER 2006 AMENDMENT - As part of the financing for the ramp-up plan, in September 2006, the Company closed a definitive amendment to the Facility Agreement to refinance the approximately $527,000 of long-term debt under its Facility Agreement. Pursuant to the Amendment, among other things: (i) $158,000 of the debt under the Facility Agreement was converted into capital notes of the Company, which notes are convertible into 51,973,684 of the Company's Ordinary Shares, representing twice the average closing price per share during the ten days prior to signing on the Memorandum of Understanding ("MOU") that preceded the final Amendment; (ii) the interest rate applicable for the quarterly actual interest payment on the loans was decreased from three-month USD LIBOR plus 2.5% per annum to three-month USD LIBOR plus 1.1% per annum, effective from May 17, 2006 (the "Decreased Amount"). As compensation for the Decreased Amount and subject to adjustment, in January 2011, the Banks will be issued such number of shares (or equity equivalent capital notes or convertible debentures) that equals the Decreased Amount divided by the average closing price of the Company's Ordinary Shares during the fourth quarter of 2010 (the "Fourth Quarter 2010 Price"). If during the second half of 2010, the closing price of Company's Ordinary Shares on every trading day during this period exceeds $3.49, then the Banks will only be granted such number of shares (or equity equivalent capital notes or convertible debentures) that equals half of the Decreased Amount divided by the Fourth Quarter 2010 Price. If during the period ending December 31, 2010, the Banks sell a portion of the capital notes or shares issuable upon the conversion of the capital notes described in (i) above, at a price per share in excess of $3.49, then the consideration payable for the interest rate reduction will be reduced proportionately. The amounts payable in securities of the Company may be payable in cash under certain circumstances and the Decreased Amount may be reduced in the event the Company prepays any part of the outstanding loans; (iii) the commencement date for the repayment of the outstanding loans, which following the conversion are approximately $369,000, was postponed from July 2007 to September 2009, such that the outstanding loans shall be repaid in 12 quarterly installments between September 2009 and June 2012; (iv) the exercise periods of the warrants held by the Banks immediately prior to the signing of the September 2006 Amendment, were extended such that they are exercisable until September 2011, see also Note 14B(5)(a); and (v) the financial ratios and covenants that the Company is to satisfy were revised to be inline with the Company's working plan as of the time of the Amendment.</w:t>
      </w:r>
    </w:p>
    <w:p>
      <w:pPr>
        <w:spacing w:after="0" w:line="200" w:lineRule="exact"/>
        <w:rPr>
          <w:rFonts w:ascii="Courier New" w:cs="Courier New" w:eastAsia="Courier New" w:hAnsi="Courier New"/>
          <w:sz w:val="12"/>
          <w:szCs w:val="12"/>
          <w:color w:val="auto"/>
        </w:rPr>
      </w:pPr>
    </w:p>
    <w:p>
      <w:pPr>
        <w:spacing w:after="0" w:line="209"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SEPTEMBER 2007 CREDIT LINE AGREEMENTS WITH THE BANKS AND TIC AND SEPTEMBER 2007 AMENDMENT - In September 2007, the Company signed and closed definitive agreements with the Banks and with TIC, providing for credit lines totaling up to $60,000, 25% of which from each Bank and 50% from TIC, to be used for the funding of equipment required for a ramp up plan in Fab 2 to increase its capacity to beyond 24,000 wafers per month. As of December 31, 2007, $28,000 had been borrowed under these credit lines and an additional $32,000 was borrowed during January 2008, each drawdown comprised of 25% from each bank and 50% from TIC. Loans under the credit lines are bearing interest at an annual rate of three-month USD LIBOR plus 3% and are repayable 2 years from the date any loan was borrowed. The Company paid the Banks and TIC customary fees. For details regarding 5,411,764 warrants granted to the Banks and TIC in connection with this agreement, see Note 14B(5). Further, in September 2007, the Company signed and closed a definitive amendment to the Facility Agreement to mainly reflect into it the Credit Line Agreements described above and to revise the financial ratios and covenants that the Company is to satisfy to be inline with the Company's working plan as of the time of the Amendment.</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sectPr>
          <w:pgSz w:w="11900" w:h="16838" w:orient="portrait"/>
          <w:cols w:equalWidth="0" w:num="1">
            <w:col w:w="10239"/>
          </w:cols>
          <w:pgMar w:left="220" w:top="137" w:right="1440" w:bottom="0" w:gutter="0" w:footer="0" w:header="0"/>
        </w:sectPr>
      </w:pPr>
    </w:p>
    <w:bookmarkStart w:id="58" w:name="page59"/>
    <w:bookmarkEnd w:id="58"/>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LONG-TERM DEBT FROM BANKS (CONT.)</w:t>
      </w:r>
    </w:p>
    <w:p>
      <w:pPr>
        <w:spacing w:after="0" w:line="134" w:lineRule="exact"/>
        <w:rPr>
          <w:sz w:val="20"/>
          <w:szCs w:val="20"/>
          <w:color w:val="auto"/>
        </w:rPr>
      </w:pPr>
    </w:p>
    <w:p>
      <w:pPr>
        <w:ind w:left="700" w:hanging="357"/>
        <w:spacing w:after="0"/>
        <w:tabs>
          <w:tab w:leader="none" w:pos="700" w:val="left"/>
        </w:tabs>
        <w:numPr>
          <w:ilvl w:val="0"/>
          <w:numId w:val="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34"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FOR THE LOANS UNDER THE FACILITY AGREEMENT</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Loans received under the Facility Agreement, as amended to date, are presented commencing January 1, 2007 at fair value, with changes in value reflected on the statement of operations, following an election under FASB No. 159 "The Fair Value Option for Financial Assets and Financial Liabilities". Such loans bear interest based on the three-month USD LIBOR rate plus 1.1%, effective from May 17, 2006. Prior to the fair value election, in 2006, the loans under the Amendment of September 2006 was treated as a troubled debt restructuring within the scope of FASB No. 15 which required the following: (i) the amount considered settled for shares and classified in equity is based on the price per share as quoted at the closing date; (ii) the remaining balance after deduction of the amount used as proceeds for the shares issuance in (i) above, will remain outstanding; (iii) a new, lower effective interest rate will be calculated as the interest rate that equates future payments to the outstanding balance; and (iv) no gains or losses are recognized in the current period.</w:t>
      </w:r>
    </w:p>
    <w:p>
      <w:pPr>
        <w:spacing w:after="0" w:line="140"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obligation to issue additional securities of the Company in January 2011 under the restructuring in September 2006 Amendment as compensation to the Decreased Amount, is considered to include an embedded derivative that should be separately accounted for. The Company considered the obligation to issue shares as agreed with the Banks and determined that it contains two components: (i) a contingent component and (ii) an uncontingent component. The contingent component is the obligation to issue shares equal to half of the amount of the Decreased Amount if the Fourth Quarter 2010 Price is less than $3.49. The uncontingent component is the obligation to issue shares equal to half of the Decreased Amount regardless of the Fourth Quarter 2010 Price. The Company accounted for the uncontingent component as an additional interest expense and calculated the effective interest rate to include such expense. The Company treated the uncontingent component as an embedded derivative that needs to be bifurcated and separately accounted for based on fair value. Initial separation of the embedded derivative will be done using the "with and without" method described in DIG Issue B6. Changes in the fair value of the embedded derivative will be included in financing expenses.</w:t>
      </w:r>
    </w:p>
    <w:p>
      <w:pPr>
        <w:spacing w:after="0" w:line="262"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first quarter of 2007, the Company adopted the provisions of SFAS No. 159. As required by such Standard the Company also adopted the provisions of FASB 157 FAIR VALUE MEASUREMENTS. The adoption of the Standard is effective January 1, 2007. According to the Standard the Company can choose to carry at fair value eligible items as defined in the Standard, from the date of early adoption and accordingly the Company decided to apply the fair value option to the Facility Agreement.</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- 21</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9 - LONG-TERM DEBT FROM BANKS (CONT.)</w:t>
      </w:r>
    </w:p>
    <w:p>
      <w:pPr>
        <w:spacing w:after="0" w:line="134" w:lineRule="exact"/>
        <w:rPr>
          <w:sz w:val="20"/>
          <w:szCs w:val="20"/>
          <w:color w:val="auto"/>
        </w:rPr>
      </w:pPr>
    </w:p>
    <w:p>
      <w:pPr>
        <w:ind w:left="700" w:hanging="357"/>
        <w:spacing w:after="0"/>
        <w:tabs>
          <w:tab w:leader="none" w:pos="700"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 (CONT.)</w:t>
      </w:r>
    </w:p>
    <w:p>
      <w:pPr>
        <w:spacing w:after="0" w:line="134"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ACCOUNTING FOR THE LOANS UNDER THE FACILITY AGREEMENT (CONT.)</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effect of the election of fair value option to the Facility Agreement as of January 1, 2007 was a gain of $65,207 which has been recorded as a cumulative effect adjustment to retained loss (no tax effects have been recorded). The carrying amount of the Facility Agreement prior to the adoption was $432,430 and immediately after was $367,223. The Company reasoned it election of the fair value option for the Facility Agreement on the fact that the application of previous GAAP prescribed in FASB 15 Accounting by Debtors and Creditors for Troubled Debt Restructurings to the Facility Agreement did not reflect the economic benefits that were achieved with the consummation of the Amendment to the Facility Agreement and that the application of the fair value better reflects such benefits. For fair value measurement, see Note 11D below.</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REPAYMENT SCHEDULE</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principle amount of the long-term debt as of December 31, 2007 is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repayable as follows:</w:t>
      </w: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136"/>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0"/>
              </w:rPr>
              <w:t>2009</w:t>
            </w:r>
          </w:p>
        </w:tc>
        <w:tc>
          <w:tcPr>
            <w:tcW w:w="1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$ 75,449</w:t>
            </w:r>
          </w:p>
        </w:tc>
      </w:tr>
      <w:tr>
        <w:trPr>
          <w:trHeight w:val="135"/>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0"/>
              </w:rPr>
              <w:t>2010</w:t>
            </w:r>
          </w:p>
        </w:tc>
        <w:tc>
          <w:tcPr>
            <w:tcW w:w="1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122,898</w:t>
            </w:r>
          </w:p>
        </w:tc>
      </w:tr>
      <w:tr>
        <w:trPr>
          <w:trHeight w:val="135"/>
        </w:trPr>
        <w:tc>
          <w:tcPr>
            <w:tcW w:w="320" w:type="dxa"/>
            <w:vAlign w:val="bottom"/>
          </w:tcPr>
          <w:p>
            <w:pPr>
              <w:jc w:val="right"/>
              <w:spacing w:after="0"/>
              <w:rPr>
                <w:sz w:val="20"/>
                <w:szCs w:val="20"/>
                <w:color w:val="auto"/>
              </w:rPr>
            </w:pPr>
            <w:r>
              <w:rPr>
                <w:rFonts w:ascii="Courier New" w:cs="Courier New" w:eastAsia="Courier New" w:hAnsi="Courier New"/>
                <w:sz w:val="12"/>
                <w:szCs w:val="12"/>
                <w:color w:val="auto"/>
                <w:w w:val="90"/>
              </w:rPr>
              <w:t>2011</w:t>
            </w:r>
          </w:p>
        </w:tc>
        <w:tc>
          <w:tcPr>
            <w:tcW w:w="1220" w:type="dxa"/>
            <w:vAlign w:val="bottom"/>
          </w:tcPr>
          <w:p>
            <w:pPr>
              <w:ind w:left="20"/>
              <w:spacing w:after="0"/>
              <w:rPr>
                <w:sz w:val="20"/>
                <w:szCs w:val="20"/>
                <w:color w:val="auto"/>
              </w:rPr>
            </w:pPr>
            <w:r>
              <w:rPr>
                <w:rFonts w:ascii="Courier New" w:cs="Courier New" w:eastAsia="Courier New" w:hAnsi="Courier New"/>
                <w:sz w:val="12"/>
                <w:szCs w:val="12"/>
                <w:color w:val="auto"/>
              </w:rPr>
              <w:t>and thereafter</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184,346</w:t>
            </w:r>
          </w:p>
        </w:tc>
      </w:tr>
      <w:tr>
        <w:trPr>
          <w:trHeight w:val="135"/>
        </w:trPr>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$382,693</w:t>
            </w:r>
          </w:p>
        </w:tc>
      </w:tr>
      <w:tr>
        <w:trPr>
          <w:trHeight w:val="135"/>
        </w:trPr>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right="4619" w:hanging="357"/>
        <w:spacing w:after="0" w:line="262" w:lineRule="auto"/>
        <w:tabs>
          <w:tab w:leader="none" w:pos="700" w:val="left"/>
        </w:tabs>
        <w:numPr>
          <w:ilvl w:val="0"/>
          <w:numId w:val="49"/>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Facility Agreement with the Banks restricts the Company's ability to place liens on its assets (other than to the State of Israel in respect of investment grants - see Note 13A(7), to Siliconix - see Note 13D(1) and to SanDisk - see Note 13D(2)), without the prior consent of the Banks. Furthermore, the agreements contain certain restrictive financial ratios and covenants. For further details concerning the Facility Agreement and its amendments, see Note 13A(6).</w:t>
      </w:r>
    </w:p>
    <w:p>
      <w:pPr>
        <w:spacing w:after="0" w:line="128" w:lineRule="exact"/>
        <w:rPr>
          <w:rFonts w:ascii="Courier New" w:cs="Courier New" w:eastAsia="Courier New" w:hAnsi="Courier New"/>
          <w:sz w:val="11"/>
          <w:szCs w:val="11"/>
          <w:color w:val="auto"/>
        </w:rPr>
      </w:pPr>
    </w:p>
    <w:p>
      <w:pPr>
        <w:ind w:left="700" w:right="4619" w:hanging="357"/>
        <w:spacing w:after="0" w:line="237" w:lineRule="auto"/>
        <w:tabs>
          <w:tab w:leader="none" w:pos="700" w:val="left"/>
        </w:tabs>
        <w:numPr>
          <w:ilvl w:val="0"/>
          <w:numId w:val="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effective interest rate as of December 31, 2007 and 2006 of loans, the amount of which as of such dates was $80,000 and $207,000, includes the terms of the collar agreements with knock-out and knock-in features described in Note 11A. Interest is payable at the end of each quarter.</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10 - DEBENTURES</w:t>
      </w:r>
    </w:p>
    <w:p>
      <w:pPr>
        <w:spacing w:after="0" w:line="134" w:lineRule="exact"/>
        <w:rPr>
          <w:sz w:val="20"/>
          <w:szCs w:val="20"/>
          <w:color w:val="auto"/>
        </w:rPr>
      </w:pPr>
    </w:p>
    <w:p>
      <w:pPr>
        <w:ind w:left="700" w:hanging="357"/>
        <w:spacing w:after="0"/>
        <w:tabs>
          <w:tab w:leader="none" w:pos="700" w:val="left"/>
        </w:tabs>
        <w:numPr>
          <w:ilvl w:val="0"/>
          <w:numId w:val="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Composition:</w:t>
      </w:r>
    </w:p>
    <w:p>
      <w:pPr>
        <w:sectPr>
          <w:pgSz w:w="11900" w:h="16838" w:orient="portrait"/>
          <w:cols w:equalWidth="0" w:num="1">
            <w:col w:w="10239"/>
          </w:cols>
          <w:pgMar w:left="220" w:top="137" w:right="1440" w:bottom="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120"/>
              <w:spacing w:after="0"/>
              <w:rPr>
                <w:sz w:val="20"/>
                <w:szCs w:val="20"/>
                <w:color w:val="auto"/>
              </w:rPr>
            </w:pPr>
            <w:r>
              <w:rPr>
                <w:rFonts w:ascii="Courier New" w:cs="Courier New" w:eastAsia="Courier New" w:hAnsi="Courier New"/>
                <w:sz w:val="12"/>
                <w:szCs w:val="12"/>
                <w:color w:val="auto"/>
              </w:rPr>
              <w:t>As of December 31, 2007</w:t>
            </w: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80" w:type="dxa"/>
            <w:vAlign w:val="bottom"/>
            <w:gridSpan w:val="6"/>
          </w:tcPr>
          <w:p>
            <w:pPr>
              <w:jc w:val="right"/>
              <w:spacing w:after="0"/>
              <w:rPr>
                <w:sz w:val="20"/>
                <w:szCs w:val="20"/>
                <w:color w:val="auto"/>
              </w:rPr>
            </w:pPr>
            <w:r>
              <w:rPr>
                <w:rFonts w:ascii="Courier New" w:cs="Courier New" w:eastAsia="Courier New" w:hAnsi="Courier New"/>
                <w:sz w:val="12"/>
                <w:szCs w:val="12"/>
                <w:color w:val="auto"/>
                <w:w w:val="96"/>
              </w:rPr>
              <w:t>--------------------------------------------</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Courier New" w:cs="Courier New" w:eastAsia="Courier New" w:hAnsi="Courier New"/>
                <w:sz w:val="12"/>
                <w:szCs w:val="12"/>
                <w:color w:val="auto"/>
              </w:rPr>
              <w:t>Bifurcated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2"/>
                <w:szCs w:val="12"/>
                <w:color w:val="auto"/>
                <w:w w:val="97"/>
              </w:rPr>
              <w:t>Interest</w:t>
            </w: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Carrying</w:t>
            </w:r>
          </w:p>
        </w:tc>
        <w:tc>
          <w:tcPr>
            <w:tcW w:w="88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embedded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Courier New" w:cs="Courier New" w:eastAsia="Courier New" w:hAnsi="Courier New"/>
                <w:sz w:val="12"/>
                <w:szCs w:val="12"/>
                <w:color w:val="auto"/>
                <w:w w:val="97"/>
              </w:rPr>
              <w:t>rate</w:t>
            </w:r>
          </w:p>
        </w:tc>
        <w:tc>
          <w:tcPr>
            <w:tcW w:w="240" w:type="dxa"/>
            <w:vAlign w:val="bottom"/>
          </w:tcPr>
          <w:p>
            <w:pPr>
              <w:spacing w:after="0"/>
              <w:rPr>
                <w:sz w:val="11"/>
                <w:szCs w:val="11"/>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amount</w:t>
            </w:r>
          </w:p>
        </w:tc>
        <w:tc>
          <w:tcPr>
            <w:tcW w:w="26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1"/>
              </w:rPr>
              <w:t>feature</w:t>
            </w: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Fair value</w:t>
            </w:r>
          </w:p>
        </w:tc>
        <w:tc>
          <w:tcPr>
            <w:tcW w:w="620" w:type="dxa"/>
            <w:vAlign w:val="bottom"/>
          </w:tcPr>
          <w:p>
            <w:pPr>
              <w:jc w:val="right"/>
              <w:ind w:right="1"/>
              <w:spacing w:after="0"/>
              <w:rPr>
                <w:sz w:val="20"/>
                <w:szCs w:val="20"/>
                <w:color w:val="auto"/>
              </w:rPr>
            </w:pPr>
            <w:r>
              <w:rPr>
                <w:rFonts w:ascii="Courier New" w:cs="Courier New" w:eastAsia="Courier New" w:hAnsi="Courier New"/>
                <w:sz w:val="12"/>
                <w:szCs w:val="12"/>
                <w:color w:val="auto"/>
              </w:rPr>
              <w:t>Total</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2002</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rPr>
              <w:t>Convertible debentures series A</w:t>
            </w:r>
          </w:p>
        </w:tc>
        <w:tc>
          <w:tcPr>
            <w:tcW w:w="740" w:type="dxa"/>
            <w:vAlign w:val="bottom"/>
          </w:tcPr>
          <w:p>
            <w:pPr>
              <w:spacing w:after="0"/>
              <w:rPr>
                <w:sz w:val="23"/>
                <w:szCs w:val="23"/>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4.7%</w:t>
            </w:r>
          </w:p>
        </w:tc>
        <w:tc>
          <w:tcPr>
            <w:tcW w:w="24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$ 15,774</w:t>
            </w:r>
          </w:p>
        </w:tc>
        <w:tc>
          <w:tcPr>
            <w:tcW w:w="260" w:type="dxa"/>
            <w:vAlign w:val="bottom"/>
          </w:tcPr>
          <w:p>
            <w:pPr>
              <w:ind w:left="180"/>
              <w:spacing w:after="0"/>
              <w:rPr>
                <w:sz w:val="20"/>
                <w:szCs w:val="20"/>
                <w:color w:val="auto"/>
              </w:rPr>
            </w:pPr>
            <w:r>
              <w:rPr>
                <w:rFonts w:ascii="Courier New" w:cs="Courier New" w:eastAsia="Courier New" w:hAnsi="Courier New"/>
                <w:sz w:val="12"/>
                <w:szCs w:val="12"/>
                <w:color w:val="auto"/>
                <w:w w:val="82"/>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$ 15,774</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2005</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rPr>
              <w:t>Convertible debentures series B</w:t>
            </w:r>
          </w:p>
        </w:tc>
        <w:tc>
          <w:tcPr>
            <w:tcW w:w="740" w:type="dxa"/>
            <w:vAlign w:val="bottom"/>
          </w:tcPr>
          <w:p>
            <w:pPr>
              <w:spacing w:after="0"/>
              <w:rPr>
                <w:sz w:val="11"/>
                <w:szCs w:val="11"/>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5%</w:t>
            </w: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9,547</w:t>
            </w:r>
          </w:p>
        </w:tc>
        <w:tc>
          <w:tcPr>
            <w:tcW w:w="26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9,547</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2006</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rPr>
              <w:t>Convertible debentures series C</w:t>
            </w: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36,602</w:t>
            </w:r>
          </w:p>
        </w:tc>
        <w:tc>
          <w:tcPr>
            <w:tcW w:w="26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7,313</w:t>
            </w:r>
          </w:p>
        </w:tc>
        <w:tc>
          <w:tcPr>
            <w:tcW w:w="260" w:type="dxa"/>
            <w:vAlign w:val="bottom"/>
          </w:tcPr>
          <w:p>
            <w:pPr>
              <w:spacing w:after="0"/>
              <w:rPr>
                <w:sz w:val="11"/>
                <w:szCs w:val="11"/>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43,915</w:t>
            </w: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2007</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w w:val="96"/>
              </w:rPr>
              <w:t>Non-convertible debentures series D</w:t>
            </w:r>
          </w:p>
        </w:tc>
        <w:tc>
          <w:tcPr>
            <w:tcW w:w="740" w:type="dxa"/>
            <w:vAlign w:val="bottom"/>
          </w:tcPr>
          <w:p>
            <w:pPr>
              <w:spacing w:after="0"/>
              <w:rPr>
                <w:sz w:val="11"/>
                <w:szCs w:val="11"/>
                <w:color w:val="auto"/>
              </w:rPr>
            </w:pP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8%</w:t>
            </w: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27,627</w:t>
            </w:r>
          </w:p>
        </w:tc>
        <w:tc>
          <w:tcPr>
            <w:tcW w:w="26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27,627</w:t>
            </w: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2007</w:t>
            </w:r>
          </w:p>
        </w:tc>
        <w:tc>
          <w:tcPr>
            <w:tcW w:w="3240" w:type="dxa"/>
            <w:vAlign w:val="bottom"/>
            <w:gridSpan w:val="2"/>
          </w:tcPr>
          <w:p>
            <w:pPr>
              <w:ind w:left="40"/>
              <w:spacing w:after="0"/>
              <w:rPr>
                <w:sz w:val="20"/>
                <w:szCs w:val="20"/>
                <w:color w:val="auto"/>
              </w:rPr>
            </w:pPr>
            <w:r>
              <w:rPr>
                <w:rFonts w:ascii="Courier New" w:cs="Courier New" w:eastAsia="Courier New" w:hAnsi="Courier New"/>
                <w:sz w:val="12"/>
                <w:szCs w:val="12"/>
                <w:color w:val="auto"/>
              </w:rPr>
              <w:t>Convertible debentures series E, see Note 11</w:t>
            </w:r>
          </w:p>
        </w:tc>
        <w:tc>
          <w:tcPr>
            <w:tcW w:w="78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8%</w:t>
            </w:r>
          </w:p>
        </w:tc>
        <w:tc>
          <w:tcPr>
            <w:tcW w:w="240" w:type="dxa"/>
            <w:vAlign w:val="bottom"/>
          </w:tcPr>
          <w:p>
            <w:pPr>
              <w:spacing w:after="0"/>
              <w:rPr>
                <w:sz w:val="23"/>
                <w:szCs w:val="23"/>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23"/>
                <w:szCs w:val="23"/>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23"/>
                <w:szCs w:val="23"/>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7"/>
              </w:rPr>
              <w:t>28,484</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28,484</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89,550</w:t>
            </w:r>
          </w:p>
        </w:tc>
        <w:tc>
          <w:tcPr>
            <w:tcW w:w="26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7,313</w:t>
            </w:r>
          </w:p>
        </w:tc>
        <w:tc>
          <w:tcPr>
            <w:tcW w:w="260" w:type="dxa"/>
            <w:vAlign w:val="bottom"/>
          </w:tcPr>
          <w:p>
            <w:pPr>
              <w:spacing w:after="0"/>
              <w:rPr>
                <w:sz w:val="11"/>
                <w:szCs w:val="11"/>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7"/>
              </w:rPr>
              <w:t>28,484</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125,347</w:t>
            </w:r>
          </w:p>
        </w:tc>
      </w:tr>
      <w:tr>
        <w:trPr>
          <w:trHeight w:val="135"/>
        </w:trPr>
        <w:tc>
          <w:tcPr>
            <w:tcW w:w="2800" w:type="dxa"/>
            <w:vAlign w:val="bottom"/>
            <w:gridSpan w:val="2"/>
          </w:tcPr>
          <w:p>
            <w:pPr>
              <w:spacing w:after="0"/>
              <w:rPr>
                <w:sz w:val="20"/>
                <w:szCs w:val="20"/>
                <w:color w:val="auto"/>
              </w:rPr>
            </w:pPr>
            <w:r>
              <w:rPr>
                <w:rFonts w:ascii="Courier New" w:cs="Courier New" w:eastAsia="Courier New" w:hAnsi="Courier New"/>
                <w:sz w:val="12"/>
                <w:szCs w:val="12"/>
                <w:color w:val="auto"/>
              </w:rPr>
              <w:t>Less - current maturities</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rPr>
              <w:t>7,887</w:t>
            </w:r>
          </w:p>
        </w:tc>
        <w:tc>
          <w:tcPr>
            <w:tcW w:w="260" w:type="dxa"/>
            <w:vAlign w:val="bottom"/>
          </w:tcPr>
          <w:p>
            <w:pPr>
              <w:spacing w:after="0"/>
              <w:rPr>
                <w:sz w:val="11"/>
                <w:szCs w:val="11"/>
                <w:color w:val="auto"/>
              </w:rPr>
            </w:pP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7,887</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$ 81,663</w:t>
            </w:r>
          </w:p>
        </w:tc>
        <w:tc>
          <w:tcPr>
            <w:tcW w:w="260" w:type="dxa"/>
            <w:vAlign w:val="bottom"/>
          </w:tcPr>
          <w:p>
            <w:pPr>
              <w:ind w:left="180"/>
              <w:spacing w:after="0"/>
              <w:rPr>
                <w:sz w:val="20"/>
                <w:szCs w:val="20"/>
                <w:color w:val="auto"/>
              </w:rPr>
            </w:pPr>
            <w:r>
              <w:rPr>
                <w:rFonts w:ascii="Courier New" w:cs="Courier New" w:eastAsia="Courier New" w:hAnsi="Courier New"/>
                <w:sz w:val="12"/>
                <w:szCs w:val="12"/>
                <w:color w:val="auto"/>
                <w:w w:val="82"/>
              </w:rPr>
              <w:t>$</w:t>
            </w:r>
          </w:p>
        </w:tc>
        <w:tc>
          <w:tcPr>
            <w:tcW w:w="6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7,313</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$ 28,484</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$117,460</w:t>
            </w: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3"/>
              </w:rPr>
              <w:t>========</w:t>
            </w:r>
          </w:p>
        </w:tc>
        <w:tc>
          <w:tcPr>
            <w:tcW w:w="8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560" w:type="dxa"/>
            <w:vAlign w:val="bottom"/>
            <w:gridSpan w:val="5"/>
          </w:tcPr>
          <w:p>
            <w:pPr>
              <w:jc w:val="right"/>
              <w:ind w:right="421"/>
              <w:spacing w:after="0"/>
              <w:rPr>
                <w:sz w:val="20"/>
                <w:szCs w:val="20"/>
                <w:color w:val="auto"/>
              </w:rPr>
            </w:pPr>
            <w:r>
              <w:rPr>
                <w:rFonts w:ascii="Courier New" w:cs="Courier New" w:eastAsia="Courier New" w:hAnsi="Courier New"/>
                <w:sz w:val="12"/>
                <w:szCs w:val="12"/>
                <w:color w:val="auto"/>
              </w:rPr>
              <w:t>As of December 31, 2006</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560" w:type="dxa"/>
            <w:vAlign w:val="bottom"/>
            <w:gridSpan w:val="5"/>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gridSpan w:val="2"/>
          </w:tcPr>
          <w:p>
            <w:pPr>
              <w:jc w:val="right"/>
              <w:ind w:right="41"/>
              <w:spacing w:after="0"/>
              <w:rPr>
                <w:sz w:val="20"/>
                <w:szCs w:val="20"/>
                <w:color w:val="auto"/>
              </w:rPr>
            </w:pPr>
            <w:r>
              <w:rPr>
                <w:rFonts w:ascii="Courier New" w:cs="Courier New" w:eastAsia="Courier New" w:hAnsi="Courier New"/>
                <w:sz w:val="12"/>
                <w:szCs w:val="12"/>
                <w:color w:val="auto"/>
              </w:rPr>
              <w:t>Bifurcated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3"/>
              </w:rPr>
              <w:t>Interest</w:t>
            </w:r>
          </w:p>
        </w:tc>
        <w:tc>
          <w:tcPr>
            <w:tcW w:w="780" w:type="dxa"/>
            <w:vAlign w:val="bottom"/>
          </w:tcPr>
          <w:p>
            <w:pPr>
              <w:jc w:val="center"/>
              <w:spacing w:after="0"/>
              <w:rPr>
                <w:sz w:val="20"/>
                <w:szCs w:val="20"/>
                <w:color w:val="auto"/>
              </w:rPr>
            </w:pPr>
            <w:r>
              <w:rPr>
                <w:rFonts w:ascii="Courier New" w:cs="Courier New" w:eastAsia="Courier New" w:hAnsi="Courier New"/>
                <w:sz w:val="12"/>
                <w:szCs w:val="12"/>
                <w:color w:val="auto"/>
                <w:w w:val="97"/>
              </w:rPr>
              <w:t>Carrying</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embedded</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rate</w:t>
            </w:r>
          </w:p>
        </w:tc>
        <w:tc>
          <w:tcPr>
            <w:tcW w:w="780" w:type="dxa"/>
            <w:vAlign w:val="bottom"/>
          </w:tcPr>
          <w:p>
            <w:pPr>
              <w:jc w:val="center"/>
              <w:spacing w:after="0"/>
              <w:rPr>
                <w:sz w:val="20"/>
                <w:szCs w:val="20"/>
                <w:color w:val="auto"/>
              </w:rPr>
            </w:pPr>
            <w:r>
              <w:rPr>
                <w:rFonts w:ascii="Courier New" w:cs="Courier New" w:eastAsia="Courier New" w:hAnsi="Courier New"/>
                <w:sz w:val="12"/>
                <w:szCs w:val="12"/>
                <w:color w:val="auto"/>
                <w:w w:val="97"/>
              </w:rPr>
              <w:t>amount</w:t>
            </w:r>
          </w:p>
        </w:tc>
        <w:tc>
          <w:tcPr>
            <w:tcW w:w="240" w:type="dxa"/>
            <w:vAlign w:val="bottom"/>
          </w:tcPr>
          <w:p>
            <w:pPr>
              <w:spacing w:after="0"/>
              <w:rPr>
                <w:sz w:val="11"/>
                <w:szCs w:val="11"/>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w w:val="95"/>
              </w:rPr>
              <w:t>feature</w:t>
            </w:r>
          </w:p>
        </w:tc>
        <w:tc>
          <w:tcPr>
            <w:tcW w:w="880" w:type="dxa"/>
            <w:vAlign w:val="bottom"/>
            <w:gridSpan w:val="2"/>
          </w:tcPr>
          <w:p>
            <w:pPr>
              <w:ind w:left="180"/>
              <w:spacing w:after="0"/>
              <w:rPr>
                <w:sz w:val="20"/>
                <w:szCs w:val="20"/>
                <w:color w:val="auto"/>
              </w:rPr>
            </w:pPr>
            <w:r>
              <w:rPr>
                <w:rFonts w:ascii="Courier New" w:cs="Courier New" w:eastAsia="Courier New" w:hAnsi="Courier New"/>
                <w:sz w:val="12"/>
                <w:szCs w:val="12"/>
                <w:color w:val="auto"/>
              </w:rPr>
              <w:t>Total</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270"/>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2002</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rPr>
              <w:t>Convertible debentures series A</w:t>
            </w:r>
          </w:p>
        </w:tc>
        <w:tc>
          <w:tcPr>
            <w:tcW w:w="7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4.7%</w:t>
            </w: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$ 20,704</w:t>
            </w:r>
          </w:p>
        </w:tc>
        <w:tc>
          <w:tcPr>
            <w:tcW w:w="2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$ 20,704</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2005</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rPr>
              <w:t>Convertible debentures series B</w:t>
            </w:r>
          </w:p>
        </w:tc>
        <w:tc>
          <w:tcPr>
            <w:tcW w:w="7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w:t>
            </w: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4,790</w:t>
            </w:r>
          </w:p>
        </w:tc>
        <w:tc>
          <w:tcPr>
            <w:tcW w:w="240" w:type="dxa"/>
            <w:vAlign w:val="bottom"/>
          </w:tcPr>
          <w:p>
            <w:pPr>
              <w:spacing w:after="0"/>
              <w:rPr>
                <w:sz w:val="11"/>
                <w:szCs w:val="11"/>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28,377</w:t>
            </w:r>
          </w:p>
        </w:tc>
        <w:tc>
          <w:tcPr>
            <w:tcW w:w="260" w:type="dxa"/>
            <w:vAlign w:val="bottom"/>
          </w:tcPr>
          <w:p>
            <w:pPr>
              <w:spacing w:after="0"/>
              <w:rPr>
                <w:sz w:val="11"/>
                <w:szCs w:val="11"/>
                <w:color w:val="auto"/>
              </w:rPr>
            </w:pP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2"/>
              </w:rPr>
              <w:t>33,167</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20"/>
                <w:szCs w:val="20"/>
                <w:color w:val="auto"/>
              </w:rPr>
            </w:pPr>
            <w:r>
              <w:rPr>
                <w:rFonts w:ascii="Courier New" w:cs="Courier New" w:eastAsia="Courier New" w:hAnsi="Courier New"/>
                <w:sz w:val="12"/>
                <w:szCs w:val="12"/>
                <w:color w:val="auto"/>
                <w:w w:val="97"/>
              </w:rPr>
              <w:t>2006</w:t>
            </w:r>
          </w:p>
        </w:tc>
        <w:tc>
          <w:tcPr>
            <w:tcW w:w="2500" w:type="dxa"/>
            <w:vAlign w:val="bottom"/>
          </w:tcPr>
          <w:p>
            <w:pPr>
              <w:ind w:left="40"/>
              <w:spacing w:after="0"/>
              <w:rPr>
                <w:sz w:val="20"/>
                <w:szCs w:val="20"/>
                <w:color w:val="auto"/>
              </w:rPr>
            </w:pPr>
            <w:r>
              <w:rPr>
                <w:rFonts w:ascii="Courier New" w:cs="Courier New" w:eastAsia="Courier New" w:hAnsi="Courier New"/>
                <w:sz w:val="12"/>
                <w:szCs w:val="12"/>
                <w:color w:val="auto"/>
              </w:rPr>
              <w:t>Convertible debentures series C</w:t>
            </w:r>
          </w:p>
        </w:tc>
        <w:tc>
          <w:tcPr>
            <w:tcW w:w="7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25,381</w:t>
            </w:r>
          </w:p>
        </w:tc>
        <w:tc>
          <w:tcPr>
            <w:tcW w:w="240" w:type="dxa"/>
            <w:vAlign w:val="bottom"/>
          </w:tcPr>
          <w:p>
            <w:pPr>
              <w:spacing w:after="0"/>
              <w:rPr>
                <w:sz w:val="11"/>
                <w:szCs w:val="11"/>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11,513</w:t>
            </w:r>
          </w:p>
        </w:tc>
        <w:tc>
          <w:tcPr>
            <w:tcW w:w="260" w:type="dxa"/>
            <w:vAlign w:val="bottom"/>
          </w:tcPr>
          <w:p>
            <w:pPr>
              <w:spacing w:after="0"/>
              <w:rPr>
                <w:sz w:val="11"/>
                <w:szCs w:val="11"/>
                <w:color w:val="auto"/>
              </w:rPr>
            </w:pP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2"/>
              </w:rPr>
              <w:t>36,894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50,875</w:t>
            </w:r>
          </w:p>
        </w:tc>
        <w:tc>
          <w:tcPr>
            <w:tcW w:w="240" w:type="dxa"/>
            <w:vAlign w:val="bottom"/>
          </w:tcPr>
          <w:p>
            <w:pPr>
              <w:spacing w:after="0"/>
              <w:rPr>
                <w:sz w:val="11"/>
                <w:szCs w:val="11"/>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39,890</w:t>
            </w:r>
          </w:p>
        </w:tc>
        <w:tc>
          <w:tcPr>
            <w:tcW w:w="260" w:type="dxa"/>
            <w:vAlign w:val="bottom"/>
          </w:tcPr>
          <w:p>
            <w:pPr>
              <w:spacing w:after="0"/>
              <w:rPr>
                <w:sz w:val="11"/>
                <w:szCs w:val="11"/>
                <w:color w:val="auto"/>
              </w:rPr>
            </w:pP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92"/>
              </w:rPr>
              <w:t>90,765</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800" w:type="dxa"/>
            <w:vAlign w:val="bottom"/>
            <w:gridSpan w:val="2"/>
          </w:tcPr>
          <w:p>
            <w:pPr>
              <w:spacing w:after="0"/>
              <w:rPr>
                <w:sz w:val="20"/>
                <w:szCs w:val="20"/>
                <w:color w:val="auto"/>
              </w:rPr>
            </w:pPr>
            <w:r>
              <w:rPr>
                <w:rFonts w:ascii="Courier New" w:cs="Courier New" w:eastAsia="Courier New" w:hAnsi="Courier New"/>
                <w:sz w:val="12"/>
                <w:szCs w:val="12"/>
                <w:color w:val="auto"/>
              </w:rPr>
              <w:t>Less - current maturities</w:t>
            </w: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6,902</w:t>
            </w:r>
          </w:p>
        </w:tc>
        <w:tc>
          <w:tcPr>
            <w:tcW w:w="240" w:type="dxa"/>
            <w:vAlign w:val="bottom"/>
          </w:tcPr>
          <w:p>
            <w:pPr>
              <w:spacing w:after="0"/>
              <w:rPr>
                <w:sz w:val="11"/>
                <w:szCs w:val="11"/>
                <w:color w:val="auto"/>
              </w:rPr>
            </w:pPr>
          </w:p>
        </w:tc>
        <w:tc>
          <w:tcPr>
            <w:tcW w:w="66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6,902</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$ 43,973</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$ 39,890</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$ 83,863</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jc w:val="right"/>
              <w:ind w:right="61"/>
              <w:spacing w:after="0"/>
              <w:rPr>
                <w:sz w:val="20"/>
                <w:szCs w:val="20"/>
                <w:color w:val="auto"/>
              </w:rPr>
            </w:pPr>
            <w:r>
              <w:rPr>
                <w:rFonts w:ascii="Courier New" w:cs="Courier New" w:eastAsia="Courier New" w:hAnsi="Courier New"/>
                <w:sz w:val="12"/>
                <w:szCs w:val="12"/>
                <w:color w:val="auto"/>
              </w:rPr>
              <w:t>========</w:t>
            </w:r>
          </w:p>
        </w:tc>
        <w:tc>
          <w:tcPr>
            <w:tcW w:w="900" w:type="dxa"/>
            <w:vAlign w:val="bottom"/>
            <w:gridSpan w:val="2"/>
          </w:tcPr>
          <w:p>
            <w:pPr>
              <w:jc w:val="right"/>
              <w:ind w:right="101"/>
              <w:spacing w:after="0"/>
              <w:rPr>
                <w:sz w:val="20"/>
                <w:szCs w:val="20"/>
                <w:color w:val="auto"/>
              </w:rPr>
            </w:pPr>
            <w:r>
              <w:rPr>
                <w:rFonts w:ascii="Courier New" w:cs="Courier New" w:eastAsia="Courier New" w:hAnsi="Courier New"/>
                <w:sz w:val="12"/>
                <w:szCs w:val="12"/>
                <w:color w:val="auto"/>
              </w:rPr>
              <w:t>========</w:t>
            </w:r>
          </w:p>
        </w:tc>
        <w:tc>
          <w:tcPr>
            <w:tcW w:w="8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r>
    </w:tbl>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 See D below</w:t>
      </w:r>
    </w:p>
    <w:p>
      <w:pPr>
        <w:spacing w:after="0" w:line="139" w:lineRule="exact"/>
        <w:rPr>
          <w:sz w:val="20"/>
          <w:szCs w:val="20"/>
          <w:color w:val="auto"/>
        </w:rPr>
      </w:pPr>
    </w:p>
    <w:p>
      <w:pPr>
        <w:ind w:left="340" w:right="4619"/>
        <w:spacing w:after="0" w:line="237" w:lineRule="auto"/>
        <w:rPr>
          <w:sz w:val="20"/>
          <w:szCs w:val="20"/>
          <w:color w:val="auto"/>
        </w:rPr>
      </w:pPr>
      <w:r>
        <w:rPr>
          <w:rFonts w:ascii="Courier New" w:cs="Courier New" w:eastAsia="Courier New" w:hAnsi="Courier New"/>
          <w:sz w:val="12"/>
          <w:szCs w:val="12"/>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 The debentures and interest thereon are unsecured and subordinated to the Company's existing and future secured indebtedness, including indebtedness to the Banks under the Facility Agreement - see Note 13A(6), to Siliconix - see Note 13D(1), to SanDisk- see Note 13D(2) and to the government of Israel - see Note 6B.</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10 - DEBENTURES (CONT.)</w:t>
      </w:r>
    </w:p>
    <w:p>
      <w:pPr>
        <w:spacing w:after="0" w:line="134" w:lineRule="exact"/>
        <w:rPr>
          <w:sz w:val="20"/>
          <w:szCs w:val="20"/>
          <w:color w:val="auto"/>
        </w:rPr>
      </w:pPr>
    </w:p>
    <w:p>
      <w:pPr>
        <w:ind w:left="700" w:hanging="357"/>
        <w:spacing w:after="0"/>
        <w:tabs>
          <w:tab w:leader="none" w:pos="700"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2002 CONVERTIBLE DEBENTURES SERIES A</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2002, the Company issued on the Tel-Aviv Stock Exchange, NIS 110,579,800 (approximately $24,300) principal amount of convertible debentures, linked to the Israeli Consumer Price Index ("CPI"). The debentures were issued at 96% of their par value, and bear annual interest at the rate of 4.7%, payable in January of each year commencing in January 2003. The principal amount is payable in four equal installments in January of each year between 2006 and 2009. The outstanding principal amount of convertible debentures as of December 31, 2007, adjusted to the CPI was $15,984, half of which was paid on January 2008 and the other half is due on January 2009. The debentures may be converted until December 31, 2008 into Ordinary Shares, at a conversion rate of one Ordinary Share per each NIS 41.00 principal amount of the debentures.</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1"/>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2005 CONVERTIBLE DEBENTURES SERIES B</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issued $48,169 principal amount of convertible debentures by way of rights offering based on a prospectus which became effective on December 2005. The debentures are listed for trade on the Tel-Aviv Stock Exchange and on the NASDAQ Capital Market ("Series B"). The debentures accrue annual interest at the rate of 5% which will be payable, together with the principal of the debentures, in one installment on January 2012.</w:t>
      </w:r>
    </w:p>
    <w:p>
      <w:pPr>
        <w:spacing w:after="0" w:line="141"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debentures are convertible into the Company's Ordinary Shares at a conversion price of $1.10 per share. The conversion price was subject to downward adjustment under certain circumstances if the Company had sold securities in future financings at a price per share which was lower than the conversion price, provided that such financings closed, or agreements for such financings were signed, through December 2006. No such adjustment was or will be required and the downward adjustment mechanism has expired.</w:t>
      </w:r>
    </w:p>
    <w:p>
      <w:pPr>
        <w:spacing w:after="0" w:line="142" w:lineRule="exact"/>
        <w:rPr>
          <w:rFonts w:ascii="Courier New" w:cs="Courier New" w:eastAsia="Courier New" w:hAnsi="Courier New"/>
          <w:sz w:val="12"/>
          <w:szCs w:val="12"/>
          <w:color w:val="auto"/>
        </w:rPr>
      </w:pPr>
    </w:p>
    <w:p>
      <w:pPr>
        <w:ind w:left="700" w:right="475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Equity Investors and the primary Wafer Partners, which were considered related parties, invested $27,811 in the framework of the rights offering.</w:t>
      </w:r>
    </w:p>
    <w:p>
      <w:pPr>
        <w:spacing w:after="0" w:line="139" w:lineRule="exact"/>
        <w:rPr>
          <w:rFonts w:ascii="Courier New" w:cs="Courier New" w:eastAsia="Courier New" w:hAnsi="Courier New"/>
          <w:sz w:val="12"/>
          <w:szCs w:val="12"/>
          <w:color w:val="auto"/>
        </w:rPr>
      </w:pPr>
    </w:p>
    <w:p>
      <w:pPr>
        <w:ind w:left="700"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Through December 31, 2007, $19,055 in aggregate principal amount of debentures were converted into 17,322,575 Ordinary Shares of the Company, hence the outstanding principal amount of convertible debentures as of December 31, 2007 was $29,114.</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10 - CONVERTIBLE DEBENTURES (CONT.)</w:t>
      </w:r>
    </w:p>
    <w:p>
      <w:pPr>
        <w:spacing w:after="0" w:line="134" w:lineRule="exact"/>
        <w:rPr>
          <w:sz w:val="20"/>
          <w:szCs w:val="20"/>
          <w:color w:val="auto"/>
        </w:rPr>
      </w:pPr>
    </w:p>
    <w:p>
      <w:pPr>
        <w:ind w:left="700" w:hanging="357"/>
        <w:spacing w:after="0"/>
        <w:tabs>
          <w:tab w:leader="none" w:pos="700" w:val="left"/>
        </w:tabs>
        <w:numPr>
          <w:ilvl w:val="0"/>
          <w:numId w:val="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2006 CONVERTIBLE DEBENTURES SERIES C</w:t>
      </w:r>
    </w:p>
    <w:p>
      <w:pPr>
        <w:spacing w:after="0" w:line="138" w:lineRule="exact"/>
        <w:rPr>
          <w:rFonts w:ascii="Courier New" w:cs="Courier New" w:eastAsia="Courier New" w:hAnsi="Courier New"/>
          <w:sz w:val="12"/>
          <w:szCs w:val="12"/>
          <w:color w:val="auto"/>
        </w:rPr>
      </w:pPr>
    </w:p>
    <w:p>
      <w:pPr>
        <w:ind w:left="700" w:right="461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a public offering the Company issued NIS 164,430,000 principal amount of convertible debentures linked to the CPI, for gross proceeds of NIS 139,765,500 (approximately $31,219), and 391,500 options each</w:t>
      </w:r>
    </w:p>
    <w:p>
      <w:pPr>
        <w:sectPr>
          <w:pgSz w:w="11900" w:h="16838" w:orient="portrait"/>
          <w:cols w:equalWidth="0" w:num="1">
            <w:col w:w="10239"/>
          </w:cols>
          <w:pgMar w:left="220" w:top="272" w:right="1440" w:bottom="0" w:gutter="0" w:footer="0" w:header="0"/>
        </w:sectPr>
      </w:pPr>
    </w:p>
    <w:bookmarkStart w:id="60" w:name="page61"/>
    <w:bookmarkEnd w:id="60"/>
    <w:p>
      <w:pPr>
        <w:ind w:left="700"/>
        <w:spacing w:after="0"/>
        <w:rPr>
          <w:sz w:val="20"/>
          <w:szCs w:val="20"/>
          <w:color w:val="auto"/>
        </w:rPr>
      </w:pPr>
      <w:r>
        <w:rPr>
          <w:rFonts w:ascii="Courier New" w:cs="Courier New" w:eastAsia="Courier New" w:hAnsi="Courier New"/>
          <w:sz w:val="11"/>
          <w:szCs w:val="11"/>
          <w:color w:val="auto"/>
        </w:rPr>
        <w:t>exercisable for three months ending on September 27, 2006 for NIS 100</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principal amount of convertible debentures at an exercise price equal</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to 85% of their face amount, linked to the CPI. The convertible</w:t>
      </w:r>
    </w:p>
    <w:p>
      <w:pPr>
        <w:ind w:left="700"/>
        <w:spacing w:after="0"/>
        <w:rPr>
          <w:sz w:val="20"/>
          <w:szCs w:val="20"/>
          <w:color w:val="auto"/>
        </w:rPr>
      </w:pPr>
      <w:r>
        <w:rPr>
          <w:rFonts w:ascii="Courier New" w:cs="Courier New" w:eastAsia="Courier New" w:hAnsi="Courier New"/>
          <w:sz w:val="12"/>
          <w:szCs w:val="12"/>
          <w:color w:val="auto"/>
        </w:rPr>
        <w:t>debentures are convertible into the Company's Ordinary Shares at a</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conversion rate of one ordinary share per NIS 8.40 principal amount of</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convertible debentures. The convertible debentures carry a zero coupon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with principal payable at maturity in December 2011, at a premium of</w:t>
      </w:r>
    </w:p>
    <w:p>
      <w:pPr>
        <w:ind w:left="700"/>
        <w:spacing w:after="0"/>
        <w:rPr>
          <w:sz w:val="20"/>
          <w:szCs w:val="20"/>
          <w:color w:val="auto"/>
        </w:rPr>
      </w:pPr>
      <w:r>
        <w:rPr>
          <w:rFonts w:ascii="Courier New" w:cs="Courier New" w:eastAsia="Courier New" w:hAnsi="Courier New"/>
          <w:sz w:val="12"/>
          <w:szCs w:val="12"/>
          <w:color w:val="auto"/>
        </w:rPr>
        <w:t>37% over principal value, linked to the CPI. The conversion price is</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subject to reduction in certain limited circumstances. The outstanding</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principal amount of convertible debentures as of December 31, 2007 was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$53,570.</w:t>
      </w:r>
    </w:p>
    <w:p>
      <w:pPr>
        <w:spacing w:after="0" w:line="139" w:lineRule="exact"/>
        <w:rPr>
          <w:sz w:val="20"/>
          <w:szCs w:val="20"/>
          <w:color w:val="auto"/>
        </w:rPr>
      </w:pPr>
    </w:p>
    <w:p>
      <w:pPr>
        <w:ind w:left="700" w:hanging="357"/>
        <w:spacing w:after="0"/>
        <w:tabs>
          <w:tab w:leader="none" w:pos="700" w:val="left"/>
        </w:tabs>
        <w:numPr>
          <w:ilvl w:val="0"/>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2007 NON-CONVERTIBLE DEBENTURES SERIES D AND CONVERTIBLE DEBENTURES E</w:t>
      </w:r>
    </w:p>
    <w:p>
      <w:pPr>
        <w:spacing w:after="0" w:line="145" w:lineRule="exact"/>
        <w:rPr>
          <w:rFonts w:ascii="Courier New" w:cs="Courier New" w:eastAsia="Courier New" w:hAnsi="Courier New"/>
          <w:sz w:val="11"/>
          <w:szCs w:val="11"/>
          <w:color w:val="auto"/>
        </w:rPr>
      </w:pPr>
    </w:p>
    <w:p>
      <w:pPr>
        <w:ind w:left="700" w:right="4619"/>
        <w:spacing w:after="0" w:line="238"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In the second half of 2007, the Company consummated a private placement with Israeli institutions of long-term convertible and non-convertible debentures and warrants, by which the Company raised a gross proceeds of approximately $40,000. In the funding, 342 units were sold, each comprised of: (i) long-term non-convertible-debentures, repayable in six equal annual installments between the dates of December 2011 and December 2016, with a face amount of NIS 250,000 (approximately $59.7) and carrying an annual interest rate of 8 percent ("series D"); (ii) long-term convertible-debentures repayable in December 2012 with a 17.2 NIS conversion price, with a face amount of NIS 262,500 (approximately $62.7), carrying an annual interest of 8 percent("series E"), and</w:t>
      </w:r>
    </w:p>
    <w:p>
      <w:pPr>
        <w:spacing w:after="0" w:line="3" w:lineRule="exact"/>
        <w:rPr>
          <w:rFonts w:ascii="Courier New" w:cs="Courier New" w:eastAsia="Courier New" w:hAnsi="Courier New"/>
          <w:sz w:val="11"/>
          <w:szCs w:val="11"/>
          <w:color w:val="auto"/>
        </w:rPr>
      </w:pPr>
    </w:p>
    <w:p>
      <w:pPr>
        <w:ind w:left="700" w:right="4619" w:hanging="5"/>
        <w:spacing w:after="0" w:line="264" w:lineRule="auto"/>
        <w:tabs>
          <w:tab w:leader="none" w:pos="1122" w:val="left"/>
        </w:tabs>
        <w:numPr>
          <w:ilvl w:val="1"/>
          <w:numId w:val="53"/>
        </w:numPr>
        <w:rPr>
          <w:rFonts w:ascii="Courier New" w:cs="Courier New" w:eastAsia="Courier New" w:hAnsi="Courier New"/>
          <w:sz w:val="11"/>
          <w:szCs w:val="11"/>
          <w:color w:val="auto"/>
        </w:rPr>
      </w:pPr>
      <w:r>
        <w:rPr>
          <w:rFonts w:ascii="Courier New" w:cs="Courier New" w:eastAsia="Courier New" w:hAnsi="Courier New"/>
          <w:sz w:val="11"/>
          <w:szCs w:val="11"/>
          <w:color w:val="auto"/>
        </w:rPr>
        <w:t>5,800 warrants, each exercisable until 2011, for one Tower ordinary share at a price of $2.04. The debentures are linked to the CPI and were issued at 95.5% of par value. The conversion and exercise prices are subject to reduction in certain limited circumstances.</w:t>
      </w:r>
    </w:p>
    <w:p>
      <w:pPr>
        <w:spacing w:after="0" w:line="12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September 2007, the Company expanded its series of long-term</w:t>
      </w:r>
    </w:p>
    <w:p>
      <w:pPr>
        <w:ind w:left="700"/>
        <w:spacing w:after="0"/>
        <w:rPr>
          <w:sz w:val="20"/>
          <w:szCs w:val="20"/>
          <w:color w:val="auto"/>
        </w:rPr>
      </w:pPr>
      <w:r>
        <w:rPr>
          <w:rFonts w:ascii="Courier New" w:cs="Courier New" w:eastAsia="Courier New" w:hAnsi="Courier New"/>
          <w:sz w:val="12"/>
          <w:szCs w:val="12"/>
          <w:color w:val="auto"/>
        </w:rPr>
        <w:t>debentures and warrants, by selling 12,118 units, each comprised of</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long-term non-convertible debentures, with a face amount of NIS 2,500</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(approximately $0.62), long-term convertible debentures, with a face</w:t>
      </w:r>
    </w:p>
    <w:p>
      <w:pPr>
        <w:ind w:left="700"/>
        <w:spacing w:after="0"/>
        <w:rPr>
          <w:sz w:val="20"/>
          <w:szCs w:val="20"/>
          <w:color w:val="auto"/>
        </w:rPr>
      </w:pPr>
      <w:r>
        <w:rPr>
          <w:rFonts w:ascii="Courier New" w:cs="Courier New" w:eastAsia="Courier New" w:hAnsi="Courier New"/>
          <w:sz w:val="12"/>
          <w:szCs w:val="12"/>
          <w:color w:val="auto"/>
        </w:rPr>
        <w:t>amount of NIS 2,625 (approximately $0.65), and 58 warrants. The</w:t>
      </w:r>
    </w:p>
    <w:p>
      <w:pPr>
        <w:ind w:left="700"/>
        <w:spacing w:after="0" w:line="237" w:lineRule="auto"/>
        <w:rPr>
          <w:sz w:val="20"/>
          <w:szCs w:val="20"/>
          <w:color w:val="auto"/>
        </w:rPr>
      </w:pPr>
      <w:r>
        <w:rPr>
          <w:rFonts w:ascii="Courier New" w:cs="Courier New" w:eastAsia="Courier New" w:hAnsi="Courier New"/>
          <w:sz w:val="12"/>
          <w:szCs w:val="12"/>
          <w:color w:val="auto"/>
        </w:rPr>
        <w:t>debentures were issued at 90% of par value and with the other same</w:t>
      </w:r>
    </w:p>
    <w:p>
      <w:pPr>
        <w:ind w:left="700"/>
        <w:spacing w:after="0"/>
        <w:rPr>
          <w:sz w:val="20"/>
          <w:szCs w:val="20"/>
          <w:color w:val="auto"/>
        </w:rPr>
      </w:pPr>
      <w:r>
        <w:rPr>
          <w:rFonts w:ascii="Courier New" w:cs="Courier New" w:eastAsia="Courier New" w:hAnsi="Courier New"/>
          <w:sz w:val="12"/>
          <w:szCs w:val="12"/>
          <w:color w:val="auto"/>
        </w:rPr>
        <w:t>terms as the debentures and the warrants issued in the private</w:t>
      </w:r>
    </w:p>
    <w:p>
      <w:pPr>
        <w:ind w:left="700"/>
        <w:spacing w:after="0" w:line="237" w:lineRule="auto"/>
        <w:rPr>
          <w:sz w:val="20"/>
          <w:szCs w:val="20"/>
          <w:color w:val="auto"/>
        </w:rPr>
      </w:pPr>
      <w:r>
        <w:rPr>
          <w:rFonts w:ascii="Courier New" w:cs="Courier New" w:eastAsia="Courier New" w:hAnsi="Courier New"/>
          <w:sz w:val="12"/>
          <w:szCs w:val="12"/>
          <w:color w:val="auto"/>
        </w:rPr>
        <w:t>placement. In this expansion, the Company raised gross proceeds of</w:t>
      </w:r>
    </w:p>
    <w:p>
      <w:pPr>
        <w:ind w:left="700"/>
        <w:spacing w:after="0"/>
        <w:rPr>
          <w:sz w:val="20"/>
          <w:szCs w:val="20"/>
          <w:color w:val="auto"/>
        </w:rPr>
      </w:pPr>
      <w:r>
        <w:rPr>
          <w:rFonts w:ascii="Courier New" w:cs="Courier New" w:eastAsia="Courier New" w:hAnsi="Courier New"/>
          <w:sz w:val="12"/>
          <w:szCs w:val="12"/>
          <w:color w:val="auto"/>
        </w:rPr>
        <w:t>approximately $14,000.</w:t>
      </w:r>
    </w:p>
    <w:p>
      <w:pPr>
        <w:spacing w:after="0" w:line="138"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outstanding principal amount of series D and E as of December 31,</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2007 was $30,865 and $32,408, respectively. The Company elected to</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carry series E at fair value in accordance with provisions of SFAS No.</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155.</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FINANCIAL INSTRUMENTS AND FAIR VALUE MEASURMENTS</w:t>
      </w:r>
    </w:p>
    <w:p>
      <w:pPr>
        <w:spacing w:after="0" w:line="139" w:lineRule="exact"/>
        <w:rPr>
          <w:sz w:val="20"/>
          <w:szCs w:val="20"/>
          <w:color w:val="auto"/>
        </w:rPr>
      </w:pPr>
    </w:p>
    <w:p>
      <w:pPr>
        <w:ind w:left="340" w:right="4619"/>
        <w:spacing w:after="0" w:line="237" w:lineRule="auto"/>
        <w:rPr>
          <w:sz w:val="20"/>
          <w:szCs w:val="20"/>
          <w:color w:val="auto"/>
        </w:rPr>
      </w:pPr>
      <w:r>
        <w:rPr>
          <w:rFonts w:ascii="Courier New" w:cs="Courier New" w:eastAsia="Courier New" w:hAnsi="Courier New"/>
          <w:sz w:val="12"/>
          <w:szCs w:val="12"/>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35" w:lineRule="exact"/>
        <w:rPr>
          <w:sz w:val="20"/>
          <w:szCs w:val="20"/>
          <w:color w:val="auto"/>
        </w:rPr>
      </w:pPr>
    </w:p>
    <w:p>
      <w:pPr>
        <w:ind w:left="700" w:hanging="357"/>
        <w:spacing w:after="0"/>
        <w:tabs>
          <w:tab w:leader="none" w:pos="700" w:val="left"/>
        </w:tabs>
        <w:numPr>
          <w:ilvl w:val="0"/>
          <w:numId w:val="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w:t>
      </w:r>
    </w:p>
    <w:p>
      <w:pPr>
        <w:spacing w:after="0" w:line="138" w:lineRule="exact"/>
        <w:rPr>
          <w:rFonts w:ascii="Courier New" w:cs="Courier New" w:eastAsia="Courier New" w:hAnsi="Courier New"/>
          <w:sz w:val="12"/>
          <w:szCs w:val="12"/>
          <w:color w:val="auto"/>
        </w:rPr>
      </w:pPr>
    </w:p>
    <w:p>
      <w:pPr>
        <w:ind w:left="700" w:right="475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 derivative is typically defined as an instrument whose value is derived from an underlying instrument, index or rate, has a notional amount, requires no or little initial investment and can be net settled.</w:t>
      </w:r>
    </w:p>
    <w:p>
      <w:pPr>
        <w:spacing w:after="0" w:line="140" w:lineRule="exact"/>
        <w:rPr>
          <w:rFonts w:ascii="Courier New" w:cs="Courier New" w:eastAsia="Courier New" w:hAnsi="Courier New"/>
          <w:sz w:val="12"/>
          <w:szCs w:val="12"/>
          <w:color w:val="auto"/>
        </w:rPr>
      </w:pPr>
    </w:p>
    <w:p>
      <w:pPr>
        <w:ind w:left="700" w:right="483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SFAS 133 requires that all derivatives be recorded in the financial statements at their fair value at the date of the financial statements. The changes in the fair value of the derivatives are charged to the statement of operations unless designated as hedging item in a cash flows hedge at which time changes are classified in other comprehensive income, to the extent effective.</w:t>
      </w:r>
    </w:p>
    <w:p>
      <w:pPr>
        <w:spacing w:after="0" w:line="129"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from time to time, enters into agreements to hedge variable interest rate exposure on long-term loans. The Company uses interest rate collar agreements with a knock-out and knock-in features to hedge its LIBOR-based variable long-term debt cash flow exposure. The knock-out feature was set above the cap level and the knock-in feature was set below the floor level. The Company determined that the probability that the cap will be knocked-out is remote and thus expected that the hedge will be highly effective. The Company assessed and measured the effectiveness of the hedge, at inception and throughout the hedge, based on total changes in cash flows of the collar, and reported changes in fair value in other comprehensive income. Amounts presented in other comprehensive income are reclassified to operations or capitalized to property and equipment, as applicable, as interest payment become due.</w:t>
      </w:r>
    </w:p>
    <w:p>
      <w:pPr>
        <w:spacing w:after="0" w:line="139"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2007 and 2006, the Company had outstanding agreements to hedge interest rate exposure on loans drawn down under the Facility Agreement, the aggregate amount of which was $80,000 and $207,000 respectively, all of which is attributable to Fab 2. These agreements resulted in 2007 and 2006 in a gain of $1,074 and $880, respectively and in 2005 in a loss of $1,756</w:t>
      </w:r>
    </w:p>
    <w:p>
      <w:pPr>
        <w:spacing w:after="0" w:line="140" w:lineRule="exact"/>
        <w:rPr>
          <w:rFonts w:ascii="Courier New" w:cs="Courier New" w:eastAsia="Courier New" w:hAnsi="Courier New"/>
          <w:sz w:val="12"/>
          <w:szCs w:val="12"/>
          <w:color w:val="auto"/>
        </w:rPr>
      </w:pPr>
    </w:p>
    <w:p>
      <w:pPr>
        <w:ind w:left="700" w:right="483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does not hold or issue derivative financial instruments for non-hedging purposes.</w:t>
      </w:r>
    </w:p>
    <w:p>
      <w:pPr>
        <w:spacing w:after="0" w:line="139"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Financial instruments that potentially subject the Company to concentrations of credit risk consist principally of cash and cash equivalents, short-term bank deposits, trade receivables and government agencies receivables. The Company's cash, cash equivalents are maintained with high-quality banks, and the composition and maturities of investments are regularly monitored by management. Generally, these securities may be redeemed upon demand and bear minimal risk.</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FINANCIAL INSTRUMENTS AND FAIR VALUE MEASURMENTS (CONT.)</w:t>
      </w:r>
    </w:p>
    <w:p>
      <w:pPr>
        <w:sectPr>
          <w:pgSz w:w="11900" w:h="16838" w:orient="portrait"/>
          <w:cols w:equalWidth="0" w:num="1">
            <w:col w:w="10239"/>
          </w:cols>
          <w:pgMar w:left="220" w:top="141" w:right="1440" w:bottom="0" w:gutter="0" w:footer="0" w:header="0"/>
        </w:sectPr>
      </w:pPr>
    </w:p>
    <w:bookmarkStart w:id="61" w:name="page62"/>
    <w:bookmarkEnd w:id="61"/>
    <w:p>
      <w:pPr>
        <w:ind w:left="700" w:hanging="357"/>
        <w:spacing w:after="0"/>
        <w:tabs>
          <w:tab w:leader="none" w:pos="700"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CONCENTRATION OF CREDIT RISKS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generally does not require collateral; however, in certain circumstances, the Company maintains a credit insurance policy or may require letters of credit. An allowance for doubtful accounts is determined with respect to those amounts that the Company has determined to be doubtful of collection. The Company performs ongoing credit evaluations of its customers.</w:t>
      </w:r>
    </w:p>
    <w:p>
      <w:pPr>
        <w:spacing w:after="0" w:line="140" w:lineRule="exact"/>
        <w:rPr>
          <w:rFonts w:ascii="Courier New" w:cs="Courier New" w:eastAsia="Courier New" w:hAnsi="Courier New"/>
          <w:sz w:val="12"/>
          <w:szCs w:val="12"/>
          <w:color w:val="auto"/>
        </w:rPr>
      </w:pPr>
    </w:p>
    <w:p>
      <w:pPr>
        <w:ind w:left="700" w:right="483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is exposed to credit-related losses in respect of derivative financial instruments in a manner similar to the credit risk involved in the realization or collection of other types of assets. In management's estimation, due to the fact that derivative financial instrument transactions are entered into solely with financial institution counterparties, it is not expected that such counterparties will fail to meet their obligations.</w:t>
      </w:r>
    </w:p>
    <w:p>
      <w:pPr>
        <w:spacing w:after="0" w:line="12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FAIR VALUE OF FINANCIAL INSTRUMENTS</w:t>
      </w:r>
    </w:p>
    <w:p>
      <w:pPr>
        <w:spacing w:after="0" w:line="138" w:lineRule="exact"/>
        <w:rPr>
          <w:rFonts w:ascii="Courier New" w:cs="Courier New" w:eastAsia="Courier New" w:hAnsi="Courier New"/>
          <w:sz w:val="12"/>
          <w:szCs w:val="12"/>
          <w:color w:val="auto"/>
        </w:rPr>
      </w:pPr>
    </w:p>
    <w:p>
      <w:pPr>
        <w:ind w:left="700" w:right="469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estimated fair values of the Company's financial instruments, excluding the Company's long-term debentures do not materially differ from their respective carrying amounts as of December 31, 2007 and 2006. The fair value of the interest rate hedging transactions as of December 31, 2007, 2006 and 2005 would have resulted in an unrealized capitalizable gain of $295, $1,790 and $1,767, respectively. The fair values of debentures as of December 31, 2007, 2006 and 2005 were $157,683, $126,048 and $22,750, respectively, based on quoted market prices for the respective dates.</w:t>
      </w:r>
    </w:p>
    <w:p>
      <w:pPr>
        <w:spacing w:after="0" w:line="127"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FAIR VALUE MEASUREMENTS</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decided to early adopt the provisions of SFAS No. 157 effective January 1, 2007, concurrent with the adoption of FASB 159 "The Fair Value Option for Financial Assets and Financial Liabilities" (SFAS No. 159)</w:t>
      </w:r>
    </w:p>
    <w:p>
      <w:pPr>
        <w:spacing w:after="0" w:line="136" w:lineRule="exact"/>
        <w:rPr>
          <w:rFonts w:ascii="Courier New" w:cs="Courier New" w:eastAsia="Courier New" w:hAnsi="Courier New"/>
          <w:sz w:val="12"/>
          <w:szCs w:val="12"/>
          <w:color w:val="auto"/>
        </w:rPr>
      </w:pPr>
    </w:p>
    <w:p>
      <w:pPr>
        <w:ind w:left="70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The income approach was applied using a present value technique.</w:t>
      </w:r>
    </w:p>
    <w:p>
      <w:pPr>
        <w:spacing w:after="0" w:line="138" w:lineRule="exact"/>
        <w:rPr>
          <w:rFonts w:ascii="Courier New" w:cs="Courier New" w:eastAsia="Courier New" w:hAnsi="Courier New"/>
          <w:sz w:val="12"/>
          <w:szCs w:val="12"/>
          <w:color w:val="auto"/>
        </w:rPr>
      </w:pPr>
    </w:p>
    <w:p>
      <w:pPr>
        <w:ind w:left="70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Loans - The cash flows used in that technique reflect the income stream expected to be used to satisfy the obligation over its economic life.</w:t>
      </w:r>
    </w:p>
    <w:p>
      <w:pPr>
        <w:spacing w:after="0" w:line="139" w:lineRule="exact"/>
        <w:rPr>
          <w:rFonts w:ascii="Courier New" w:cs="Courier New" w:eastAsia="Courier New" w:hAnsi="Courier New"/>
          <w:sz w:val="12"/>
          <w:szCs w:val="12"/>
          <w:color w:val="auto"/>
        </w:rPr>
      </w:pPr>
    </w:p>
    <w:p>
      <w:pPr>
        <w:ind w:left="700" w:right="497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Embedded Derivatives - the Company utilized the Black Scholes Merton formula.</w:t>
      </w:r>
    </w:p>
    <w:p>
      <w:pPr>
        <w:spacing w:after="0" w:line="139" w:lineRule="exact"/>
        <w:rPr>
          <w:rFonts w:ascii="Courier New" w:cs="Courier New" w:eastAsia="Courier New" w:hAnsi="Courier New"/>
          <w:sz w:val="12"/>
          <w:szCs w:val="12"/>
          <w:color w:val="auto"/>
        </w:rPr>
      </w:pPr>
    </w:p>
    <w:p>
      <w:pPr>
        <w:ind w:left="700" w:right="517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Over the Counter derivatives - the Company used the market approach using quotation from dealer markets.</w:t>
      </w:r>
    </w:p>
    <w:p>
      <w:pPr>
        <w:spacing w:after="0" w:line="139"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convertible debentures series E - The market approach was applied using quoted prices for the same debentures.</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11 - FINANCIAL INSTRUMENTS AND FAIR VALUE MEASURMENTS (CONT.)</w:t>
      </w:r>
    </w:p>
    <w:p>
      <w:pPr>
        <w:spacing w:after="0" w:line="139" w:lineRule="exact"/>
        <w:rPr>
          <w:sz w:val="20"/>
          <w:szCs w:val="20"/>
          <w:color w:val="auto"/>
        </w:rPr>
      </w:pPr>
    </w:p>
    <w:p>
      <w:pPr>
        <w:ind w:left="340" w:right="7079" w:firstLine="3"/>
        <w:spacing w:after="0" w:line="520" w:lineRule="auto"/>
        <w:tabs>
          <w:tab w:leader="none" w:pos="691" w:val="left"/>
        </w:tabs>
        <w:numPr>
          <w:ilvl w:val="0"/>
          <w:numId w:val="56"/>
        </w:numPr>
        <w:rPr>
          <w:rFonts w:ascii="Courier New" w:cs="Courier New" w:eastAsia="Courier New" w:hAnsi="Courier New"/>
          <w:sz w:val="11"/>
          <w:szCs w:val="11"/>
          <w:color w:val="auto"/>
        </w:rPr>
      </w:pPr>
      <w:r>
        <w:rPr>
          <w:rFonts w:ascii="Courier New" w:cs="Courier New" w:eastAsia="Courier New" w:hAnsi="Courier New"/>
          <w:sz w:val="11"/>
          <w:szCs w:val="11"/>
          <w:color w:val="auto"/>
        </w:rPr>
        <w:t>FAIR VALUE MEASUREMENTS (CONT.) Recurring Fair Value Measurements Using:</w:t>
      </w:r>
    </w:p>
    <w:p>
      <w:pPr>
        <w:ind w:left="3580"/>
        <w:spacing w:after="0" w:line="233" w:lineRule="auto"/>
        <w:rPr>
          <w:sz w:val="20"/>
          <w:szCs w:val="20"/>
          <w:color w:val="auto"/>
        </w:rPr>
      </w:pPr>
      <w:r>
        <w:rPr>
          <w:rFonts w:ascii="Courier New" w:cs="Courier New" w:eastAsia="Courier New" w:hAnsi="Courier New"/>
          <w:sz w:val="12"/>
          <w:szCs w:val="12"/>
          <w:color w:val="auto"/>
        </w:rPr>
        <w:t>Quoted prices</w:t>
      </w:r>
    </w:p>
    <w:p>
      <w:pPr>
        <w:ind w:left="3640"/>
        <w:spacing w:after="0"/>
        <w:tabs>
          <w:tab w:leader="none" w:pos="4740" w:val="left"/>
        </w:tabs>
        <w:rPr>
          <w:sz w:val="20"/>
          <w:szCs w:val="20"/>
          <w:color w:val="auto"/>
        </w:rPr>
      </w:pPr>
      <w:r>
        <w:rPr>
          <w:rFonts w:ascii="Courier New" w:cs="Courier New" w:eastAsia="Courier New" w:hAnsi="Courier New"/>
          <w:sz w:val="12"/>
          <w:szCs w:val="12"/>
          <w:color w:val="auto"/>
        </w:rPr>
        <w:t>in active</w:t>
      </w:r>
      <w:r>
        <w:rPr>
          <w:sz w:val="20"/>
          <w:szCs w:val="20"/>
          <w:color w:val="auto"/>
        </w:rPr>
        <w:tab/>
      </w:r>
      <w:r>
        <w:rPr>
          <w:rFonts w:ascii="Courier New" w:cs="Courier New" w:eastAsia="Courier New" w:hAnsi="Courier New"/>
          <w:sz w:val="11"/>
          <w:szCs w:val="11"/>
          <w:color w:val="auto"/>
        </w:rPr>
        <w:t>Significant</w:t>
      </w:r>
    </w:p>
    <w:p>
      <w:pPr>
        <w:ind w:left="3640"/>
        <w:spacing w:after="0"/>
        <w:tabs>
          <w:tab w:leader="none" w:pos="4960" w:val="left"/>
        </w:tabs>
        <w:rPr>
          <w:sz w:val="20"/>
          <w:szCs w:val="20"/>
          <w:color w:val="auto"/>
        </w:rPr>
      </w:pPr>
      <w:r>
        <w:rPr>
          <w:rFonts w:ascii="Courier New" w:cs="Courier New" w:eastAsia="Courier New" w:hAnsi="Courier New"/>
          <w:sz w:val="12"/>
          <w:szCs w:val="12"/>
          <w:color w:val="auto"/>
        </w:rPr>
        <w:t>market for</w:t>
      </w:r>
      <w:r>
        <w:rPr>
          <w:sz w:val="20"/>
          <w:szCs w:val="20"/>
          <w:color w:val="auto"/>
        </w:rPr>
        <w:tab/>
      </w:r>
      <w:r>
        <w:rPr>
          <w:rFonts w:ascii="Courier New" w:cs="Courier New" w:eastAsia="Courier New" w:hAnsi="Courier New"/>
          <w:sz w:val="11"/>
          <w:szCs w:val="11"/>
          <w:color w:val="auto"/>
        </w:rPr>
        <w:t>other</w:t>
      </w:r>
    </w:p>
    <w:p>
      <w:pPr>
        <w:ind w:left="3720"/>
        <w:spacing w:after="0"/>
        <w:tabs>
          <w:tab w:leader="none" w:pos="4740" w:val="left"/>
          <w:tab w:leader="none" w:pos="5880" w:val="left"/>
        </w:tabs>
        <w:rPr>
          <w:sz w:val="20"/>
          <w:szCs w:val="20"/>
          <w:color w:val="auto"/>
        </w:rPr>
      </w:pPr>
      <w:r>
        <w:rPr>
          <w:rFonts w:ascii="Courier New" w:cs="Courier New" w:eastAsia="Courier New" w:hAnsi="Courier New"/>
          <w:sz w:val="12"/>
          <w:szCs w:val="12"/>
          <w:color w:val="auto"/>
        </w:rPr>
        <w:t>identical</w:t>
      </w:r>
      <w:r>
        <w:rPr>
          <w:sz w:val="20"/>
          <w:szCs w:val="20"/>
          <w:color w:val="auto"/>
        </w:rPr>
        <w:tab/>
      </w:r>
      <w:r>
        <w:rPr>
          <w:rFonts w:ascii="Courier New" w:cs="Courier New" w:eastAsia="Courier New" w:hAnsi="Courier New"/>
          <w:sz w:val="12"/>
          <w:szCs w:val="12"/>
          <w:color w:val="auto"/>
        </w:rPr>
        <w:t>observable</w:t>
      </w:r>
      <w:r>
        <w:rPr>
          <w:sz w:val="20"/>
          <w:szCs w:val="20"/>
          <w:color w:val="auto"/>
        </w:rPr>
        <w:tab/>
      </w:r>
      <w:r>
        <w:rPr>
          <w:rFonts w:ascii="Courier New" w:cs="Courier New" w:eastAsia="Courier New" w:hAnsi="Courier New"/>
          <w:sz w:val="11"/>
          <w:szCs w:val="11"/>
          <w:color w:val="auto"/>
        </w:rPr>
        <w:t>Significant</w:t>
      </w:r>
    </w:p>
    <w:p>
      <w:pPr>
        <w:ind w:left="2600"/>
        <w:spacing w:after="0"/>
        <w:tabs>
          <w:tab w:leader="none" w:pos="3620" w:val="left"/>
          <w:tab w:leader="none" w:pos="4880" w:val="left"/>
          <w:tab w:leader="none" w:pos="5880" w:val="left"/>
        </w:tabs>
        <w:rPr>
          <w:sz w:val="20"/>
          <w:szCs w:val="20"/>
          <w:color w:val="auto"/>
        </w:rPr>
      </w:pPr>
      <w:r>
        <w:rPr>
          <w:rFonts w:ascii="Courier New" w:cs="Courier New" w:eastAsia="Courier New" w:hAnsi="Courier New"/>
          <w:sz w:val="12"/>
          <w:szCs w:val="12"/>
          <w:color w:val="auto"/>
        </w:rPr>
        <w:t>December 31,</w:t>
        <w:tab/>
        <w:t>liability</w:t>
      </w:r>
      <w:r>
        <w:rPr>
          <w:sz w:val="20"/>
          <w:szCs w:val="20"/>
          <w:color w:val="auto"/>
        </w:rPr>
        <w:tab/>
      </w:r>
      <w:r>
        <w:rPr>
          <w:rFonts w:ascii="Courier New" w:cs="Courier New" w:eastAsia="Courier New" w:hAnsi="Courier New"/>
          <w:sz w:val="12"/>
          <w:szCs w:val="12"/>
          <w:color w:val="auto"/>
        </w:rPr>
        <w:t>Inputs</w:t>
      </w:r>
      <w:r>
        <w:rPr>
          <w:sz w:val="20"/>
          <w:szCs w:val="20"/>
          <w:color w:val="auto"/>
        </w:rPr>
        <w:tab/>
      </w:r>
      <w:r>
        <w:rPr>
          <w:rFonts w:ascii="Courier New" w:cs="Courier New" w:eastAsia="Courier New" w:hAnsi="Courier New"/>
          <w:sz w:val="11"/>
          <w:szCs w:val="11"/>
          <w:color w:val="auto"/>
        </w:rPr>
        <w:t>Unobservable</w:t>
      </w:r>
    </w:p>
    <w:p>
      <w:pPr>
        <w:ind w:left="2800"/>
        <w:spacing w:after="0"/>
        <w:tabs>
          <w:tab w:leader="none" w:pos="3700" w:val="left"/>
          <w:tab w:leader="none" w:pos="4740" w:val="left"/>
          <w:tab w:leader="none" w:pos="5740" w:val="left"/>
        </w:tabs>
        <w:rPr>
          <w:sz w:val="20"/>
          <w:szCs w:val="20"/>
          <w:color w:val="auto"/>
        </w:rPr>
      </w:pPr>
      <w:r>
        <w:rPr>
          <w:rFonts w:ascii="Courier New" w:cs="Courier New" w:eastAsia="Courier New" w:hAnsi="Courier New"/>
          <w:sz w:val="12"/>
          <w:szCs w:val="12"/>
          <w:color w:val="auto"/>
        </w:rPr>
        <w:t>2007</w:t>
      </w:r>
      <w:r>
        <w:rPr>
          <w:sz w:val="20"/>
          <w:szCs w:val="20"/>
          <w:color w:val="auto"/>
        </w:rPr>
        <w:tab/>
      </w:r>
      <w:r>
        <w:rPr>
          <w:rFonts w:ascii="Courier New" w:cs="Courier New" w:eastAsia="Courier New" w:hAnsi="Courier New"/>
          <w:sz w:val="12"/>
          <w:szCs w:val="12"/>
          <w:color w:val="auto"/>
        </w:rPr>
        <w:t>(Level 1)</w:t>
      </w:r>
      <w:r>
        <w:rPr>
          <w:sz w:val="20"/>
          <w:szCs w:val="20"/>
          <w:color w:val="auto"/>
        </w:rPr>
        <w:tab/>
      </w:r>
      <w:r>
        <w:rPr>
          <w:rFonts w:ascii="Courier New" w:cs="Courier New" w:eastAsia="Courier New" w:hAnsi="Courier New"/>
          <w:sz w:val="12"/>
          <w:szCs w:val="12"/>
          <w:color w:val="auto"/>
        </w:rPr>
        <w:t>(Level 2)</w:t>
      </w:r>
      <w:r>
        <w:rPr>
          <w:sz w:val="20"/>
          <w:szCs w:val="20"/>
          <w:color w:val="auto"/>
        </w:rPr>
        <w:tab/>
      </w:r>
      <w:r>
        <w:rPr>
          <w:rFonts w:ascii="Courier New" w:cs="Courier New" w:eastAsia="Courier New" w:hAnsi="Courier New"/>
          <w:sz w:val="11"/>
          <w:szCs w:val="11"/>
          <w:color w:val="auto"/>
        </w:rPr>
        <w:t>Inputs (Level 3)</w:t>
      </w:r>
    </w:p>
    <w:p>
      <w:pPr>
        <w:ind w:left="2660"/>
        <w:spacing w:after="0"/>
        <w:tabs>
          <w:tab w:leader="none" w:pos="3700" w:val="left"/>
          <w:tab w:leader="none" w:pos="4820" w:val="left"/>
          <w:tab w:leader="none" w:pos="59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Trading securities - convertible</w:t>
      </w:r>
    </w:p>
    <w:p>
      <w:pPr>
        <w:spacing w:after="0"/>
        <w:tabs>
          <w:tab w:leader="none" w:pos="2640" w:val="left"/>
          <w:tab w:leader="none" w:pos="2860" w:val="left"/>
          <w:tab w:leader="none" w:pos="3700" w:val="left"/>
          <w:tab w:leader="none" w:pos="3900" w:val="left"/>
          <w:tab w:leader="none" w:pos="4820" w:val="left"/>
          <w:tab w:leader="none" w:pos="5320" w:val="left"/>
          <w:tab w:leader="none" w:pos="5940" w:val="left"/>
          <w:tab w:leader="none" w:pos="6440" w:val="left"/>
        </w:tabs>
        <w:rPr>
          <w:sz w:val="20"/>
          <w:szCs w:val="20"/>
          <w:color w:val="auto"/>
        </w:rPr>
      </w:pPr>
      <w:r>
        <w:rPr>
          <w:rFonts w:ascii="Courier New" w:cs="Courier New" w:eastAsia="Courier New" w:hAnsi="Courier New"/>
          <w:sz w:val="12"/>
          <w:szCs w:val="12"/>
          <w:color w:val="auto"/>
        </w:rPr>
        <w:t>debentures series E</w:t>
      </w:r>
      <w:r>
        <w:rPr>
          <w:sz w:val="20"/>
          <w:szCs w:val="20"/>
          <w:color w:val="auto"/>
        </w:rPr>
        <w:tab/>
      </w:r>
      <w:r>
        <w:rPr>
          <w:rFonts w:ascii="Courier New" w:cs="Courier New" w:eastAsia="Courier New" w:hAnsi="Courier New"/>
          <w:sz w:val="12"/>
          <w:szCs w:val="12"/>
          <w:color w:val="auto"/>
        </w:rPr>
        <w:t>$</w:t>
        <w:tab/>
        <w:t>28,484</w:t>
      </w:r>
      <w:r>
        <w:rPr>
          <w:sz w:val="20"/>
          <w:szCs w:val="20"/>
          <w:color w:val="auto"/>
        </w:rPr>
        <w:tab/>
      </w:r>
      <w:r>
        <w:rPr>
          <w:rFonts w:ascii="Courier New" w:cs="Courier New" w:eastAsia="Courier New" w:hAnsi="Courier New"/>
          <w:sz w:val="12"/>
          <w:szCs w:val="12"/>
          <w:color w:val="auto"/>
        </w:rPr>
        <w:t>$</w:t>
        <w:tab/>
        <w:t>28,484</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spacing w:after="0"/>
        <w:tabs>
          <w:tab w:leader="none" w:pos="2780" w:val="left"/>
          <w:tab w:leader="none" w:pos="4180" w:val="left"/>
          <w:tab w:leader="none" w:pos="5320" w:val="left"/>
          <w:tab w:leader="none" w:pos="6080" w:val="left"/>
        </w:tabs>
        <w:rPr>
          <w:sz w:val="20"/>
          <w:szCs w:val="20"/>
          <w:color w:val="auto"/>
        </w:rPr>
      </w:pPr>
      <w:r>
        <w:rPr>
          <w:rFonts w:ascii="Courier New" w:cs="Courier New" w:eastAsia="Courier New" w:hAnsi="Courier New"/>
          <w:sz w:val="12"/>
          <w:szCs w:val="12"/>
          <w:color w:val="auto"/>
        </w:rPr>
        <w:t>Long-term debt</w:t>
      </w:r>
      <w:r>
        <w:rPr>
          <w:sz w:val="20"/>
          <w:szCs w:val="20"/>
          <w:color w:val="auto"/>
        </w:rPr>
        <w:tab/>
      </w:r>
      <w:r>
        <w:rPr>
          <w:rFonts w:ascii="Courier New" w:cs="Courier New" w:eastAsia="Courier New" w:hAnsi="Courier New"/>
          <w:sz w:val="12"/>
          <w:szCs w:val="12"/>
          <w:color w:val="auto"/>
        </w:rPr>
        <w:t>365,563</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365,563</w:t>
      </w:r>
    </w:p>
    <w:p>
      <w:pPr>
        <w:spacing w:after="0"/>
        <w:tabs>
          <w:tab w:leader="none" w:pos="2920" w:val="left"/>
          <w:tab w:leader="none" w:pos="4180" w:val="left"/>
          <w:tab w:leader="none" w:pos="5180" w:val="left"/>
          <w:tab w:leader="none" w:pos="6220" w:val="left"/>
        </w:tabs>
        <w:rPr>
          <w:sz w:val="20"/>
          <w:szCs w:val="20"/>
          <w:color w:val="auto"/>
        </w:rPr>
      </w:pPr>
      <w:r>
        <w:rPr>
          <w:rFonts w:ascii="Courier New" w:cs="Courier New" w:eastAsia="Courier New" w:hAnsi="Courier New"/>
          <w:sz w:val="12"/>
          <w:szCs w:val="12"/>
          <w:color w:val="auto"/>
        </w:rPr>
        <w:t>Derivatives</w:t>
      </w:r>
      <w:r>
        <w:rPr>
          <w:sz w:val="20"/>
          <w:szCs w:val="20"/>
          <w:color w:val="auto"/>
        </w:rPr>
        <w:tab/>
      </w:r>
      <w:r>
        <w:rPr>
          <w:rFonts w:ascii="Courier New" w:cs="Courier New" w:eastAsia="Courier New" w:hAnsi="Courier New"/>
          <w:sz w:val="12"/>
          <w:szCs w:val="12"/>
          <w:color w:val="auto"/>
        </w:rPr>
        <w:t>7,018</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(295)</w:t>
      </w:r>
      <w:r>
        <w:rPr>
          <w:sz w:val="20"/>
          <w:szCs w:val="20"/>
          <w:color w:val="auto"/>
        </w:rPr>
        <w:tab/>
      </w:r>
      <w:r>
        <w:rPr>
          <w:rFonts w:ascii="Courier New" w:cs="Courier New" w:eastAsia="Courier New" w:hAnsi="Courier New"/>
          <w:sz w:val="11"/>
          <w:szCs w:val="11"/>
          <w:color w:val="auto"/>
        </w:rPr>
        <w:t>7,313</w:t>
      </w:r>
    </w:p>
    <w:p>
      <w:pPr>
        <w:ind w:left="2660"/>
        <w:spacing w:after="0"/>
        <w:tabs>
          <w:tab w:leader="none" w:pos="3700" w:val="left"/>
          <w:tab w:leader="none" w:pos="4820" w:val="left"/>
          <w:tab w:leader="none" w:pos="59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ind w:left="2660"/>
        <w:spacing w:after="0"/>
        <w:tabs>
          <w:tab w:leader="none" w:pos="3700" w:val="left"/>
          <w:tab w:leader="none" w:pos="3900" w:val="left"/>
          <w:tab w:leader="none" w:pos="4820" w:val="left"/>
          <w:tab w:leader="none" w:pos="5180" w:val="left"/>
          <w:tab w:leader="none" w:pos="5940" w:val="left"/>
        </w:tabs>
        <w:rPr>
          <w:sz w:val="20"/>
          <w:szCs w:val="20"/>
          <w:color w:val="auto"/>
        </w:rPr>
      </w:pPr>
      <w:r>
        <w:rPr>
          <w:rFonts w:ascii="Courier New" w:cs="Courier New" w:eastAsia="Courier New" w:hAnsi="Courier New"/>
          <w:sz w:val="12"/>
          <w:szCs w:val="12"/>
          <w:color w:val="auto"/>
        </w:rPr>
        <w:t>$ 401,065</w:t>
      </w:r>
      <w:r>
        <w:rPr>
          <w:sz w:val="20"/>
          <w:szCs w:val="20"/>
          <w:color w:val="auto"/>
        </w:rPr>
        <w:tab/>
      </w:r>
      <w:r>
        <w:rPr>
          <w:rFonts w:ascii="Courier New" w:cs="Courier New" w:eastAsia="Courier New" w:hAnsi="Courier New"/>
          <w:sz w:val="12"/>
          <w:szCs w:val="12"/>
          <w:color w:val="auto"/>
        </w:rPr>
        <w:t>$</w:t>
        <w:tab/>
        <w:t>28,484</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(295)</w:t>
      </w:r>
      <w:r>
        <w:rPr>
          <w:sz w:val="20"/>
          <w:szCs w:val="20"/>
          <w:color w:val="auto"/>
        </w:rPr>
        <w:tab/>
      </w:r>
      <w:r>
        <w:rPr>
          <w:rFonts w:ascii="Courier New" w:cs="Courier New" w:eastAsia="Courier New" w:hAnsi="Courier New"/>
          <w:sz w:val="11"/>
          <w:szCs w:val="11"/>
          <w:color w:val="auto"/>
        </w:rPr>
        <w:t>$ 372,876</w:t>
      </w:r>
    </w:p>
    <w:p>
      <w:pPr>
        <w:ind w:left="2660"/>
        <w:spacing w:after="0"/>
        <w:tabs>
          <w:tab w:leader="none" w:pos="3700" w:val="left"/>
          <w:tab w:leader="none" w:pos="4820" w:val="left"/>
          <w:tab w:leader="none" w:pos="59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Asset Measurement on a Recurring Basis Using Significant Unobservable</w:t>
      </w:r>
    </w:p>
    <w:p>
      <w:pPr>
        <w:ind w:left="340"/>
        <w:spacing w:after="0"/>
        <w:rPr>
          <w:sz w:val="20"/>
          <w:szCs w:val="20"/>
          <w:color w:val="auto"/>
        </w:rPr>
      </w:pPr>
      <w:r>
        <w:rPr>
          <w:rFonts w:ascii="Courier New" w:cs="Courier New" w:eastAsia="Courier New" w:hAnsi="Courier New"/>
          <w:sz w:val="12"/>
          <w:szCs w:val="12"/>
          <w:color w:val="auto"/>
        </w:rPr>
        <w:t>Inputs (Level 3):</w:t>
      </w:r>
    </w:p>
    <w:p>
      <w:pPr>
        <w:spacing w:after="0" w:line="133" w:lineRule="exact"/>
        <w:rPr>
          <w:sz w:val="20"/>
          <w:szCs w:val="20"/>
          <w:color w:val="auto"/>
        </w:rPr>
      </w:pPr>
    </w:p>
    <w:p>
      <w:pPr>
        <w:jc w:val="right"/>
        <w:ind w:right="3079"/>
        <w:spacing w:after="0"/>
        <w:tabs>
          <w:tab w:leader="none" w:pos="760" w:val="left"/>
        </w:tabs>
        <w:rPr>
          <w:sz w:val="20"/>
          <w:szCs w:val="20"/>
          <w:color w:val="auto"/>
        </w:rPr>
      </w:pPr>
      <w:r>
        <w:rPr>
          <w:rFonts w:ascii="Courier New" w:cs="Courier New" w:eastAsia="Courier New" w:hAnsi="Courier New"/>
          <w:sz w:val="12"/>
          <w:szCs w:val="12"/>
          <w:color w:val="auto"/>
        </w:rPr>
        <w:t>Long-term debt</w:t>
      </w:r>
      <w:r>
        <w:rPr>
          <w:sz w:val="20"/>
          <w:szCs w:val="20"/>
          <w:color w:val="auto"/>
        </w:rPr>
        <w:tab/>
      </w:r>
      <w:r>
        <w:rPr>
          <w:rFonts w:ascii="Courier New" w:cs="Courier New" w:eastAsia="Courier New" w:hAnsi="Courier New"/>
          <w:sz w:val="11"/>
          <w:szCs w:val="11"/>
          <w:color w:val="auto"/>
        </w:rPr>
        <w:t>Derivatives</w:t>
      </w:r>
    </w:p>
    <w:p>
      <w:pPr>
        <w:ind w:left="5340"/>
        <w:spacing w:after="0"/>
        <w:tabs>
          <w:tab w:leader="none" w:pos="64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133" w:lineRule="exact"/>
        <w:rPr>
          <w:sz w:val="20"/>
          <w:szCs w:val="20"/>
          <w:color w:val="auto"/>
        </w:rPr>
      </w:pPr>
    </w:p>
    <w:p>
      <w:pPr>
        <w:spacing w:after="0"/>
        <w:tabs>
          <w:tab w:leader="none" w:pos="5320" w:val="left"/>
          <w:tab w:leader="none" w:pos="6440" w:val="left"/>
          <w:tab w:leader="none" w:pos="6640" w:val="left"/>
        </w:tabs>
        <w:rPr>
          <w:sz w:val="20"/>
          <w:szCs w:val="20"/>
          <w:color w:val="auto"/>
        </w:rPr>
      </w:pPr>
      <w:r>
        <w:rPr>
          <w:rFonts w:ascii="Courier New" w:cs="Courier New" w:eastAsia="Courier New" w:hAnsi="Courier New"/>
          <w:sz w:val="12"/>
          <w:szCs w:val="12"/>
          <w:color w:val="auto"/>
        </w:rPr>
        <w:t>As of January 1, 2007- at fair value</w:t>
      </w:r>
      <w:r>
        <w:rPr>
          <w:sz w:val="20"/>
          <w:szCs w:val="20"/>
          <w:color w:val="auto"/>
        </w:rPr>
        <w:tab/>
      </w:r>
      <w:r>
        <w:rPr>
          <w:rFonts w:ascii="Courier New" w:cs="Courier New" w:eastAsia="Courier New" w:hAnsi="Courier New"/>
          <w:sz w:val="12"/>
          <w:szCs w:val="12"/>
          <w:color w:val="auto"/>
        </w:rPr>
        <w:t>$ 367,223</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11,513</w:t>
      </w:r>
    </w:p>
    <w:p>
      <w:pPr>
        <w:spacing w:after="0"/>
        <w:tabs>
          <w:tab w:leader="none" w:pos="5520" w:val="left"/>
          <w:tab w:leader="none" w:pos="6640" w:val="left"/>
        </w:tabs>
        <w:rPr>
          <w:sz w:val="20"/>
          <w:szCs w:val="20"/>
          <w:color w:val="auto"/>
        </w:rPr>
      </w:pPr>
      <w:r>
        <w:rPr>
          <w:rFonts w:ascii="Courier New" w:cs="Courier New" w:eastAsia="Courier New" w:hAnsi="Courier New"/>
          <w:sz w:val="12"/>
          <w:szCs w:val="12"/>
          <w:color w:val="auto"/>
        </w:rPr>
        <w:t>Total gains unrealized in earnings</w:t>
      </w:r>
      <w:r>
        <w:rPr>
          <w:sz w:val="20"/>
          <w:szCs w:val="20"/>
          <w:color w:val="auto"/>
        </w:rPr>
        <w:tab/>
      </w:r>
      <w:r>
        <w:rPr>
          <w:rFonts w:ascii="Courier New" w:cs="Courier New" w:eastAsia="Courier New" w:hAnsi="Courier New"/>
          <w:sz w:val="12"/>
          <w:szCs w:val="12"/>
          <w:color w:val="auto"/>
        </w:rPr>
        <w:t>(1,660)</w:t>
      </w:r>
      <w:r>
        <w:rPr>
          <w:sz w:val="20"/>
          <w:szCs w:val="20"/>
          <w:color w:val="auto"/>
        </w:rPr>
        <w:tab/>
      </w:r>
      <w:r>
        <w:rPr>
          <w:rFonts w:ascii="Courier New" w:cs="Courier New" w:eastAsia="Courier New" w:hAnsi="Courier New"/>
          <w:sz w:val="11"/>
          <w:szCs w:val="11"/>
          <w:color w:val="auto"/>
        </w:rPr>
        <w:t>(4,200)</w:t>
      </w:r>
    </w:p>
    <w:p>
      <w:pPr>
        <w:ind w:left="5340"/>
        <w:spacing w:after="0" w:line="237" w:lineRule="auto"/>
        <w:tabs>
          <w:tab w:leader="none" w:pos="64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tabs>
          <w:tab w:leader="none" w:pos="5320" w:val="left"/>
          <w:tab w:leader="none" w:pos="6440" w:val="left"/>
          <w:tab w:leader="none" w:pos="6720" w:val="left"/>
        </w:tabs>
        <w:rPr>
          <w:sz w:val="20"/>
          <w:szCs w:val="20"/>
          <w:color w:val="auto"/>
        </w:rPr>
      </w:pPr>
      <w:r>
        <w:rPr>
          <w:rFonts w:ascii="Courier New" w:cs="Courier New" w:eastAsia="Courier New" w:hAnsi="Courier New"/>
          <w:sz w:val="12"/>
          <w:szCs w:val="12"/>
          <w:color w:val="auto"/>
        </w:rPr>
        <w:t>As of December 31, 2007 - at fair value</w:t>
      </w:r>
      <w:r>
        <w:rPr>
          <w:sz w:val="20"/>
          <w:szCs w:val="20"/>
          <w:color w:val="auto"/>
        </w:rPr>
        <w:tab/>
      </w:r>
      <w:r>
        <w:rPr>
          <w:rFonts w:ascii="Courier New" w:cs="Courier New" w:eastAsia="Courier New" w:hAnsi="Courier New"/>
          <w:sz w:val="12"/>
          <w:szCs w:val="12"/>
          <w:color w:val="auto"/>
        </w:rPr>
        <w:t>$ 365,563</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7,313</w:t>
      </w:r>
    </w:p>
    <w:p>
      <w:pPr>
        <w:ind w:left="5340"/>
        <w:spacing w:after="0" w:line="237" w:lineRule="auto"/>
        <w:tabs>
          <w:tab w:leader="none" w:pos="64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134" w:lineRule="exact"/>
        <w:rPr>
          <w:sz w:val="20"/>
          <w:szCs w:val="20"/>
          <w:color w:val="auto"/>
        </w:rPr>
      </w:pPr>
    </w:p>
    <w:p>
      <w:pPr>
        <w:spacing w:after="0"/>
        <w:tabs>
          <w:tab w:leader="none" w:pos="1160" w:val="left"/>
          <w:tab w:leader="none" w:pos="5320" w:val="left"/>
          <w:tab w:leader="none" w:pos="5520" w:val="left"/>
          <w:tab w:leader="none" w:pos="6440" w:val="left"/>
          <w:tab w:leader="none" w:pos="6640" w:val="left"/>
        </w:tabs>
        <w:rPr>
          <w:sz w:val="20"/>
          <w:szCs w:val="20"/>
          <w:color w:val="auto"/>
        </w:rPr>
      </w:pPr>
      <w:r>
        <w:rPr>
          <w:rFonts w:ascii="Courier New" w:cs="Courier New" w:eastAsia="Courier New" w:hAnsi="Courier New"/>
          <w:sz w:val="12"/>
          <w:szCs w:val="12"/>
          <w:color w:val="auto"/>
        </w:rPr>
        <w:t>Unrealized gain</w:t>
        <w:tab/>
        <w:t>in earnings from liabilities still held at period end</w:t>
      </w:r>
      <w:r>
        <w:rPr>
          <w:sz w:val="20"/>
          <w:szCs w:val="20"/>
          <w:color w:val="auto"/>
        </w:rPr>
        <w:tab/>
      </w:r>
      <w:r>
        <w:rPr>
          <w:rFonts w:ascii="Courier New" w:cs="Courier New" w:eastAsia="Courier New" w:hAnsi="Courier New"/>
          <w:sz w:val="12"/>
          <w:szCs w:val="12"/>
          <w:color w:val="auto"/>
        </w:rPr>
        <w:t>$</w:t>
        <w:tab/>
        <w:t>(1,660)</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(4,200)</w:t>
      </w:r>
    </w:p>
    <w:p>
      <w:pPr>
        <w:ind w:left="5340"/>
        <w:spacing w:after="0"/>
        <w:tabs>
          <w:tab w:leader="none" w:pos="6440" w:val="left"/>
        </w:tabs>
        <w:rPr>
          <w:sz w:val="20"/>
          <w:szCs w:val="20"/>
          <w:color w:val="auto"/>
        </w:rPr>
      </w:pP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2"/>
          <w:szCs w:val="12"/>
          <w:color w:val="auto"/>
        </w:rPr>
        <w:t>=========</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OTHER LONG-TERM LIABILITIES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660" w:type="dxa"/>
            <w:vAlign w:val="bottom"/>
          </w:tcPr>
          <w:p>
            <w:pPr>
              <w:ind w:left="340"/>
              <w:spacing w:after="0"/>
              <w:rPr>
                <w:sz w:val="20"/>
                <w:szCs w:val="20"/>
                <w:color w:val="auto"/>
              </w:rPr>
            </w:pPr>
            <w:r>
              <w:rPr>
                <w:rFonts w:ascii="Courier New" w:cs="Courier New" w:eastAsia="Courier New" w:hAnsi="Courier New"/>
                <w:sz w:val="12"/>
                <w:szCs w:val="12"/>
                <w:color w:val="auto"/>
              </w:rPr>
              <w:t>A.</w:t>
            </w:r>
          </w:p>
        </w:tc>
        <w:tc>
          <w:tcPr>
            <w:tcW w:w="4180" w:type="dxa"/>
            <w:vAlign w:val="bottom"/>
          </w:tcPr>
          <w:p>
            <w:pPr>
              <w:ind w:left="40"/>
              <w:spacing w:after="0"/>
              <w:rPr>
                <w:sz w:val="20"/>
                <w:szCs w:val="20"/>
                <w:color w:val="auto"/>
              </w:rPr>
            </w:pPr>
            <w:r>
              <w:rPr>
                <w:rFonts w:ascii="Courier New" w:cs="Courier New" w:eastAsia="Courier New" w:hAnsi="Courier New"/>
                <w:sz w:val="12"/>
                <w:szCs w:val="12"/>
                <w:color w:val="auto"/>
              </w:rPr>
              <w:t>Composition:</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270"/>
        </w:trPr>
        <w:tc>
          <w:tcPr>
            <w:tcW w:w="66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8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As of December 31,</w:t>
            </w:r>
          </w:p>
        </w:tc>
      </w:tr>
      <w:tr>
        <w:trPr>
          <w:trHeight w:val="135"/>
        </w:trPr>
        <w:tc>
          <w:tcPr>
            <w:tcW w:w="6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900" w:type="dxa"/>
            <w:vAlign w:val="bottom"/>
            <w:gridSpan w:val="4"/>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jc w:val="right"/>
              <w:ind w:right="301"/>
              <w:spacing w:after="0"/>
              <w:rPr>
                <w:sz w:val="20"/>
                <w:szCs w:val="20"/>
                <w:color w:val="auto"/>
              </w:rPr>
            </w:pPr>
            <w:r>
              <w:rPr>
                <w:rFonts w:ascii="Courier New" w:cs="Courier New" w:eastAsia="Courier New" w:hAnsi="Courier New"/>
                <w:sz w:val="12"/>
                <w:szCs w:val="12"/>
                <w:color w:val="auto"/>
                <w:w w:val="90"/>
              </w:rPr>
              <w:t>2007</w:t>
            </w:r>
          </w:p>
        </w:tc>
        <w:tc>
          <w:tcPr>
            <w:tcW w:w="340" w:type="dxa"/>
            <w:vAlign w:val="bottom"/>
          </w:tcPr>
          <w:p>
            <w:pPr>
              <w:spacing w:after="0"/>
              <w:rPr>
                <w:sz w:val="11"/>
                <w:szCs w:val="11"/>
                <w:color w:val="auto"/>
              </w:rPr>
            </w:pPr>
          </w:p>
        </w:tc>
        <w:tc>
          <w:tcPr>
            <w:tcW w:w="5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6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4840" w:type="dxa"/>
            <w:vAlign w:val="bottom"/>
            <w:gridSpan w:val="2"/>
          </w:tcPr>
          <w:p>
            <w:pPr>
              <w:spacing w:after="0"/>
              <w:rPr>
                <w:sz w:val="20"/>
                <w:szCs w:val="20"/>
                <w:color w:val="auto"/>
              </w:rPr>
            </w:pPr>
            <w:r>
              <w:rPr>
                <w:rFonts w:ascii="Courier New" w:cs="Courier New" w:eastAsia="Courier New" w:hAnsi="Courier New"/>
                <w:sz w:val="12"/>
                <w:szCs w:val="12"/>
                <w:color w:val="auto"/>
              </w:rPr>
              <w:t>Accrued Severance pay, see B below:</w:t>
            </w:r>
          </w:p>
        </w:tc>
        <w:tc>
          <w:tcPr>
            <w:tcW w:w="4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2"/>
              </w:rPr>
              <w:t>18,374</w:t>
            </w:r>
          </w:p>
        </w:tc>
        <w:tc>
          <w:tcPr>
            <w:tcW w:w="3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16,816</w:t>
            </w:r>
          </w:p>
        </w:tc>
      </w:tr>
      <w:tr>
        <w:trPr>
          <w:trHeight w:val="135"/>
        </w:trPr>
        <w:tc>
          <w:tcPr>
            <w:tcW w:w="4840" w:type="dxa"/>
            <w:vAlign w:val="bottom"/>
            <w:gridSpan w:val="2"/>
          </w:tcPr>
          <w:p>
            <w:pPr>
              <w:spacing w:after="0"/>
              <w:rPr>
                <w:sz w:val="20"/>
                <w:szCs w:val="20"/>
                <w:color w:val="auto"/>
              </w:rPr>
            </w:pPr>
            <w:r>
              <w:rPr>
                <w:rFonts w:ascii="Courier New" w:cs="Courier New" w:eastAsia="Courier New" w:hAnsi="Courier New"/>
                <w:sz w:val="12"/>
                <w:szCs w:val="12"/>
                <w:color w:val="auto"/>
              </w:rPr>
              <w:t>Long-term liabilities in respect of license agreements</w:t>
            </w:r>
          </w:p>
        </w:tc>
        <w:tc>
          <w:tcPr>
            <w:tcW w:w="42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1,804</w:t>
            </w:r>
          </w:p>
        </w:tc>
      </w:tr>
      <w:tr>
        <w:trPr>
          <w:trHeight w:val="135"/>
        </w:trPr>
        <w:tc>
          <w:tcPr>
            <w:tcW w:w="4840" w:type="dxa"/>
            <w:vAlign w:val="bottom"/>
            <w:gridSpan w:val="2"/>
          </w:tcPr>
          <w:p>
            <w:pPr>
              <w:spacing w:after="0"/>
              <w:rPr>
                <w:sz w:val="20"/>
                <w:szCs w:val="20"/>
                <w:color w:val="auto"/>
              </w:rPr>
            </w:pPr>
            <w:r>
              <w:rPr>
                <w:rFonts w:ascii="Courier New" w:cs="Courier New" w:eastAsia="Courier New" w:hAnsi="Courier New"/>
                <w:sz w:val="12"/>
                <w:szCs w:val="12"/>
                <w:color w:val="auto"/>
              </w:rPr>
              <w:t>LONG-TERM LOANS FROM RELATED PARTIES, NET OF CURRENT MATURITY, SEE</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4840" w:type="dxa"/>
            <w:vAlign w:val="bottom"/>
            <w:gridSpan w:val="2"/>
          </w:tcPr>
          <w:p>
            <w:pPr>
              <w:spacing w:after="0"/>
              <w:rPr>
                <w:sz w:val="20"/>
                <w:szCs w:val="20"/>
                <w:color w:val="auto"/>
              </w:rPr>
            </w:pPr>
            <w:r>
              <w:rPr>
                <w:rFonts w:ascii="Courier New" w:cs="Courier New" w:eastAsia="Courier New" w:hAnsi="Courier New"/>
                <w:sz w:val="12"/>
                <w:szCs w:val="12"/>
                <w:color w:val="auto"/>
              </w:rPr>
              <w:t>NOTES 9B,13A(5) AND 13D(2)</w:t>
            </w:r>
          </w:p>
        </w:tc>
        <w:tc>
          <w:tcPr>
            <w:tcW w:w="42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2"/>
              </w:rPr>
              <w:t>19,073</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8,096</w:t>
            </w:r>
          </w:p>
        </w:tc>
      </w:tr>
      <w:tr>
        <w:trPr>
          <w:trHeight w:val="135"/>
        </w:trPr>
        <w:tc>
          <w:tcPr>
            <w:tcW w:w="660" w:type="dxa"/>
            <w:vAlign w:val="bottom"/>
          </w:tcPr>
          <w:p>
            <w:pPr>
              <w:spacing w:after="0"/>
              <w:rPr>
                <w:sz w:val="20"/>
                <w:szCs w:val="20"/>
                <w:color w:val="auto"/>
              </w:rPr>
            </w:pPr>
            <w:r>
              <w:rPr>
                <w:rFonts w:ascii="Courier New" w:cs="Courier New" w:eastAsia="Courier New" w:hAnsi="Courier New"/>
                <w:sz w:val="12"/>
                <w:szCs w:val="12"/>
                <w:color w:val="auto"/>
                <w:w w:val="98"/>
              </w:rPr>
              <w:t>Other (*)</w:t>
            </w:r>
          </w:p>
        </w:tc>
        <w:tc>
          <w:tcPr>
            <w:tcW w:w="4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2,933</w:t>
            </w:r>
          </w:p>
        </w:tc>
        <w:tc>
          <w:tcPr>
            <w:tcW w:w="3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1,439</w:t>
            </w:r>
          </w:p>
        </w:tc>
      </w:tr>
      <w:tr>
        <w:trPr>
          <w:trHeight w:val="135"/>
        </w:trPr>
        <w:tc>
          <w:tcPr>
            <w:tcW w:w="6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6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4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61"/>
              <w:spacing w:after="0"/>
              <w:rPr>
                <w:sz w:val="20"/>
                <w:szCs w:val="20"/>
                <w:color w:val="auto"/>
              </w:rPr>
            </w:pPr>
            <w:r>
              <w:rPr>
                <w:rFonts w:ascii="Courier New" w:cs="Courier New" w:eastAsia="Courier New" w:hAnsi="Courier New"/>
                <w:sz w:val="12"/>
                <w:szCs w:val="12"/>
                <w:color w:val="auto"/>
                <w:w w:val="92"/>
              </w:rPr>
              <w:t>40,380</w:t>
            </w:r>
          </w:p>
        </w:tc>
        <w:tc>
          <w:tcPr>
            <w:tcW w:w="34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2"/>
                <w:szCs w:val="12"/>
                <w:color w:val="auto"/>
              </w:rPr>
              <w:t>28,155</w:t>
            </w:r>
          </w:p>
        </w:tc>
      </w:tr>
      <w:tr>
        <w:trPr>
          <w:trHeight w:val="135"/>
        </w:trPr>
        <w:tc>
          <w:tcPr>
            <w:tcW w:w="66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060" w:type="dxa"/>
            <w:vAlign w:val="bottom"/>
            <w:gridSpan w:val="2"/>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right="4979" w:hanging="357"/>
        <w:spacing w:after="0" w:line="236" w:lineRule="auto"/>
        <w:tabs>
          <w:tab w:leader="none" w:pos="700" w:val="left"/>
        </w:tabs>
        <w:numPr>
          <w:ilvl w:val="0"/>
          <w:numId w:val="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Includes $2,468 and $1,183 as of December 31, 2007 and 2006, respectively, of interest payable to related parties in regard to Series B, see also Note 10C.</w:t>
      </w:r>
    </w:p>
    <w:p>
      <w:pPr>
        <w:sectPr>
          <w:pgSz w:w="11900" w:h="16838" w:orient="portrait"/>
          <w:cols w:equalWidth="0" w:num="1">
            <w:col w:w="10239"/>
          </w:cols>
          <w:pgMar w:left="220" w:top="137" w:right="1440" w:bottom="0" w:gutter="0" w:footer="0" w:header="0"/>
        </w:sectPr>
      </w:pP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1"/>
          <w:szCs w:val="11"/>
          <w:color w:val="auto"/>
        </w:rPr>
        <w:t>F - 28</w:t>
      </w:r>
    </w:p>
    <w:p>
      <w:pPr>
        <w:sectPr>
          <w:pgSz w:w="11900" w:h="16838" w:orient="portrait"/>
          <w:cols w:equalWidth="0" w:num="1">
            <w:col w:w="10239"/>
          </w:cols>
          <w:pgMar w:left="220" w:top="137" w:right="1440" w:bottom="0" w:gutter="0" w:footer="0" w:header="0"/>
          <w:type w:val="continuous"/>
        </w:sectPr>
      </w:pPr>
    </w:p>
    <w:bookmarkStart w:id="62" w:name="page63"/>
    <w:bookmarkEnd w:id="62"/>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12 - OTHER LONG-TERM LIABILITIES (CONT.)</w:t>
      </w:r>
    </w:p>
    <w:p>
      <w:pPr>
        <w:spacing w:after="0" w:line="134" w:lineRule="exact"/>
        <w:rPr>
          <w:sz w:val="20"/>
          <w:szCs w:val="20"/>
          <w:color w:val="auto"/>
        </w:rPr>
      </w:pPr>
    </w:p>
    <w:p>
      <w:pPr>
        <w:ind w:left="700" w:hanging="357"/>
        <w:spacing w:after="0"/>
        <w:tabs>
          <w:tab w:leader="none" w:pos="700" w:val="left"/>
        </w:tabs>
        <w:numPr>
          <w:ilvl w:val="0"/>
          <w:numId w:val="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TERMINATION BENEFITS</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Israeli law and labor agreements determine the obligations of the Company to make severance payments to dismissed employees and to employees leaving employment under certain circumstances. Generally, the liability for severance pay benefits, as determined by Israeli Law, is based upon length of service and the employee's monthly salary. This liability is primarily covered by regular deposits made each month by the Company into recognized severance and pension funds and by insurance policies purchased by the Company, based on the employee's salary for the relevant month. The amounts so funded and the liability are reflected separately on the balance sheets in Long-term investments and Other Long-term Liabilities, respectively. Commencing January 1, 2005 the Company is implementing a labor agreement according to which, monthly deposits into recognized severance and pension funds or insurance policies releases it from any additional severance obligation to its employees and therefore incur no liability or asset, since that date. Any net severance pay amount as of such date will be released thereafter, as fixed amount on employee termination date. Payments relating to employee termination benefits were approximately $3,323, $2,807 and $2,631 for 2007, 2006 and 2005, respectively.</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w:t>
      </w:r>
    </w:p>
    <w:p>
      <w:pPr>
        <w:spacing w:after="0" w:line="134" w:lineRule="exact"/>
        <w:rPr>
          <w:sz w:val="20"/>
          <w:szCs w:val="20"/>
          <w:color w:val="auto"/>
        </w:rPr>
      </w:pPr>
    </w:p>
    <w:p>
      <w:pPr>
        <w:ind w:left="700" w:hanging="357"/>
        <w:spacing w:after="0"/>
        <w:tabs>
          <w:tab w:leader="none" w:pos="700" w:val="left"/>
        </w:tabs>
        <w:numPr>
          <w:ilvl w:val="0"/>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OVERVIEW</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2001, the Company's Board of Directors approved the establishment of the Company's second wafer fabrication facility in Israel ("Fab 2"). In Fab 2, the Company manufactures semiconductor integrated circuits on silicon wafers in geometries of 0.18 to 0.13 micron on 200-millimeter wafers. In connection with the establishment, equipping and financing of Fab 2, the Company has entered into several related agreements and other arrangements and has completed several public and private financing transactions. The agreements and arrangements include those with technology partners, with SanDisk Corporation, Alliance Semiconductor Corporation, Macronix International Co., Ltd. and QuickLogic Corporation (collectively, the "Wafer Partners"), Equity Investors, Banks, the Government of Israel through the Investment Center and others. The Company has also entered into agreements for the design and construction of Fab 2, for equipping Fab 2 and for the transfer to the Company of process technologies to produce wafers in Fab 2.</w:t>
      </w:r>
    </w:p>
    <w:p>
      <w:pPr>
        <w:spacing w:after="0" w:line="200" w:lineRule="exact"/>
        <w:rPr>
          <w:sz w:val="20"/>
          <w:szCs w:val="20"/>
          <w:color w:val="auto"/>
        </w:rPr>
      </w:pPr>
    </w:p>
    <w:p>
      <w:pPr>
        <w:spacing w:after="0" w:line="33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- 29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OVERVIEW (CONT.)</w:t>
      </w:r>
    </w:p>
    <w:p>
      <w:pPr>
        <w:spacing w:after="0" w:line="138" w:lineRule="exact"/>
        <w:rPr>
          <w:rFonts w:ascii="Courier New" w:cs="Courier New" w:eastAsia="Courier New" w:hAnsi="Courier New"/>
          <w:sz w:val="12"/>
          <w:szCs w:val="12"/>
          <w:color w:val="auto"/>
        </w:rPr>
      </w:pPr>
    </w:p>
    <w:p>
      <w:pPr>
        <w:ind w:left="104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2006, the board of directors of the Company approved a plan to ramp up Fab 2's capacity to approximately 24,000 wafers per month in order to help meet customer needs and product qualification needs, based on its customer pipeline and reinforced by forecasted market conditions. This plan was completed during 2007. During 2007, the Company announced an additional plan to further ramp up to reach capacity beyond 24,000 wafers per month.</w:t>
      </w:r>
    </w:p>
    <w:p>
      <w:pPr>
        <w:spacing w:after="0" w:line="128" w:lineRule="exact"/>
        <w:rPr>
          <w:rFonts w:ascii="Courier New" w:cs="Courier New" w:eastAsia="Courier New" w:hAnsi="Courier New"/>
          <w:sz w:val="12"/>
          <w:szCs w:val="12"/>
          <w:color w:val="auto"/>
        </w:rPr>
      </w:pPr>
    </w:p>
    <w:p>
      <w:pPr>
        <w:ind w:left="1040" w:right="4619"/>
        <w:spacing w:after="0" w:line="26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For details regarding the financing efforts of the ramp-up plans to reach capacity of 24,000 wafers per month and beyond, see Note 13A(4) for TIC investment of $100,000; Note 9B for Facility Agreement amendments with the Banks and for credit lines from TIC and the Banks; Notes 14J-M for public and private fund raisings.</w:t>
      </w:r>
    </w:p>
    <w:p>
      <w:pPr>
        <w:spacing w:after="0" w:line="127" w:lineRule="exact"/>
        <w:rPr>
          <w:rFonts w:ascii="Courier New" w:cs="Courier New" w:eastAsia="Courier New" w:hAnsi="Courier New"/>
          <w:sz w:val="12"/>
          <w:szCs w:val="12"/>
          <w:color w:val="auto"/>
        </w:rPr>
      </w:pPr>
    </w:p>
    <w:p>
      <w:pPr>
        <w:ind w:left="1040" w:right="497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Company continues to examine alternatives for additional funding sources in order to fund its Fab2 ramp-up.</w:t>
      </w:r>
    </w:p>
    <w:p>
      <w:pPr>
        <w:spacing w:after="0" w:line="117"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TECHNOLOGY TRANSFER AGREEMENTS</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TOSHIBA - In 2000, the Company entered into a technology transfer agreement with Toshiba Corporation ("Toshiba"), a Japanese corporation. This agreement provided for the transfer by Toshiba to the Company of advanced semiconductor manufacturing process technologies to be installed in Fab 2 including related technology transfer assistance in exchange for certain fees for patent licenses, technology transfer and technical assistance. The transfer of the technology was substantially completed during 2003. The Company's commitment under the Toshiba agreement to reserve for Toshiba a certain portion of Fab 2 wafer manufacturing capacity expired in December 2005.</w:t>
      </w:r>
    </w:p>
    <w:p>
      <w:pPr>
        <w:spacing w:after="0" w:line="130"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FREESCALE - In 2002, the Company entered into a non-exclusive technology transfer, development and licensing agreement with Freescale. This agreement provides for the transfer by Freescale to the Company of existing and newly developed versions of advanced semiconductor manufacturing process technologies to be installed in Fab 2, and for the provision by Freescale of related technology transfer assistance, in exchange for certain fees for patent and other licenses, technology transfer and development, and technical assistance. Subject to prior termination for cause by Freescale, the licenses under the agreement are perpetual.</w:t>
      </w:r>
    </w:p>
    <w:p>
      <w:pPr>
        <w:spacing w:after="0" w:line="26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ectPr>
          <w:pgSz w:w="11900" w:h="16838" w:orient="portrait"/>
          <w:cols w:equalWidth="0" w:num="1">
            <w:col w:w="10239"/>
          </w:cols>
          <w:pgMar w:left="220" w:top="407" w:right="1440" w:bottom="0" w:gutter="0" w:footer="0" w:header="0"/>
        </w:sectPr>
      </w:pPr>
    </w:p>
    <w:bookmarkStart w:id="63" w:name="page64"/>
    <w:bookmarkEnd w:id="63"/>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WAFER PARTNER AGREEMENTS</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During the years 2000 and 2001, the Company entered into various shares purchase agreements ("Wafer Partner Agreements") with Wafer Partners to partially finance the construction and equipping of Fab 2. Pursuant to the Wafer Partner Agreements, the Wafer Partners agreed to invest an aggregate of $250,000 to purchase Ordinary Shares of the Company. According to the Wafer Partner Agreements, the Company agreed, subject to certain conditions, to reserve for each Wafer Partner a certain portion, and collectively approximately 50%, of Fab 2 wafer manufacturing capacity for a period of 10 years ending January 2011.</w:t>
      </w:r>
    </w:p>
    <w:p>
      <w:pPr>
        <w:spacing w:after="0" w:line="131" w:lineRule="exact"/>
        <w:rPr>
          <w:rFonts w:ascii="Courier New" w:cs="Courier New" w:eastAsia="Courier New" w:hAnsi="Courier New"/>
          <w:sz w:val="12"/>
          <w:szCs w:val="12"/>
          <w:color w:val="auto"/>
        </w:rPr>
      </w:pPr>
    </w:p>
    <w:p>
      <w:pPr>
        <w:ind w:left="1040" w:right="469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Through December 31, 2004, the Wafer Partners invested under the Wafer Partner Agreements an aggregate of $246,823. Of such amount, $201,059, was credited as paid in capital and $45,764, was established as long-term customers' advances which may be, subject to the terms and conditions stipulated in the Wafer Partner Agreements, as amended to date, utilized as credit against purchases to be made by the Wafer Partners, primarily through December 2010, or converted into paid-in-capital for limited term. Through December 31, 2007, the Wafer Partners were issued an aggregate of 36,489,681 Ordinary Shares at an average price per share of $6.94, which was determined based on the average closing sale price of the Company's Ordinary Shares for the 15-30 trading days prior to making any capital investment: see also (5) below.</w:t>
      </w:r>
    </w:p>
    <w:p>
      <w:pPr>
        <w:spacing w:after="0" w:line="139" w:lineRule="exact"/>
        <w:rPr>
          <w:rFonts w:ascii="Courier New" w:cs="Courier New" w:eastAsia="Courier New" w:hAnsi="Courier New"/>
          <w:sz w:val="12"/>
          <w:szCs w:val="12"/>
          <w:color w:val="auto"/>
        </w:rPr>
      </w:pPr>
    </w:p>
    <w:p>
      <w:pPr>
        <w:ind w:left="1040" w:right="483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Due to recent changes in one of the Company's primary Wafer Partner's operations and its recent exit of its semiconductor activities, the Company believes that no future utilization is expected and determined that a full write-down of the its outstanding amount is appropriate.</w:t>
      </w:r>
    </w:p>
    <w:p>
      <w:pPr>
        <w:spacing w:after="0" w:line="139" w:lineRule="exact"/>
        <w:rPr>
          <w:rFonts w:ascii="Courier New" w:cs="Courier New" w:eastAsia="Courier New" w:hAnsi="Courier New"/>
          <w:sz w:val="12"/>
          <w:szCs w:val="12"/>
          <w:color w:val="auto"/>
        </w:rPr>
      </w:pPr>
    </w:p>
    <w:p>
      <w:pPr>
        <w:ind w:left="1040" w:right="469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For additional investments made by the primary Wafer Partners in the aggregate amount of $19,089 in connection with the 2002 and 2005 rights offerings, see Notes 14G and 14I, respectively.</w:t>
      </w:r>
    </w:p>
    <w:p>
      <w:pPr>
        <w:spacing w:after="0" w:line="126" w:lineRule="exact"/>
        <w:rPr>
          <w:rFonts w:ascii="Courier New" w:cs="Courier New" w:eastAsia="Courier New" w:hAnsi="Courier New"/>
          <w:sz w:val="12"/>
          <w:szCs w:val="12"/>
          <w:color w:val="auto"/>
        </w:rPr>
      </w:pPr>
    </w:p>
    <w:p>
      <w:pPr>
        <w:ind w:left="104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August 2006, the Company signed an agreement with SanDisk, one of the Wafer Partners, to invest in the expansion of its 0.13 micron manufacturing capacity, see Note 13D(2).</w:t>
      </w:r>
    </w:p>
    <w:p>
      <w:pPr>
        <w:spacing w:after="0" w:line="135" w:lineRule="exact"/>
        <w:rPr>
          <w:rFonts w:ascii="Courier New" w:cs="Courier New" w:eastAsia="Courier New" w:hAnsi="Courier New"/>
          <w:sz w:val="12"/>
          <w:szCs w:val="12"/>
          <w:color w:val="auto"/>
        </w:rPr>
      </w:pPr>
    </w:p>
    <w:p>
      <w:pPr>
        <w:ind w:left="10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For amendments to the Wafer Partner agreements, see (5) below.</w:t>
      </w:r>
    </w:p>
    <w:p>
      <w:pPr>
        <w:spacing w:after="0" w:line="269"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- 31</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EQUITY INVESTOR AGREEMENTS</w:t>
      </w:r>
    </w:p>
    <w:p>
      <w:pPr>
        <w:spacing w:after="0" w:line="134" w:lineRule="exact"/>
        <w:rPr>
          <w:rFonts w:ascii="Courier New" w:cs="Courier New" w:eastAsia="Courier New" w:hAnsi="Courier New"/>
          <w:sz w:val="12"/>
          <w:szCs w:val="12"/>
          <w:color w:val="auto"/>
        </w:rPr>
      </w:pPr>
    </w:p>
    <w:p>
      <w:pPr>
        <w:ind w:left="1040"/>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During the years 2001-2004, TIC has invested in the Company</w:t>
      </w:r>
    </w:p>
    <w:p>
      <w:pPr>
        <w:spacing w:after="0" w:line="3"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$50,000 for the purchase of an aggregate of 6,749,669 Ordinary Shares of the Company at an average price per share of $7.41, which was determined based on the average closing sale price of the Company's Ordinary Shares for the 15-30 trading days prior to making any investment. The investment of TIC was made in accordance with shares purchase agreement the Company entered into in January 2001. For a description of an undertaking and additional investments made by TIC in the aggregate amount of $29,152 in connection with the 2002 and 2005 rights offerings, see Notes 14G and 14I, respectively.</w:t>
      </w:r>
    </w:p>
    <w:p>
      <w:pPr>
        <w:spacing w:after="0" w:line="143" w:lineRule="exact"/>
        <w:rPr>
          <w:rFonts w:ascii="Courier New" w:cs="Courier New" w:eastAsia="Courier New" w:hAnsi="Courier New"/>
          <w:sz w:val="12"/>
          <w:szCs w:val="12"/>
          <w:color w:val="auto"/>
        </w:rPr>
      </w:pPr>
    </w:p>
    <w:p>
      <w:pPr>
        <w:ind w:left="104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regard to the Company's financing efforts for the ramp-up plan to reach capacity of 24,000 wafers per month and in connection with the September 2006 Amendment to the Facility Agreement, following TIC's commitment to invest $100,000, the Company entered into a securities purchase agreement with TIC (the "Securities Purchase Agreement"). The Securities Purchase Agreement was approved by the Company's Audit Committee, Board of Directors and the Company's shareholders. The principal terms of the Securities Purchase Agreement were: (i) in consideration for its $100,000 investment, the Company agreed to issue to TIC capital notes convertible into 65,789,474 of the Company's Ordinary Shares at a conversion price per share of $1.52 (which equals the average closing price during the 10 consecutive trading days prior to signing the May 2006 Memorandum of Understanding with the Banks and TIC which was the basis of this agreement); (ii) the Company would be deemed to have exercised the Call Option under the Equipment Purchase Agreement described below; and (iii) the Company and TIC would settle the amounts payable by TIC under the Securities Purchase Agreement with the amounts payable by the Company under the Equipment Purchase Agreement. The Securities Purchase Agreement closed contemporaneously with the closing of the September 2006 Amendment.</w:t>
      </w:r>
    </w:p>
    <w:p>
      <w:pPr>
        <w:spacing w:after="0" w:line="142"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order to implement the ramp-up plan in a timely manner, in May 2006, the Company entered into an Equipment Purchase Agreement with TIC according to which TIC will order up to approximately $100,000 worth of equipment for Fab 2. Under the terms of the Equipment Purchase Agreement: (i) TIC had the right to sell to the Company the equipment at cost, plus related expenses; (ii) the Company had the right to purchase the equipment from TIC at cost, plus related expenses, subject to the Company having raised $100,000; and (iii) upon the purchase of the equipment from TIC the Company would assume TIC's obligations to the equipment suppliers.</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ectPr>
          <w:pgSz w:w="11900" w:h="16838" w:orient="portrait"/>
          <w:cols w:equalWidth="0" w:num="1">
            <w:col w:w="10239"/>
          </w:cols>
          <w:pgMar w:left="220" w:top="137" w:right="1440" w:bottom="0" w:gutter="0" w:footer="0" w:header="0"/>
        </w:sectPr>
      </w:pPr>
    </w:p>
    <w:bookmarkStart w:id="64" w:name="page65"/>
    <w:bookmarkEnd w:id="64"/>
    <w:p>
      <w:pPr>
        <w:ind w:left="700" w:hanging="357"/>
        <w:spacing w:after="0"/>
        <w:tabs>
          <w:tab w:leader="none" w:pos="700" w:val="left"/>
        </w:tabs>
        <w:numPr>
          <w:ilvl w:val="0"/>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EQUITY INVESTOR AGREEMENTS (CONT.)</w:t>
      </w:r>
    </w:p>
    <w:p>
      <w:pPr>
        <w:spacing w:after="0" w:line="138" w:lineRule="exact"/>
        <w:rPr>
          <w:rFonts w:ascii="Courier New" w:cs="Courier New" w:eastAsia="Courier New" w:hAnsi="Courier New"/>
          <w:sz w:val="12"/>
          <w:szCs w:val="12"/>
          <w:color w:val="auto"/>
        </w:rPr>
      </w:pPr>
    </w:p>
    <w:p>
      <w:pPr>
        <w:ind w:left="1040"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Upon the closing of the September 2006 Amendment and the Securities Purchase Agreement, TIC transferred ownership over the purchased equipment to the Company and the Company assumed TIC's obligations to the equipment suppliers.</w:t>
      </w:r>
    </w:p>
    <w:p>
      <w:pPr>
        <w:spacing w:after="0" w:line="140" w:lineRule="exact"/>
        <w:rPr>
          <w:rFonts w:ascii="Courier New" w:cs="Courier New" w:eastAsia="Courier New" w:hAnsi="Courier New"/>
          <w:sz w:val="12"/>
          <w:szCs w:val="12"/>
          <w:color w:val="auto"/>
        </w:rPr>
      </w:pPr>
    </w:p>
    <w:p>
      <w:pPr>
        <w:ind w:left="1040" w:right="483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a credit line agreement signed with TIC in September 2007, see Note 9B.</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AMENDMENTS TO THE PRIMARY WAFER PARTNER AGREEMENTS</w:t>
      </w:r>
    </w:p>
    <w:p>
      <w:pPr>
        <w:spacing w:after="0" w:line="138" w:lineRule="exact"/>
        <w:rPr>
          <w:rFonts w:ascii="Courier New" w:cs="Courier New" w:eastAsia="Courier New" w:hAnsi="Courier New"/>
          <w:sz w:val="12"/>
          <w:szCs w:val="12"/>
          <w:color w:val="auto"/>
        </w:rPr>
      </w:pPr>
    </w:p>
    <w:p>
      <w:pPr>
        <w:ind w:left="104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Pursuant to the primary Wafer Partner Agreements, as amended to date, each of the primary Wafer Partners had an option to convert, at the end of each calendar quarter commencing 2004, that portion of the long-term customers' advances which it is entitled to utilize, based upon payments made by such primary Wafer Partner and purchase orders received from the Wafer Partners through December 31, 2006, (subject to the below amendment with one of the Wafer Partners), into fully-paid Ordinary Shares of the Company. The number of shares has been determined based on the average closing sale price of the Company's Ordinary Shares for the 15 trading days preceding the end of the relevant quarter. Accordingly, through December 31, 2007, two of the primary Wafer Partners had elected to convert an aggregate of $12,487 of long-term customer advances into 7,908,063 fully-paid Ordinary Shares of the Company, at an average share price of $1.58 per share. Any quarterly amount, which the primary Wafer Partners had elected not to so convert, was utilizabled against purchases and was to be repaid on December 2007 ("December 2007 Date"). The amounts bear interest, payable at the end of each quarter, at an annual rate equal to three-month USD LIBOR plus 2.5% through December 31, 2007, subject to the below amendment with one of the Wafer Partners.</w:t>
      </w:r>
    </w:p>
    <w:p>
      <w:pPr>
        <w:spacing w:after="0" w:line="200" w:lineRule="exact"/>
        <w:rPr>
          <w:rFonts w:ascii="Courier New" w:cs="Courier New" w:eastAsia="Courier New" w:hAnsi="Courier New"/>
          <w:sz w:val="12"/>
          <w:szCs w:val="12"/>
          <w:color w:val="auto"/>
        </w:rPr>
      </w:pPr>
    </w:p>
    <w:p>
      <w:pPr>
        <w:spacing w:after="0" w:line="207" w:lineRule="exact"/>
        <w:rPr>
          <w:rFonts w:ascii="Courier New" w:cs="Courier New" w:eastAsia="Courier New" w:hAnsi="Courier New"/>
          <w:sz w:val="12"/>
          <w:szCs w:val="12"/>
          <w:color w:val="auto"/>
        </w:rPr>
      </w:pPr>
    </w:p>
    <w:p>
      <w:pPr>
        <w:ind w:left="104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2006, the Company and one of the primary Wafer Partners, entered into an agreement to defer the December 2007 Date to be December 2009. Further, according to the agreement, with respect to certain orders placed until July 2006, and all orders placed thereafter through December 2009, such unutilized advances will bear interest at an annual rate equal to three-month USD LIBOR plus 1.1%, payable at the end of each quarter, through December 2009.</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tabs>
          <w:tab w:leader="none" w:pos="880" w:val="left"/>
          <w:tab w:leader="none" w:pos="1100" w:val="left"/>
        </w:tabs>
        <w:rPr>
          <w:sz w:val="20"/>
          <w:szCs w:val="20"/>
          <w:color w:val="auto"/>
        </w:rPr>
      </w:pPr>
      <w:r>
        <w:rPr>
          <w:rFonts w:ascii="Courier New" w:cs="Courier New" w:eastAsia="Courier New" w:hAnsi="Courier New"/>
          <w:sz w:val="12"/>
          <w:szCs w:val="12"/>
          <w:color w:val="auto"/>
        </w:rPr>
        <w:t>NOTE 13</w:t>
      </w:r>
      <w:r>
        <w:rPr>
          <w:sz w:val="20"/>
          <w:szCs w:val="20"/>
          <w:color w:val="auto"/>
        </w:rPr>
        <w:tab/>
      </w:r>
      <w:r>
        <w:rPr>
          <w:rFonts w:ascii="Courier New" w:cs="Courier New" w:eastAsia="Courier New" w:hAnsi="Courier New"/>
          <w:sz w:val="12"/>
          <w:szCs w:val="12"/>
          <w:color w:val="auto"/>
        </w:rPr>
        <w:t>-</w:t>
      </w:r>
      <w:r>
        <w:rPr>
          <w:sz w:val="20"/>
          <w:szCs w:val="20"/>
          <w:color w:val="auto"/>
        </w:rPr>
        <w:tab/>
      </w:r>
      <w:r>
        <w:rPr>
          <w:rFonts w:ascii="Courier New" w:cs="Courier New" w:eastAsia="Courier New" w:hAnsi="Courier New"/>
          <w:sz w:val="11"/>
          <w:szCs w:val="11"/>
          <w:color w:val="auto"/>
        </w:rPr>
        <w:t>COMMITMENTS AND CONTINGENCIES (CONT.)</w:t>
      </w:r>
    </w:p>
    <w:p>
      <w:pPr>
        <w:spacing w:after="0" w:line="134" w:lineRule="exact"/>
        <w:rPr>
          <w:sz w:val="20"/>
          <w:szCs w:val="20"/>
          <w:color w:val="auto"/>
        </w:rPr>
      </w:pPr>
    </w:p>
    <w:p>
      <w:pPr>
        <w:ind w:left="700" w:hanging="357"/>
        <w:spacing w:after="0"/>
        <w:tabs>
          <w:tab w:leader="none" w:pos="700" w:val="left"/>
        </w:tabs>
        <w:numPr>
          <w:ilvl w:val="0"/>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FACILITY AGREEMENT</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COMPLIANCE WITH FINANCIAL RATIOS AND COVENANTS - As of the balance sheet date, the Company was in full compliance with all of the financial ratios and covenants under the Facility Agreement, as amended to date. According to the Facility Agreement, satisfying the financial ratios and covenants is a material provision. The amended Facility Agreement provides that if, as a result of any default, the Banks were to accelerate the Company's obligations, the Company would be obligated, among other matters, to immediately repay all loans made by the Banks (which as of the approval date of the financial statements amounted to approximately $400,000) plus penalties, and the Banks would be entitled to exercise the remedies available to them under the Facility Agreement, including enforcement of their liens against all of the Company's assets.</w:t>
      </w:r>
    </w:p>
    <w:p>
      <w:pPr>
        <w:spacing w:after="0" w:line="264" w:lineRule="exact"/>
        <w:rPr>
          <w:rFonts w:ascii="Courier New" w:cs="Courier New" w:eastAsia="Courier New" w:hAnsi="Courier New"/>
          <w:sz w:val="12"/>
          <w:szCs w:val="12"/>
          <w:color w:val="auto"/>
        </w:rPr>
      </w:pPr>
    </w:p>
    <w:p>
      <w:pPr>
        <w:ind w:left="104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LIENS - Under the Facility Agreement, the Company agreed to register liens in favor of the Banks on substantially all its present and future assets. If, as a result of any default under the Facility Agreement, the Banks were to accelerate the Company's obligations, the Company would be obligated to immediately repay all loans made by the Banks (which as of the approval date of the financial statements amounted to approximately $400,000), plus penalties, and the Banks would be entitled to exercise the remedies available to them under the Facility Agreement, including enforcement of the liens against the Company's assets.</w:t>
      </w:r>
    </w:p>
    <w:p>
      <w:pPr>
        <w:spacing w:after="0" w:line="144"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OFFEROR BY THE BANKS - If one or more certain bankruptcy related events occur, the Banks are entitled to bring a firm offer made by a potential investor to purchase the Company's Ordinary Shares ("the Offer") at a price provided in the Offer. In such case, the Company shall be required thereafter to procure a rights offering to invest up to 60% of the amount of the Offer on the same terms. If the Offer is conditioned on the offeror purchasing a majority of the Company's outstanding share capital, the rights offering will be limited to allow for this, unless TIC and the primary Wafer Partners agree to exercise in a rights offering rights applicable to their shareholdings and agree to purchase in a private placement enough shares to ensure that the full amount of the Offer is invested.</w:t>
      </w:r>
    </w:p>
    <w:p>
      <w:pPr>
        <w:spacing w:after="0" w:line="265" w:lineRule="exact"/>
        <w:rPr>
          <w:rFonts w:ascii="Courier New" w:cs="Courier New" w:eastAsia="Courier New" w:hAnsi="Courier New"/>
          <w:sz w:val="12"/>
          <w:szCs w:val="12"/>
          <w:color w:val="auto"/>
        </w:rPr>
      </w:pPr>
    </w:p>
    <w:p>
      <w:pPr>
        <w:ind w:left="1040" w:right="461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further details in regard to the Facility Agreement, see Note 9B.</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APPROVED ENTERPRISE STATUS</w:t>
      </w:r>
    </w:p>
    <w:p>
      <w:pPr>
        <w:spacing w:after="0" w:line="138" w:lineRule="exact"/>
        <w:rPr>
          <w:rFonts w:ascii="Courier New" w:cs="Courier New" w:eastAsia="Courier New" w:hAnsi="Courier New"/>
          <w:sz w:val="12"/>
          <w:szCs w:val="12"/>
          <w:color w:val="auto"/>
        </w:rPr>
      </w:pPr>
    </w:p>
    <w:p>
      <w:pPr>
        <w:ind w:left="1040" w:right="475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December 2000, the Investment Center approved an investment program in connection with Fab 2 for expansion of the Company's</w:t>
      </w:r>
    </w:p>
    <w:p>
      <w:pPr>
        <w:sectPr>
          <w:pgSz w:w="11900" w:h="16838" w:orient="portrait"/>
          <w:cols w:equalWidth="0" w:num="1">
            <w:col w:w="10239"/>
          </w:cols>
          <w:pgMar w:left="220" w:top="137" w:right="1440" w:bottom="0" w:gutter="0" w:footer="0" w:header="0"/>
        </w:sectPr>
      </w:pPr>
    </w:p>
    <w:bookmarkStart w:id="65" w:name="page66"/>
    <w:bookmarkEnd w:id="65"/>
    <w:p>
      <w:pPr>
        <w:ind w:left="1040"/>
        <w:spacing w:after="0"/>
        <w:rPr>
          <w:sz w:val="20"/>
          <w:szCs w:val="20"/>
          <w:color w:val="auto"/>
        </w:rPr>
      </w:pPr>
      <w:r>
        <w:rPr>
          <w:rFonts w:ascii="Courier New" w:cs="Courier New" w:eastAsia="Courier New" w:hAnsi="Courier New"/>
          <w:sz w:val="12"/>
          <w:szCs w:val="12"/>
          <w:color w:val="auto"/>
        </w:rPr>
        <w:t>plant. The approval certificate for the program provided for a</w:t>
      </w:r>
    </w:p>
    <w:p>
      <w:pPr>
        <w:ind w:left="1040"/>
        <w:spacing w:after="0"/>
        <w:rPr>
          <w:sz w:val="20"/>
          <w:szCs w:val="20"/>
          <w:color w:val="auto"/>
        </w:rPr>
      </w:pPr>
      <w:r>
        <w:rPr>
          <w:rFonts w:ascii="Courier New" w:cs="Courier New" w:eastAsia="Courier New" w:hAnsi="Courier New"/>
          <w:sz w:val="12"/>
          <w:szCs w:val="12"/>
          <w:color w:val="auto"/>
        </w:rPr>
        <w:t>benefit track entitling the Company to investment grants at a</w:t>
      </w:r>
    </w:p>
    <w:p>
      <w:pPr>
        <w:ind w:left="1040"/>
        <w:spacing w:after="0" w:line="237" w:lineRule="auto"/>
        <w:rPr>
          <w:sz w:val="20"/>
          <w:szCs w:val="20"/>
          <w:color w:val="auto"/>
        </w:rPr>
      </w:pPr>
      <w:r>
        <w:rPr>
          <w:rFonts w:ascii="Courier New" w:cs="Courier New" w:eastAsia="Courier New" w:hAnsi="Courier New"/>
          <w:sz w:val="12"/>
          <w:szCs w:val="12"/>
          <w:color w:val="auto"/>
        </w:rPr>
        <w:t>rate of 20% of qualified investments of up to $1,250,000, or an</w:t>
      </w:r>
    </w:p>
    <w:p>
      <w:pPr>
        <w:ind w:left="1040"/>
        <w:spacing w:after="0"/>
        <w:rPr>
          <w:sz w:val="20"/>
          <w:szCs w:val="20"/>
          <w:color w:val="auto"/>
        </w:rPr>
      </w:pPr>
      <w:r>
        <w:rPr>
          <w:rFonts w:ascii="Courier New" w:cs="Courier New" w:eastAsia="Courier New" w:hAnsi="Courier New"/>
          <w:sz w:val="12"/>
          <w:szCs w:val="12"/>
          <w:color w:val="auto"/>
        </w:rPr>
        <w:t>aggregate of up to $250,000, of which as of the balance sheet</w:t>
      </w:r>
    </w:p>
    <w:p>
      <w:pPr>
        <w:ind w:left="1040"/>
        <w:spacing w:after="0" w:line="237" w:lineRule="auto"/>
        <w:rPr>
          <w:sz w:val="20"/>
          <w:szCs w:val="20"/>
          <w:color w:val="auto"/>
        </w:rPr>
      </w:pPr>
      <w:r>
        <w:rPr>
          <w:rFonts w:ascii="Courier New" w:cs="Courier New" w:eastAsia="Courier New" w:hAnsi="Courier New"/>
          <w:sz w:val="12"/>
          <w:szCs w:val="12"/>
          <w:color w:val="auto"/>
        </w:rPr>
        <w:t>date, an aggregate of approximately $165,000 has been received</w:t>
      </w:r>
    </w:p>
    <w:p>
      <w:pPr>
        <w:ind w:left="1040"/>
        <w:spacing w:after="0"/>
        <w:rPr>
          <w:sz w:val="20"/>
          <w:szCs w:val="20"/>
          <w:color w:val="auto"/>
        </w:rPr>
      </w:pPr>
      <w:r>
        <w:rPr>
          <w:rFonts w:ascii="Courier New" w:cs="Courier New" w:eastAsia="Courier New" w:hAnsi="Courier New"/>
          <w:sz w:val="12"/>
          <w:szCs w:val="12"/>
          <w:color w:val="auto"/>
        </w:rPr>
        <w:t>from the Investment Center. Under the terms of the program,</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investments in respect of Fab 2 were to be completed by December</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31, 2005, five years from the date the approval certificate was</w:t>
      </w:r>
    </w:p>
    <w:p>
      <w:pPr>
        <w:ind w:left="1040"/>
        <w:spacing w:after="0"/>
        <w:rPr>
          <w:sz w:val="20"/>
          <w:szCs w:val="20"/>
          <w:color w:val="auto"/>
        </w:rPr>
      </w:pPr>
      <w:r>
        <w:rPr>
          <w:rFonts w:ascii="Courier New" w:cs="Courier New" w:eastAsia="Courier New" w:hAnsi="Courier New"/>
          <w:sz w:val="12"/>
          <w:szCs w:val="12"/>
          <w:color w:val="auto"/>
        </w:rPr>
        <w:t>obtained. Due to the later than planned construction of Fab 2,</w:t>
      </w:r>
    </w:p>
    <w:p>
      <w:pPr>
        <w:ind w:left="1040"/>
        <w:spacing w:after="0" w:line="237" w:lineRule="auto"/>
        <w:rPr>
          <w:sz w:val="20"/>
          <w:szCs w:val="20"/>
          <w:color w:val="auto"/>
        </w:rPr>
      </w:pPr>
      <w:r>
        <w:rPr>
          <w:rFonts w:ascii="Courier New" w:cs="Courier New" w:eastAsia="Courier New" w:hAnsi="Courier New"/>
          <w:sz w:val="12"/>
          <w:szCs w:val="12"/>
          <w:color w:val="auto"/>
        </w:rPr>
        <w:t>market conditions and slower than planned ramp-up, the Company</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completed approximately 72% of the investments under the approved</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enterprise program. In December 2007, the Company submitted the</w:t>
      </w:r>
    </w:p>
    <w:p>
      <w:pPr>
        <w:ind w:left="1040"/>
        <w:spacing w:after="0"/>
        <w:rPr>
          <w:sz w:val="20"/>
          <w:szCs w:val="20"/>
          <w:color w:val="auto"/>
        </w:rPr>
      </w:pPr>
      <w:r>
        <w:rPr>
          <w:rFonts w:ascii="Courier New" w:cs="Courier New" w:eastAsia="Courier New" w:hAnsi="Courier New"/>
          <w:sz w:val="12"/>
          <w:szCs w:val="12"/>
          <w:color w:val="auto"/>
        </w:rPr>
        <w:t>final report in relation to the program. The Company has been</w:t>
      </w:r>
    </w:p>
    <w:p>
      <w:pPr>
        <w:ind w:left="1040"/>
        <w:spacing w:after="0" w:line="237" w:lineRule="auto"/>
        <w:rPr>
          <w:sz w:val="20"/>
          <w:szCs w:val="20"/>
          <w:color w:val="auto"/>
        </w:rPr>
      </w:pPr>
      <w:r>
        <w:rPr>
          <w:rFonts w:ascii="Courier New" w:cs="Courier New" w:eastAsia="Courier New" w:hAnsi="Courier New"/>
          <w:sz w:val="12"/>
          <w:szCs w:val="12"/>
          <w:color w:val="auto"/>
        </w:rPr>
        <w:t>holding discussions with the Investment Center to achieve</w:t>
      </w:r>
    </w:p>
    <w:p>
      <w:pPr>
        <w:ind w:left="1040"/>
        <w:spacing w:after="0"/>
        <w:rPr>
          <w:sz w:val="20"/>
          <w:szCs w:val="20"/>
          <w:color w:val="auto"/>
        </w:rPr>
      </w:pPr>
      <w:r>
        <w:rPr>
          <w:rFonts w:ascii="Courier New" w:cs="Courier New" w:eastAsia="Courier New" w:hAnsi="Courier New"/>
          <w:sz w:val="12"/>
          <w:szCs w:val="12"/>
          <w:color w:val="auto"/>
        </w:rPr>
        <w:t>satisfactory arrangements to approve a new expansion program</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commencing as of January 1, 2006. As of the approval date of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financial statements, the Company's management cannot estimate</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when, if at all, the Company will receive approval of its request</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for a new expansion program.</w:t>
      </w:r>
    </w:p>
    <w:p>
      <w:pPr>
        <w:spacing w:after="0" w:line="134"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Any failure by the Company to meet the conditions of the 2000</w:t>
      </w:r>
    </w:p>
    <w:p>
      <w:pPr>
        <w:ind w:left="1040"/>
        <w:spacing w:after="0"/>
        <w:rPr>
          <w:sz w:val="20"/>
          <w:szCs w:val="20"/>
          <w:color w:val="auto"/>
        </w:rPr>
      </w:pPr>
      <w:r>
        <w:rPr>
          <w:rFonts w:ascii="Courier New" w:cs="Courier New" w:eastAsia="Courier New" w:hAnsi="Courier New"/>
          <w:sz w:val="12"/>
          <w:szCs w:val="12"/>
          <w:color w:val="auto"/>
        </w:rPr>
        <w:t>approval certificate may result in the cancellation of all or a</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portion of the grants to be received and tax benefits and in the</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Investment Center requiring the Company to repay all or a portion</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of grants already received. Under Israeli law, the Company's</w:t>
      </w:r>
    </w:p>
    <w:p>
      <w:pPr>
        <w:ind w:left="1040"/>
        <w:spacing w:after="0"/>
        <w:rPr>
          <w:sz w:val="20"/>
          <w:szCs w:val="20"/>
          <w:color w:val="auto"/>
        </w:rPr>
      </w:pPr>
      <w:r>
        <w:rPr>
          <w:rFonts w:ascii="Courier New" w:cs="Courier New" w:eastAsia="Courier New" w:hAnsi="Courier New"/>
          <w:sz w:val="12"/>
          <w:szCs w:val="12"/>
          <w:color w:val="auto"/>
        </w:rPr>
        <w:t>non-completion of investments in an amount of $1,250,000 by</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December 31, 2005 may permit the Investment Center to require the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Company to repay all or a portion of grants already received.</w:t>
      </w:r>
    </w:p>
    <w:p>
      <w:pPr>
        <w:ind w:left="1040"/>
        <w:spacing w:after="0"/>
        <w:rPr>
          <w:sz w:val="20"/>
          <w:szCs w:val="20"/>
          <w:color w:val="auto"/>
        </w:rPr>
      </w:pPr>
      <w:r>
        <w:rPr>
          <w:rFonts w:ascii="Courier New" w:cs="Courier New" w:eastAsia="Courier New" w:hAnsi="Courier New"/>
          <w:sz w:val="12"/>
          <w:szCs w:val="12"/>
          <w:color w:val="auto"/>
        </w:rPr>
        <w:t>Management believes that it is improbable that the Investment</w:t>
      </w:r>
    </w:p>
    <w:p>
      <w:pPr>
        <w:ind w:left="1040"/>
        <w:spacing w:after="0" w:line="237" w:lineRule="auto"/>
        <w:rPr>
          <w:sz w:val="20"/>
          <w:szCs w:val="20"/>
          <w:color w:val="auto"/>
        </w:rPr>
      </w:pPr>
      <w:r>
        <w:rPr>
          <w:rFonts w:ascii="Courier New" w:cs="Courier New" w:eastAsia="Courier New" w:hAnsi="Courier New"/>
          <w:sz w:val="12"/>
          <w:szCs w:val="12"/>
          <w:color w:val="auto"/>
        </w:rPr>
        <w:t>Center would demand the Company to repay all or a portion of</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grants already received, or deny investment grants receivable as</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of December 31, 2005, due to its non-completion of investments in</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the amount of $1,250,000 by December 31, 2005 - see also Note 17A</w:t>
      </w:r>
    </w:p>
    <w:p>
      <w:pPr>
        <w:spacing w:after="0" w:line="141" w:lineRule="exact"/>
        <w:rPr>
          <w:sz w:val="20"/>
          <w:szCs w:val="20"/>
          <w:color w:val="auto"/>
        </w:rPr>
      </w:pPr>
    </w:p>
    <w:p>
      <w:pPr>
        <w:ind w:left="1040" w:hanging="345"/>
        <w:spacing w:after="0"/>
        <w:tabs>
          <w:tab w:leader="none" w:pos="1040" w:val="left"/>
        </w:tabs>
        <w:numPr>
          <w:ilvl w:val="0"/>
          <w:numId w:val="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AGREEMENT WITH THE ILA</w:t>
      </w:r>
    </w:p>
    <w:p>
      <w:pPr>
        <w:spacing w:after="0" w:line="138" w:lineRule="exact"/>
        <w:rPr>
          <w:rFonts w:ascii="Courier New" w:cs="Courier New" w:eastAsia="Courier New" w:hAnsi="Courier New"/>
          <w:sz w:val="12"/>
          <w:szCs w:val="12"/>
          <w:color w:val="auto"/>
        </w:rPr>
      </w:pPr>
    </w:p>
    <w:p>
      <w:pPr>
        <w:ind w:left="1040" w:right="483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November 2000, the Company entered into a development agreement with the Israel Land Administration ("ILA") with respect to a parcel of land on which Fab 2 was constructed. Following the completion of the construction of Fab 2 on the land, in June 2003, the Company entered into a long-term lease agreement with the ILA for a period ending in 2049. The lease payments through 2049 relating to this lease have been paid in advance and are expensed through the operational lease period.</w:t>
      </w:r>
    </w:p>
    <w:p>
      <w:pPr>
        <w:spacing w:after="0" w:line="258"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- 35</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COMMITMENTS AND CONTINGENCIES RELATING TO FAB 2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HEDGING ACTIVITIES</w:t>
      </w:r>
    </w:p>
    <w:p>
      <w:pPr>
        <w:spacing w:after="0" w:line="138" w:lineRule="exact"/>
        <w:rPr>
          <w:rFonts w:ascii="Courier New" w:cs="Courier New" w:eastAsia="Courier New" w:hAnsi="Courier New"/>
          <w:sz w:val="12"/>
          <w:szCs w:val="12"/>
          <w:color w:val="auto"/>
        </w:rPr>
      </w:pPr>
    </w:p>
    <w:p>
      <w:pPr>
        <w:ind w:left="104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hedging transactions and agreements of the Company, see Note 11A.</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AGREEMENTS</w:t>
      </w:r>
    </w:p>
    <w:p>
      <w:pPr>
        <w:spacing w:after="0" w:line="138" w:lineRule="exact"/>
        <w:rPr>
          <w:rFonts w:ascii="Courier New" w:cs="Courier New" w:eastAsia="Courier New" w:hAnsi="Courier New"/>
          <w:sz w:val="12"/>
          <w:szCs w:val="12"/>
          <w:color w:val="auto"/>
        </w:rPr>
      </w:pPr>
    </w:p>
    <w:p>
      <w:pPr>
        <w:ind w:left="104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Through December 31, 2007, the Company had entered into several additional agreements related mainly to the construction, equipping and transfer of technology for Fab 2. The Company's aggregate commitment in connection with these agreements which were not supplied or rendered as of such date amounted to approximately $45,000.</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LICENSE AGREEMENTS</w:t>
      </w:r>
    </w:p>
    <w:p>
      <w:pPr>
        <w:spacing w:after="0" w:line="138" w:lineRule="exact"/>
        <w:rPr>
          <w:rFonts w:ascii="Courier New" w:cs="Courier New" w:eastAsia="Courier New" w:hAnsi="Courier New"/>
          <w:sz w:val="12"/>
          <w:szCs w:val="12"/>
          <w:color w:val="auto"/>
        </w:rPr>
      </w:pPr>
    </w:p>
    <w:p>
      <w:pPr>
        <w:ind w:left="1040" w:right="4619" w:hanging="345"/>
        <w:spacing w:after="0" w:line="261" w:lineRule="auto"/>
        <w:tabs>
          <w:tab w:leader="none" w:pos="1040" w:val="left"/>
        </w:tabs>
        <w:numPr>
          <w:ilvl w:val="1"/>
          <w:numId w:val="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 June 2000, the Company entered into a cross license agreement with a major technology company. According to the agreement, each party acquired a non-exclusive license to certain of the other's patents. The Company agreed to pay an annual license fee through July 2005. In July 2006, the Company extended its cross license agreement with the major technology company until December 2010. According to terms of the new agreement, each party acquired a non-exclusive license to certain of the other's patents, and the Company agreed to pay an annual license fee through 2010.</w:t>
      </w:r>
    </w:p>
    <w:p>
      <w:pPr>
        <w:spacing w:after="0" w:line="131" w:lineRule="exact"/>
        <w:rPr>
          <w:rFonts w:ascii="Courier New" w:cs="Courier New" w:eastAsia="Courier New" w:hAnsi="Courier New"/>
          <w:sz w:val="11"/>
          <w:szCs w:val="11"/>
          <w:color w:val="auto"/>
        </w:rPr>
      </w:pPr>
    </w:p>
    <w:p>
      <w:pPr>
        <w:ind w:left="1040" w:right="4699" w:hanging="345"/>
        <w:spacing w:after="0" w:line="238" w:lineRule="auto"/>
        <w:tabs>
          <w:tab w:leader="none" w:pos="1040" w:val="left"/>
        </w:tabs>
        <w:numPr>
          <w:ilvl w:val="1"/>
          <w:numId w:val="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In April 2005, the Japanese semiconductor manufacturer corporation elected, and the Company agreed, to cease the joint development of certain technology and to terminate the agreement. However, the license rights granted to the parties continue pursuant to the terms of the May 2002 agreement. According to the terms of the termination agreement, the Japanese manufacturer paid the Company an amount of $2,500 in 2005. In addition, each party expressly released the other party from any obligations or liabilities of any nature in connection with the original agreement. Revenues for 2005 include $8,000 in relation to this agreement.</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- 36</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LICENSE AGREEMENTS (CONT.)</w:t>
      </w:r>
    </w:p>
    <w:p>
      <w:pPr>
        <w:spacing w:after="0" w:line="138" w:lineRule="exact"/>
        <w:rPr>
          <w:rFonts w:ascii="Courier New" w:cs="Courier New" w:eastAsia="Courier New" w:hAnsi="Courier New"/>
          <w:sz w:val="12"/>
          <w:szCs w:val="12"/>
          <w:color w:val="auto"/>
        </w:rPr>
      </w:pPr>
    </w:p>
    <w:p>
      <w:pPr>
        <w:ind w:left="1040" w:right="4699" w:hanging="345"/>
        <w:spacing w:after="0" w:line="237" w:lineRule="auto"/>
        <w:tabs>
          <w:tab w:leader="none" w:pos="1040" w:val="left"/>
        </w:tabs>
        <w:numPr>
          <w:ilvl w:val="1"/>
          <w:numId w:val="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 October 1997 the Company and Saifun Semiconductors Ltd ("Saifun") entered into an agreement for certain exclusive semiconductor manufacturing rights on certain licensed technology. The agreement set certain limitations on Saifun regarding future licensing of such technology. Pursuant to certain provisions of the agreement, the Company and Saifun were obligated to pay each other royalties. The agreement was terminated in 2006, with the signing of a new agreement,</w:t>
      </w:r>
    </w:p>
    <w:p>
      <w:pPr>
        <w:sectPr>
          <w:pgSz w:w="11900" w:h="16838" w:orient="portrait"/>
          <w:cols w:equalWidth="0" w:num="1">
            <w:col w:w="10239"/>
          </w:cols>
          <w:pgMar w:left="220" w:top="137" w:right="1440" w:bottom="0" w:gutter="0" w:footer="0" w:header="0"/>
        </w:sectPr>
      </w:pPr>
    </w:p>
    <w:bookmarkStart w:id="66" w:name="page67"/>
    <w:bookmarkEnd w:id="66"/>
    <w:p>
      <w:pPr>
        <w:ind w:left="1040"/>
        <w:spacing w:after="0"/>
        <w:rPr>
          <w:sz w:val="20"/>
          <w:szCs w:val="20"/>
          <w:color w:val="auto"/>
        </w:rPr>
      </w:pPr>
      <w:r>
        <w:rPr>
          <w:rFonts w:ascii="Courier New" w:cs="Courier New" w:eastAsia="Courier New" w:hAnsi="Courier New"/>
          <w:sz w:val="11"/>
          <w:szCs w:val="11"/>
          <w:color w:val="auto"/>
        </w:rPr>
        <w:t>according to which, among other things, Saifun extended the term</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of the license granted to the Company for certain licensed</w:t>
      </w:r>
    </w:p>
    <w:p>
      <w:pPr>
        <w:ind w:left="1040"/>
        <w:spacing w:after="0"/>
        <w:rPr>
          <w:sz w:val="20"/>
          <w:szCs w:val="20"/>
          <w:color w:val="auto"/>
        </w:rPr>
      </w:pPr>
      <w:r>
        <w:rPr>
          <w:rFonts w:ascii="Courier New" w:cs="Courier New" w:eastAsia="Courier New" w:hAnsi="Courier New"/>
          <w:sz w:val="12"/>
          <w:szCs w:val="12"/>
          <w:color w:val="auto"/>
        </w:rPr>
        <w:t>technology.</w:t>
      </w:r>
    </w:p>
    <w:p>
      <w:pPr>
        <w:spacing w:after="0" w:line="138" w:lineRule="exact"/>
        <w:rPr>
          <w:sz w:val="20"/>
          <w:szCs w:val="20"/>
          <w:color w:val="auto"/>
        </w:rPr>
      </w:pPr>
    </w:p>
    <w:p>
      <w:pPr>
        <w:ind w:left="1040" w:right="4619" w:hanging="345"/>
        <w:spacing w:after="0" w:line="263" w:lineRule="auto"/>
        <w:tabs>
          <w:tab w:leader="none" w:pos="1040" w:val="left"/>
        </w:tabs>
        <w:numPr>
          <w:ilvl w:val="1"/>
          <w:numId w:val="70"/>
        </w:numPr>
        <w:rPr>
          <w:rFonts w:ascii="Courier New" w:cs="Courier New" w:eastAsia="Courier New" w:hAnsi="Courier New"/>
          <w:sz w:val="11"/>
          <w:szCs w:val="11"/>
          <w:color w:val="auto"/>
        </w:rPr>
      </w:pPr>
      <w:r>
        <w:rPr>
          <w:rFonts w:ascii="Courier New" w:cs="Courier New" w:eastAsia="Courier New" w:hAnsi="Courier New"/>
          <w:sz w:val="11"/>
          <w:szCs w:val="11"/>
          <w:color w:val="auto"/>
        </w:rPr>
        <w:t>The Company from time to time enters into intellectual property and licensing agreements with third parties. The effect of each of them on the Company's total assets and results of operations is immaterial. Certain of these agreements call for royalties to be paid by the Company to these third parties, see also Note 12A.</w:t>
      </w:r>
    </w:p>
    <w:p>
      <w:pPr>
        <w:spacing w:after="0" w:line="123" w:lineRule="exact"/>
        <w:rPr>
          <w:rFonts w:ascii="Courier New" w:cs="Courier New" w:eastAsia="Courier New" w:hAnsi="Courier New"/>
          <w:sz w:val="11"/>
          <w:szCs w:val="11"/>
          <w:color w:val="auto"/>
        </w:rPr>
      </w:pPr>
    </w:p>
    <w:p>
      <w:pPr>
        <w:ind w:left="700" w:hanging="357"/>
        <w:spacing w:after="0"/>
        <w:tabs>
          <w:tab w:leader="none" w:pos="700" w:val="left"/>
        </w:tabs>
        <w:numPr>
          <w:ilvl w:val="0"/>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LEASES</w:t>
      </w:r>
    </w:p>
    <w:p>
      <w:pPr>
        <w:spacing w:after="0" w:line="138" w:lineRule="exact"/>
        <w:rPr>
          <w:rFonts w:ascii="Courier New" w:cs="Courier New" w:eastAsia="Courier New" w:hAnsi="Courier New"/>
          <w:sz w:val="12"/>
          <w:szCs w:val="12"/>
          <w:color w:val="auto"/>
        </w:rPr>
      </w:pPr>
    </w:p>
    <w:p>
      <w:pPr>
        <w:ind w:left="1040" w:right="4759" w:hanging="345"/>
        <w:spacing w:after="0" w:line="237" w:lineRule="auto"/>
        <w:tabs>
          <w:tab w:leader="none" w:pos="1040" w:val="left"/>
        </w:tabs>
        <w:numPr>
          <w:ilvl w:val="1"/>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offices and engineering and manufacturing operations are located in a building complex situated in an industrial park in Migdal Ha'emek, in the northern part of Israel. These premises are currently occupied under a long-term lease from the ILA, which expires in 2032. The Company has no obligation for lease payments related to this lease through the year 2032.</w:t>
      </w:r>
    </w:p>
    <w:p>
      <w:pPr>
        <w:spacing w:after="0" w:line="141" w:lineRule="exact"/>
        <w:rPr>
          <w:rFonts w:ascii="Courier New" w:cs="Courier New" w:eastAsia="Courier New" w:hAnsi="Courier New"/>
          <w:sz w:val="12"/>
          <w:szCs w:val="12"/>
          <w:color w:val="auto"/>
        </w:rPr>
      </w:pPr>
    </w:p>
    <w:p>
      <w:pPr>
        <w:ind w:left="1040" w:right="4699" w:hanging="345"/>
        <w:spacing w:after="0" w:line="235" w:lineRule="auto"/>
        <w:tabs>
          <w:tab w:leader="none" w:pos="1040" w:val="left"/>
        </w:tabs>
        <w:numPr>
          <w:ilvl w:val="1"/>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With respect to a long-term lease agreement of land on which Fab 2 was constructed, see A(8) above.</w:t>
      </w:r>
    </w:p>
    <w:p>
      <w:pPr>
        <w:spacing w:after="0" w:line="139" w:lineRule="exact"/>
        <w:rPr>
          <w:rFonts w:ascii="Courier New" w:cs="Courier New" w:eastAsia="Courier New" w:hAnsi="Courier New"/>
          <w:sz w:val="12"/>
          <w:szCs w:val="12"/>
          <w:color w:val="auto"/>
        </w:rPr>
      </w:pPr>
    </w:p>
    <w:p>
      <w:pPr>
        <w:ind w:left="1040" w:right="4979" w:hanging="345"/>
        <w:spacing w:after="0" w:line="236" w:lineRule="auto"/>
        <w:tabs>
          <w:tab w:leader="none" w:pos="1040" w:val="left"/>
        </w:tabs>
        <w:numPr>
          <w:ilvl w:val="1"/>
          <w:numId w:val="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occupies certain other premises under various operating leases. The obligations under such leases were not material as of December 31, 2007.</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PRINCIPAL AGREEMENTS</w:t>
      </w:r>
    </w:p>
    <w:p>
      <w:pPr>
        <w:spacing w:after="0" w:line="138"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 from time to time in the ordinary course of business, enters into long-term agreements with various entities for the joint development of products and processes utilizing technologies owned by both the other entities and the Company.</w:t>
      </w:r>
    </w:p>
    <w:p>
      <w:pPr>
        <w:spacing w:after="0" w:line="140" w:lineRule="exact"/>
        <w:rPr>
          <w:rFonts w:ascii="Courier New" w:cs="Courier New" w:eastAsia="Courier New" w:hAnsi="Courier New"/>
          <w:sz w:val="12"/>
          <w:szCs w:val="12"/>
          <w:color w:val="auto"/>
        </w:rPr>
      </w:pPr>
    </w:p>
    <w:p>
      <w:pPr>
        <w:ind w:left="1040" w:right="4619" w:hanging="345"/>
        <w:spacing w:after="0" w:line="238" w:lineRule="auto"/>
        <w:tabs>
          <w:tab w:leader="none" w:pos="1040" w:val="left"/>
        </w:tabs>
        <w:numPr>
          <w:ilvl w:val="1"/>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SILICONIX - In 2004, the Company and chip maker Siliconix incorporated ("Siliconix"), a wholly-owned subsidiary of Vishay Intertechnology Inc., entered into a definitive long-term foundry agreement for semiconductor manufacturing. Pursuant to the agreement, Siliconix will place with the Company orders for the purchase of wafers to be manufactured in the Company's Fab 1. According to the agreement, in 2004 Siliconix provided the Company $20,000 to be used primarily for the purchase of additional equipment required to satisfy Siliconix's production wafer requests. The advanced amount is credited towards the purchase price of wafers. Under the agreement, Siliconix is entitled to register liens over the equipment purchased in connection with the transaction.</w:t>
      </w:r>
    </w:p>
    <w:p>
      <w:pPr>
        <w:spacing w:after="0" w:line="139" w:lineRule="exact"/>
        <w:rPr>
          <w:rFonts w:ascii="Courier New" w:cs="Courier New" w:eastAsia="Courier New" w:hAnsi="Courier New"/>
          <w:sz w:val="12"/>
          <w:szCs w:val="12"/>
          <w:color w:val="auto"/>
        </w:rPr>
      </w:pPr>
    </w:p>
    <w:p>
      <w:pPr>
        <w:ind w:left="1040" w:right="4619" w:hanging="345"/>
        <w:spacing w:after="0" w:line="238" w:lineRule="auto"/>
        <w:tabs>
          <w:tab w:leader="none" w:pos="1040" w:val="left"/>
        </w:tabs>
        <w:numPr>
          <w:ilvl w:val="1"/>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SANDISK CORPORATION - In 2006, in connection with Fab2 0.13 micron capacity expansion, the Company signed an agreement with SanDisk Corporation ("SanDisk"), one of its wafer partners, according to which, SanDisk is committed to purchase volume quantities of 0.13 micron wafers during 2007 and 2008 and will have a right of first refusal for a portion of the Company's 0.13 micron capacity in 2009. The Company and SanDisk also signed a Loan Agreement under which the Company borrowed approximately $10,000 from SanDisk for the purpose of financing the purchase of a portion of the equipment needed for said expansion. The loan bears interest on the amounts outstanding at three-month USD LIBOR plus 1.1%. Pursuant to the agreement, SanDisk has been granted a first ranking charge on the equipment purchased therewith.</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ENVIRONMENTAL AFFAIRS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Company's operations are subject to a variety of laws and governmental regulations in Israel relating to the use, discharge and disposal of toxic or otherwise hazardous materials used in the production processes. Operating permits and licenses are required for the operations of the Company's facilities and these permits and licenses are subject to revocation, modification and renewal. Government authorities have the power to enforce compliance with these regulations, permits and licenses. As of the approval date of the financial statements, the Company was in compliance with the terms of the permits and licenses.</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- 38</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13 - COMMITMENTS AND CONTINGENCIES (CONT.)</w:t>
      </w:r>
    </w:p>
    <w:p>
      <w:pPr>
        <w:spacing w:after="0" w:line="134" w:lineRule="exact"/>
        <w:rPr>
          <w:sz w:val="20"/>
          <w:szCs w:val="20"/>
          <w:color w:val="auto"/>
        </w:rPr>
      </w:pPr>
    </w:p>
    <w:p>
      <w:pPr>
        <w:ind w:left="700" w:hanging="357"/>
        <w:spacing w:after="0"/>
        <w:tabs>
          <w:tab w:leader="none" w:pos="700" w:val="left"/>
        </w:tabs>
        <w:numPr>
          <w:ilvl w:val="0"/>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CLASS ACTION</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June 2006, the United States Court of Appeals for the Second Circuit affirmed the August 2004 decision of the United States District Court for the Southern District of New York to dismiss the class action suit filed in July 2003 against the Company and certain of its directors, Wafer Partners and Equity Investors (the "Defendants"). The plaintiffs had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District Court accepted the motion to dismiss filed on behalf of the defendants and noted that the Company's status as a foreign private issuer exempts the Company, its directors and controlling shareholders, from liability under the proxy rules of Section 14(a) of the Securities Exchange Act.</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 TO ISRAELI BANKING REGULATIONS</w:t>
      </w:r>
    </w:p>
    <w:p>
      <w:pPr>
        <w:spacing w:after="0" w:line="138" w:lineRule="exact"/>
        <w:rPr>
          <w:rFonts w:ascii="Courier New" w:cs="Courier New" w:eastAsia="Courier New" w:hAnsi="Courier New"/>
          <w:sz w:val="12"/>
          <w:szCs w:val="12"/>
          <w:color w:val="auto"/>
        </w:rPr>
      </w:pPr>
    </w:p>
    <w:p>
      <w:pPr>
        <w:ind w:left="700" w:right="4699"/>
        <w:spacing w:after="0" w:line="264"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Pursuant to an amendment to a directive published by the Israel Supervisor of Banks, effective March 31, 2004, the Company may be deemed part of a group of borrowers comprised of the Ofer Brothers Group, TIC, and other companies which are also included in such group</w:t>
      </w:r>
    </w:p>
    <w:p>
      <w:pPr>
        <w:sectPr>
          <w:pgSz w:w="11900" w:h="16838" w:orient="portrait"/>
          <w:cols w:equalWidth="0" w:num="1">
            <w:col w:w="10239"/>
          </w:cols>
          <w:pgMar w:left="220" w:top="141" w:right="1440" w:bottom="0" w:gutter="0" w:footer="0" w:header="0"/>
        </w:sectPr>
      </w:pPr>
    </w:p>
    <w:bookmarkStart w:id="67" w:name="page68"/>
    <w:bookmarkEnd w:id="67"/>
    <w:p>
      <w:pPr>
        <w:ind w:left="700"/>
        <w:spacing w:after="0"/>
        <w:rPr>
          <w:sz w:val="20"/>
          <w:szCs w:val="20"/>
          <w:color w:val="auto"/>
        </w:rPr>
      </w:pPr>
      <w:r>
        <w:rPr>
          <w:rFonts w:ascii="Courier New" w:cs="Courier New" w:eastAsia="Courier New" w:hAnsi="Courier New"/>
          <w:sz w:val="11"/>
          <w:szCs w:val="11"/>
          <w:color w:val="auto"/>
        </w:rPr>
        <w:t>of borrowers pursuant to the directive, including companies under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control or deemed control of these entities. The directive provides</w:t>
      </w:r>
    </w:p>
    <w:p>
      <w:pPr>
        <w:ind w:left="700"/>
        <w:spacing w:after="0"/>
        <w:rPr>
          <w:sz w:val="20"/>
          <w:szCs w:val="20"/>
          <w:color w:val="auto"/>
        </w:rPr>
      </w:pPr>
      <w:r>
        <w:rPr>
          <w:rFonts w:ascii="Courier New" w:cs="Courier New" w:eastAsia="Courier New" w:hAnsi="Courier New"/>
          <w:sz w:val="12"/>
          <w:szCs w:val="12"/>
          <w:color w:val="auto"/>
        </w:rPr>
        <w:t>for limits on amounts that banks may lend to borrowers or groups of</w:t>
      </w:r>
    </w:p>
    <w:p>
      <w:pPr>
        <w:ind w:left="700"/>
        <w:spacing w:after="0" w:line="237" w:lineRule="auto"/>
        <w:rPr>
          <w:sz w:val="20"/>
          <w:szCs w:val="20"/>
          <w:color w:val="auto"/>
        </w:rPr>
      </w:pPr>
      <w:r>
        <w:rPr>
          <w:rFonts w:ascii="Courier New" w:cs="Courier New" w:eastAsia="Courier New" w:hAnsi="Courier New"/>
          <w:sz w:val="12"/>
          <w:szCs w:val="12"/>
          <w:color w:val="auto"/>
        </w:rPr>
        <w:t>borrowers. Should the Banks exceed these limitations, they may limit</w:t>
      </w:r>
    </w:p>
    <w:p>
      <w:pPr>
        <w:ind w:left="700"/>
        <w:spacing w:after="0"/>
        <w:rPr>
          <w:sz w:val="20"/>
          <w:szCs w:val="20"/>
          <w:color w:val="auto"/>
        </w:rPr>
      </w:pPr>
      <w:r>
        <w:rPr>
          <w:rFonts w:ascii="Courier New" w:cs="Courier New" w:eastAsia="Courier New" w:hAnsi="Courier New"/>
          <w:sz w:val="12"/>
          <w:szCs w:val="12"/>
          <w:color w:val="auto"/>
        </w:rPr>
        <w:t>the Company's ability to borrow other money in the future and may</w:t>
      </w:r>
    </w:p>
    <w:p>
      <w:pPr>
        <w:ind w:left="700"/>
        <w:spacing w:after="0" w:line="237" w:lineRule="auto"/>
        <w:rPr>
          <w:sz w:val="20"/>
          <w:szCs w:val="20"/>
          <w:color w:val="auto"/>
        </w:rPr>
      </w:pPr>
      <w:r>
        <w:rPr>
          <w:rFonts w:ascii="Courier New" w:cs="Courier New" w:eastAsia="Courier New" w:hAnsi="Courier New"/>
          <w:sz w:val="12"/>
          <w:szCs w:val="12"/>
          <w:color w:val="auto"/>
        </w:rPr>
        <w:t>require the Company to return some or all of the outstanding</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borrowings (which were approximately $400,000 as of the approval date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of the financial statements). As of the approval date of the financial</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statements, the Company had received no such request.</w:t>
      </w:r>
    </w:p>
    <w:p>
      <w:pPr>
        <w:spacing w:after="0" w:line="134" w:lineRule="exact"/>
        <w:rPr>
          <w:sz w:val="20"/>
          <w:szCs w:val="20"/>
          <w:color w:val="auto"/>
        </w:rPr>
      </w:pPr>
    </w:p>
    <w:p>
      <w:pPr>
        <w:ind w:left="700" w:hanging="357"/>
        <w:spacing w:after="0"/>
        <w:tabs>
          <w:tab w:leader="none" w:pos="700" w:val="left"/>
        </w:tabs>
        <w:numPr>
          <w:ilvl w:val="0"/>
          <w:numId w:val="74"/>
        </w:numPr>
        <w:rPr>
          <w:rFonts w:ascii="Courier New" w:cs="Courier New" w:eastAsia="Courier New" w:hAnsi="Courier New"/>
          <w:sz w:val="12"/>
          <w:szCs w:val="12"/>
          <w:color w:val="auto"/>
        </w:rPr>
      </w:pPr>
      <w:r>
        <w:rPr>
          <w:rFonts w:ascii="Courier New" w:cs="Courier New" w:eastAsia="Courier New" w:hAnsi="Courier New"/>
          <w:sz w:val="12"/>
          <w:szCs w:val="12"/>
          <w:color w:val="auto"/>
        </w:rPr>
        <w:t>OTHER COMMITMENTS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 opinion, the Company has been in full compliance with the conditions through December 31, 2007. In regard to investment center grants, see A(7) above.</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- 39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w:t>
      </w:r>
    </w:p>
    <w:p>
      <w:pPr>
        <w:spacing w:after="0" w:line="134" w:lineRule="exact"/>
        <w:rPr>
          <w:sz w:val="20"/>
          <w:szCs w:val="20"/>
          <w:color w:val="auto"/>
        </w:rPr>
      </w:pPr>
    </w:p>
    <w:p>
      <w:pPr>
        <w:ind w:left="700" w:hanging="357"/>
        <w:spacing w:after="0"/>
        <w:tabs>
          <w:tab w:leader="none" w:pos="700"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DESCRIPTION OF ORDINARY SHARES</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As of December 31, 2007 and 2006, the Company had 800,000,000 authorized Ordinary Shares, par value NIS 1.00 each, of which 124,226,116 and 100,752,767, respectively, were issued and outstanding (net of 1,300,000 Ordinary Shares held by the Company as of such dates). As of the balance sheet date, there were 243,905,535 Ordinary Shares of the Company contingently issuable. This amount includes Ordinary Shares to be issued under various agreements according to their provisions: (i) Equity Investor warrants, see B(5)(b) below;</w:t>
      </w:r>
    </w:p>
    <w:p>
      <w:pPr>
        <w:ind w:left="1040" w:hanging="345"/>
        <w:spacing w:after="0"/>
        <w:tabs>
          <w:tab w:leader="none" w:pos="1040" w:val="left"/>
        </w:tabs>
        <w:numPr>
          <w:ilvl w:val="1"/>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exercise of outstanding warrants, see J,K,L and M below;</w:t>
      </w:r>
    </w:p>
    <w:p>
      <w:pPr>
        <w:spacing w:after="0" w:line="2" w:lineRule="exact"/>
        <w:rPr>
          <w:rFonts w:ascii="Courier New" w:cs="Courier New" w:eastAsia="Courier New" w:hAnsi="Courier New"/>
          <w:sz w:val="12"/>
          <w:szCs w:val="12"/>
          <w:color w:val="auto"/>
        </w:rPr>
      </w:pPr>
    </w:p>
    <w:p>
      <w:pPr>
        <w:ind w:left="1120" w:hanging="425"/>
        <w:spacing w:after="0"/>
        <w:tabs>
          <w:tab w:leader="none" w:pos="1120" w:val="left"/>
        </w:tabs>
        <w:numPr>
          <w:ilvl w:val="1"/>
          <w:numId w:val="75"/>
        </w:numPr>
        <w:rPr>
          <w:rFonts w:ascii="Courier New" w:cs="Courier New" w:eastAsia="Courier New" w:hAnsi="Courier New"/>
          <w:sz w:val="11"/>
          <w:szCs w:val="11"/>
          <w:color w:val="auto"/>
        </w:rPr>
      </w:pPr>
      <w:r>
        <w:rPr>
          <w:rFonts w:ascii="Courier New" w:cs="Courier New" w:eastAsia="Courier New" w:hAnsi="Courier New"/>
          <w:sz w:val="11"/>
          <w:szCs w:val="11"/>
          <w:color w:val="auto"/>
        </w:rPr>
        <w:t>options granted to employees and non-employees, see B(1) below;</w:t>
      </w:r>
    </w:p>
    <w:p>
      <w:pPr>
        <w:spacing w:after="0" w:line="10" w:lineRule="exact"/>
        <w:rPr>
          <w:rFonts w:ascii="Courier New" w:cs="Courier New" w:eastAsia="Courier New" w:hAnsi="Courier New"/>
          <w:sz w:val="11"/>
          <w:szCs w:val="11"/>
          <w:color w:val="auto"/>
        </w:rPr>
      </w:pPr>
    </w:p>
    <w:p>
      <w:pPr>
        <w:ind w:left="700" w:right="4619" w:hanging="5"/>
        <w:spacing w:after="0" w:line="237" w:lineRule="auto"/>
        <w:tabs>
          <w:tab w:leader="none" w:pos="1051" w:val="left"/>
        </w:tabs>
        <w:numPr>
          <w:ilvl w:val="1"/>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conversion of all outstanding convertible debentures, see Note 10 above; and (v) the exercise of all capital notes, see C below. 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137"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7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w:t>
      </w:r>
    </w:p>
    <w:p>
      <w:pPr>
        <w:spacing w:after="0" w:line="139" w:lineRule="exact"/>
        <w:rPr>
          <w:sz w:val="20"/>
          <w:szCs w:val="20"/>
          <w:color w:val="auto"/>
        </w:rPr>
      </w:pPr>
    </w:p>
    <w:p>
      <w:pPr>
        <w:ind w:left="1040" w:right="4899" w:hanging="345"/>
        <w:spacing w:after="0" w:line="235" w:lineRule="auto"/>
        <w:tabs>
          <w:tab w:leader="none" w:pos="1040" w:val="left"/>
        </w:tabs>
        <w:numPr>
          <w:ilvl w:val="0"/>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w:t>
      </w:r>
    </w:p>
    <w:p>
      <w:pPr>
        <w:spacing w:after="0" w:line="139" w:lineRule="exact"/>
        <w:rPr>
          <w:rFonts w:ascii="Courier New" w:cs="Courier New" w:eastAsia="Courier New" w:hAnsi="Courier New"/>
          <w:sz w:val="12"/>
          <w:szCs w:val="12"/>
          <w:color w:val="auto"/>
        </w:rPr>
      </w:pPr>
    </w:p>
    <w:p>
      <w:pPr>
        <w:ind w:left="1400" w:right="4619" w:hanging="354"/>
        <w:spacing w:after="0" w:line="237" w:lineRule="auto"/>
        <w:tabs>
          <w:tab w:leader="none" w:pos="1400" w:val="left"/>
        </w:tabs>
        <w:numPr>
          <w:ilvl w:val="1"/>
          <w:numId w:val="76"/>
        </w:numPr>
        <w:rPr>
          <w:rFonts w:ascii="Courier New" w:cs="Courier New" w:eastAsia="Courier New" w:hAnsi="Courier New"/>
          <w:sz w:val="12"/>
          <w:szCs w:val="12"/>
          <w:color w:val="auto"/>
        </w:rPr>
      </w:pPr>
      <w:r>
        <w:rPr>
          <w:rFonts w:ascii="Courier New" w:cs="Courier New" w:eastAsia="Courier New" w:hAnsi="Courier New"/>
          <w:sz w:val="12"/>
          <w:szCs w:val="12"/>
          <w:color w:val="auto"/>
        </w:rPr>
        <w:t>GENERAL - The Company has granted to its employees options to purchase its Ordinary Shares under several option plans adopted by the Company since 1995. The particular provisions of each plan and grant vary as to vesting period, exercise price, exercise period and other terms. Generally, the options are granted at an exercise price which equals the market value of the Ordinary Shares at the date of grant; vest over a three to four-year period according to various vesting schedules; and are not exercisable beyond ten years from the grant date.</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9" w:lineRule="exact"/>
        <w:rPr>
          <w:rFonts w:ascii="Courier New" w:cs="Courier New" w:eastAsia="Courier New" w:hAnsi="Courier New"/>
          <w:sz w:val="12"/>
          <w:szCs w:val="12"/>
          <w:color w:val="auto"/>
        </w:rPr>
      </w:pPr>
    </w:p>
    <w:p>
      <w:pPr>
        <w:ind w:left="1400" w:right="4619" w:hanging="354"/>
        <w:spacing w:after="0" w:line="260" w:lineRule="auto"/>
        <w:tabs>
          <w:tab w:leader="none" w:pos="1400" w:val="left"/>
        </w:tabs>
        <w:numPr>
          <w:ilvl w:val="2"/>
          <w:numId w:val="77"/>
        </w:numPr>
        <w:rPr>
          <w:rFonts w:ascii="Courier New" w:cs="Courier New" w:eastAsia="Courier New" w:hAnsi="Courier New"/>
          <w:sz w:val="11"/>
          <w:szCs w:val="11"/>
          <w:color w:val="auto"/>
        </w:rPr>
      </w:pPr>
      <w:r>
        <w:rPr>
          <w:rFonts w:ascii="Courier New" w:cs="Courier New" w:eastAsia="Courier New" w:hAnsi="Courier New"/>
          <w:sz w:val="11"/>
          <w:szCs w:val="11"/>
          <w:color w:val="auto"/>
        </w:rPr>
        <w:t>OPTIONS TO THE CHAIRMAN OF THE COMPANY'S BOARD OF DIRECTORS - In December 2006, the Audit Committee and Board of Directors of the Company approved the appointment of a new Chairman to the Board of Directors of the Company and approved to grant him options to purchase 3,158,090 Ordinary Shares of the Company, which constituted 1% of the Company's issued and outstanding share capital on a fully diluted basis as of December 2006, the date the Board of Directors approved the grant. The exercise price is $1.88, which was the closing price of the Company's Ordinary Shares on the NASDAQ Global Market on the trading day immediately prior to the date of approval of the grant by the Shareholders of the Company. The options vest over 4 years, 25% on the 12 month anniversary of the shareholders approval date and 6.25% on each 3 month anniversary of the first vesting date until fully vested. The options grant to the chairman of the Board of Directors was approved by the shareholders of the Company in January 2007. The compensation cost of the options granted was determined based on the fair value at the grant dates and amounted to $3,568. Such amount is expensed on an accelerated basis over the vesting periods of the options.</w:t>
      </w:r>
    </w:p>
    <w:p>
      <w:pPr>
        <w:spacing w:after="0" w:line="272" w:lineRule="exact"/>
        <w:rPr>
          <w:rFonts w:ascii="Courier New" w:cs="Courier New" w:eastAsia="Courier New" w:hAnsi="Courier New"/>
          <w:sz w:val="11"/>
          <w:szCs w:val="11"/>
          <w:color w:val="auto"/>
        </w:rPr>
      </w:pPr>
    </w:p>
    <w:p>
      <w:pPr>
        <w:ind w:left="1400" w:right="4619" w:hanging="354"/>
        <w:spacing w:after="0" w:line="238" w:lineRule="auto"/>
        <w:tabs>
          <w:tab w:leader="none" w:pos="1400" w:val="left"/>
        </w:tabs>
        <w:numPr>
          <w:ilvl w:val="2"/>
          <w:numId w:val="77"/>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TO THE COMPANY'S CHIEF EXECUTIVE OFFICER AND DIRECTOR - In April 2005, the Company's Board of Directors approved the grant of options to purchase up to 1,325,724 Ordinary Shares to the Company's Chief Executive Officer ("CEO"), who also serves as a director, which was further approved by the Company's shareholders in October 2005. These options are exercisable at an exercise price of $1.56, which was the closing market price of the Company's shares on the last trading day prior to the board approval of the grant. These options will vest over a four-year period, with 25% vesting over each year of employment. The options granted are exercisable for a period of ten years from the date of grant.</w:t>
      </w:r>
    </w:p>
    <w:p>
      <w:pPr>
        <w:sectPr>
          <w:pgSz w:w="11900" w:h="16838" w:orient="portrait"/>
          <w:cols w:equalWidth="0" w:num="1">
            <w:col w:w="10239"/>
          </w:cols>
          <w:pgMar w:left="220" w:top="141" w:right="1440" w:bottom="0" w:gutter="0" w:footer="0" w:header="0"/>
        </w:sectPr>
      </w:pPr>
    </w:p>
    <w:p>
      <w:pPr>
        <w:spacing w:after="0" w:line="274" w:lineRule="exact"/>
        <w:rPr>
          <w:sz w:val="20"/>
          <w:szCs w:val="20"/>
          <w:color w:val="auto"/>
        </w:rPr>
      </w:pPr>
    </w:p>
    <w:p>
      <w:pPr>
        <w:ind w:left="2600"/>
        <w:spacing w:after="0"/>
        <w:rPr>
          <w:sz w:val="20"/>
          <w:szCs w:val="20"/>
          <w:color w:val="auto"/>
        </w:rPr>
      </w:pPr>
      <w:r>
        <w:rPr>
          <w:rFonts w:ascii="Courier New" w:cs="Courier New" w:eastAsia="Courier New" w:hAnsi="Courier New"/>
          <w:sz w:val="11"/>
          <w:szCs w:val="11"/>
          <w:color w:val="auto"/>
        </w:rPr>
        <w:t>F - 41</w:t>
      </w:r>
    </w:p>
    <w:p>
      <w:pPr>
        <w:sectPr>
          <w:pgSz w:w="11900" w:h="16838" w:orient="portrait"/>
          <w:cols w:equalWidth="0" w:num="1">
            <w:col w:w="10239"/>
          </w:cols>
          <w:pgMar w:left="220" w:top="141" w:right="1440" w:bottom="0" w:gutter="0" w:footer="0" w:header="0"/>
          <w:type w:val="continuous"/>
        </w:sectPr>
      </w:pPr>
    </w:p>
    <w:bookmarkStart w:id="68" w:name="page69"/>
    <w:bookmarkEnd w:id="68"/>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9" w:lineRule="exact"/>
        <w:rPr>
          <w:rFonts w:ascii="Courier New" w:cs="Courier New" w:eastAsia="Courier New" w:hAnsi="Courier New"/>
          <w:sz w:val="12"/>
          <w:szCs w:val="12"/>
          <w:color w:val="auto"/>
        </w:rPr>
      </w:pPr>
    </w:p>
    <w:p>
      <w:pPr>
        <w:ind w:left="1400" w:right="5179" w:hanging="354"/>
        <w:spacing w:after="0" w:line="235" w:lineRule="auto"/>
        <w:tabs>
          <w:tab w:leader="none" w:pos="1400" w:val="left"/>
        </w:tabs>
        <w:numPr>
          <w:ilvl w:val="2"/>
          <w:numId w:val="78"/>
        </w:numPr>
        <w:rPr>
          <w:rFonts w:ascii="Courier New" w:cs="Courier New" w:eastAsia="Courier New" w:hAnsi="Courier New"/>
          <w:sz w:val="12"/>
          <w:szCs w:val="12"/>
          <w:color w:val="auto"/>
        </w:rPr>
      </w:pPr>
      <w:r>
        <w:rPr>
          <w:rFonts w:ascii="Courier New" w:cs="Courier New" w:eastAsia="Courier New" w:hAnsi="Courier New"/>
          <w:sz w:val="12"/>
          <w:szCs w:val="12"/>
          <w:color w:val="auto"/>
        </w:rPr>
        <w:t>OPTIONS TO THE COMPANY'S CHIEF EXECUTIVE OFFICER AND DIRECTOR (CONT.)</w:t>
      </w:r>
    </w:p>
    <w:p>
      <w:pPr>
        <w:spacing w:after="0" w:line="139" w:lineRule="exact"/>
        <w:rPr>
          <w:rFonts w:ascii="Courier New" w:cs="Courier New" w:eastAsia="Courier New" w:hAnsi="Courier New"/>
          <w:sz w:val="12"/>
          <w:szCs w:val="12"/>
          <w:color w:val="auto"/>
        </w:rPr>
      </w:pPr>
    </w:p>
    <w:p>
      <w:pPr>
        <w:ind w:left="14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May 2006, the Company's Audit Committee and Board of Directors approved the grant of options to the CEO, in addition to the options granted to him in 2005, such that in total, the CEO will hold options to purchase shares that represent 4% of the Company's shares on a fully diluted basis during the two-year period from the approval of the Audit Committee. The exercise price of the initial grant of the additional options was $1.45, the 90-day average closing price of the Company's shares prior to the Board of Directors' approval. Future dilutive events following May 2006 and until May 2008 also entitles him for additional options grants with an exercise price equal to the price per share of the newly issued securities. Under certain circumstances, the exercise price will equal the 30-day average closing price of the Company's shares prior to the dilutive event. The additional options granted during the two-year period, will vest in equal amounts over 4 years of employment commencing from May 2006. Any decrease in the Company's shares on a fully diluted basis during the two-year period from the approval of the Audit Committee will be followed by the cancellation of the corresponding options granted to the CEO. The options are exercisable for a period of 10 years from the date of grant. No additional options will be granted under the CEO's 2005 option arrangement, which was approved by the Company's shareholders in October 2005. The new grant of options and its terms were approved by the Company's shareholders in September 2006.</w:t>
      </w:r>
    </w:p>
    <w:p>
      <w:pPr>
        <w:spacing w:after="0" w:line="143"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of the balance sheet date, a total of 14,872,087 options were outstanding to the CEO. The compensation cost of the total options granted to the CEO was determined based on the fair value at the grant dates and amounted to $11,723. Such amount is expensed on an accelerated basis over the vesting periods of the options.</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7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9" w:lineRule="exact"/>
        <w:rPr>
          <w:rFonts w:ascii="Courier New" w:cs="Courier New" w:eastAsia="Courier New" w:hAnsi="Courier New"/>
          <w:sz w:val="12"/>
          <w:szCs w:val="12"/>
          <w:color w:val="auto"/>
        </w:rPr>
      </w:pPr>
    </w:p>
    <w:p>
      <w:pPr>
        <w:ind w:left="1400" w:right="4619" w:hanging="354"/>
        <w:spacing w:after="0" w:line="260" w:lineRule="auto"/>
        <w:tabs>
          <w:tab w:leader="none" w:pos="1400" w:val="left"/>
        </w:tabs>
        <w:numPr>
          <w:ilvl w:val="2"/>
          <w:numId w:val="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EMPLOYEE OPTIONS - In May 2006, the Company's board of directors approved a plan to offer each of the Company's employees the opportunity to exchange their existing options to purchase Ordinary Shares for new options with an exercise price of $1.45, which is the average closing price of the Company's shares on the NASDAQ during the 90 consecutive trading days prior to the board of directors' approval. Accordingly, 4,299,250 options were exchanged. The new options were granted based on terms similar to the existing employee option plan with new vesting periods, starting May 2006. The cost of the new options was determined based on the fair value at the grant dates in and amounted to $1,726. Such amount is amortized as an expense on an accelerated basis over the vesting periods of the new options. The Board of Directors further approved that if the total number of employee options, including the options to the CEO, during the two-year period from May 2006 will represent less than 8% of the Company's shares on a fully diluted basis, additional options will be allocated for grants to the Company's employees. As of the balance sheet date, approximately 3,938,000 options are reserved for future grant of options to employees.</w:t>
      </w:r>
    </w:p>
    <w:p>
      <w:pPr>
        <w:spacing w:after="0" w:line="272" w:lineRule="exact"/>
        <w:rPr>
          <w:rFonts w:ascii="Courier New" w:cs="Courier New" w:eastAsia="Courier New" w:hAnsi="Courier New"/>
          <w:sz w:val="11"/>
          <w:szCs w:val="11"/>
          <w:color w:val="auto"/>
        </w:rPr>
      </w:pPr>
    </w:p>
    <w:p>
      <w:pPr>
        <w:ind w:left="1400" w:right="4619" w:hanging="354"/>
        <w:spacing w:after="0" w:line="261" w:lineRule="auto"/>
        <w:tabs>
          <w:tab w:leader="none" w:pos="1400" w:val="left"/>
        </w:tabs>
        <w:numPr>
          <w:ilvl w:val="2"/>
          <w:numId w:val="79"/>
        </w:numPr>
        <w:rPr>
          <w:rFonts w:ascii="Courier New" w:cs="Courier New" w:eastAsia="Courier New" w:hAnsi="Courier New"/>
          <w:sz w:val="11"/>
          <w:szCs w:val="11"/>
          <w:color w:val="auto"/>
        </w:rPr>
      </w:pPr>
      <w:r>
        <w:rPr>
          <w:rFonts w:ascii="Courier New" w:cs="Courier New" w:eastAsia="Courier New" w:hAnsi="Courier New"/>
          <w:sz w:val="11"/>
          <w:szCs w:val="11"/>
          <w:color w:val="auto"/>
        </w:rPr>
        <w:t>OPTIONS GRANTED TO DIRECTORS - During 2001, the Audit Committee, the Board of Directors of the Company and the shareholders of the Company approved a stock option plan pursuant to which certain of the Company's directors will be granted options to purchase up to 400,000 Ordinary Shares of the Company (40,000 to each eligible director appointed to the Board of Directors) at an exercise price equal to the market price of the Company's shares on the grant dates. In accordance with this option plan, 80,000 options were granted in 2007 to two director who were appointed in 2007 at an average exercise prices of $1.74, which equals the market price of the Company's shares on the grant date. As of December 31, 2007, 190,000 options were outstanding under the plan with a weighted average exercise price of $3.68.</w:t>
      </w:r>
    </w:p>
    <w:p>
      <w:pPr>
        <w:spacing w:after="0" w:line="129" w:lineRule="exact"/>
        <w:rPr>
          <w:rFonts w:ascii="Courier New" w:cs="Courier New" w:eastAsia="Courier New" w:hAnsi="Courier New"/>
          <w:sz w:val="11"/>
          <w:szCs w:val="11"/>
          <w:color w:val="auto"/>
        </w:rPr>
      </w:pPr>
    </w:p>
    <w:p>
      <w:pPr>
        <w:ind w:left="1400" w:right="469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Options granted under the plan vest over a four-year period according to various vesting schedules, and generally may not be exercised beyond five years from the date they first become exercisable. So long as the Independent Directors Option Plan described below remains in effect, no new independent director, following January 2007, will be entitled to receive options under the 2001 director options plan.</w:t>
      </w:r>
    </w:p>
    <w:p>
      <w:pPr>
        <w:spacing w:after="0" w:line="27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sectPr>
          <w:pgSz w:w="11900" w:h="16838" w:orient="portrait"/>
          <w:cols w:equalWidth="0" w:num="1">
            <w:col w:w="10239"/>
          </w:cols>
          <w:pgMar w:left="220" w:top="407" w:right="1440" w:bottom="0" w:gutter="0" w:footer="0" w:header="0"/>
        </w:sectPr>
      </w:pPr>
    </w:p>
    <w:bookmarkStart w:id="69" w:name="page70"/>
    <w:bookmarkEnd w:id="69"/>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8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9" w:lineRule="exact"/>
        <w:rPr>
          <w:rFonts w:ascii="Courier New" w:cs="Courier New" w:eastAsia="Courier New" w:hAnsi="Courier New"/>
          <w:sz w:val="12"/>
          <w:szCs w:val="12"/>
          <w:color w:val="auto"/>
        </w:rPr>
      </w:pPr>
    </w:p>
    <w:p>
      <w:pPr>
        <w:ind w:left="1400" w:right="4619" w:hanging="354"/>
        <w:spacing w:after="0" w:line="260" w:lineRule="auto"/>
        <w:tabs>
          <w:tab w:leader="none" w:pos="1400" w:val="left"/>
        </w:tabs>
        <w:numPr>
          <w:ilvl w:val="2"/>
          <w:numId w:val="80"/>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INDEPENDENT DIRECTORS OPTION PLAN - In November 2006, the Company's Board of Directors approved, following the approval by the Audit Committee, the grant to each independent director options to purchase Ordinary Shares ("Initial Options") that shall equal 150,000 less the number of options to purchase Ordinary Shares held by such independent director as of January 31, 2007, the date the shareholders approved the grant (the "Initial Grant Date") and which, as of the Initial Grant Date, have not vested. The Initial Options shall vest over 3 years, one third will vest on the 12 month anniversary of the Initial Grant Date, and thereafter, the remaining two thirds will vest on a monthly basis until fully vested. The exercise price of the Initial Options was $1.88, which was the closing price of the Company's Ordinary Shares on the NASDAQ on the trading day immediately prior to the Initial Grant Date. Each new independent director appointed after the Initial Grant Date shall be granted 150,000 options to purchase Ordinary Shares ("Subsequent Options"), which, shall vest over 3 years, one third on the 12 month anniversary of the date on which such independent director shall have served on the Board of Directors of the Company, the remaining two thirds will vest on a monthly basis until fully vested. The exercise price per Subsequent Option shall be the closing price of the Company's Ordinary Shares on the NASDAQ on the trading day immediately prior to the relevant date of appointment.</w:t>
      </w:r>
    </w:p>
    <w:p>
      <w:pPr>
        <w:spacing w:after="0" w:line="273" w:lineRule="exact"/>
        <w:rPr>
          <w:rFonts w:ascii="Courier New" w:cs="Courier New" w:eastAsia="Courier New" w:hAnsi="Courier New"/>
          <w:sz w:val="11"/>
          <w:szCs w:val="11"/>
          <w:color w:val="auto"/>
        </w:rPr>
      </w:pPr>
    </w:p>
    <w:p>
      <w:pPr>
        <w:ind w:left="1400" w:right="4619"/>
        <w:spacing w:after="0" w:line="260"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Upon each 36 month anniversary of a previous grant of options to an independent director (each a "Tenure Grant Date"), each such independent director shall be granted an additional 150,000 options to purchase Ordinary Shares ("Tenure Options"), which will vest over 3 years on a monthly basis until fully vested. The exercise price per Tenure Option shall be the closing price of the Company's Ordinary Shares on the NASDAQ on the trading day immediately prior to the relevant Tenure Grant Date. Subject to certain conditions, the Initial Options, Subsequent Options and Tenure Options that have vested shall be exercisable by an Independent Director for a period of ten years following the date on which the Initial Options, Subsequent Options or Tenure Options, as the case may be, first vested. So long as this option plan remains in effect, no future grants will be made to independent directors under the plan described in</w:t>
      </w:r>
    </w:p>
    <w:p>
      <w:pPr>
        <w:spacing w:after="0" w:line="1" w:lineRule="exact"/>
        <w:rPr>
          <w:rFonts w:ascii="Courier New" w:cs="Courier New" w:eastAsia="Courier New" w:hAnsi="Courier New"/>
          <w:sz w:val="11"/>
          <w:szCs w:val="11"/>
          <w:color w:val="auto"/>
        </w:rPr>
      </w:pPr>
    </w:p>
    <w:p>
      <w:pPr>
        <w:ind w:left="1400" w:right="4619"/>
        <w:spacing w:after="0" w:line="273" w:lineRule="auto"/>
        <w:rPr>
          <w:rFonts w:ascii="Courier New" w:cs="Courier New" w:eastAsia="Courier New" w:hAnsi="Courier New"/>
          <w:sz w:val="11"/>
          <w:szCs w:val="11"/>
          <w:color w:val="auto"/>
        </w:rPr>
      </w:pPr>
      <w:r>
        <w:rPr>
          <w:rFonts w:ascii="Courier New" w:cs="Courier New" w:eastAsia="Courier New" w:hAnsi="Courier New"/>
          <w:sz w:val="11"/>
          <w:szCs w:val="11"/>
          <w:color w:val="auto"/>
        </w:rPr>
        <w:t>(1)(e) above. The independent directors' option plan was approved by the shareholders of the Company in January 2007.</w:t>
      </w:r>
    </w:p>
    <w:p>
      <w:pPr>
        <w:spacing w:after="0" w:line="253"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8" w:lineRule="exact"/>
        <w:rPr>
          <w:rFonts w:ascii="Courier New" w:cs="Courier New" w:eastAsia="Courier New" w:hAnsi="Courier New"/>
          <w:sz w:val="12"/>
          <w:szCs w:val="12"/>
          <w:color w:val="auto"/>
        </w:rPr>
      </w:pPr>
    </w:p>
    <w:p>
      <w:pPr>
        <w:ind w:left="1040" w:right="4899" w:hanging="345"/>
        <w:spacing w:after="0" w:line="235" w:lineRule="auto"/>
        <w:tabs>
          <w:tab w:leader="none" w:pos="1040" w:val="left"/>
        </w:tabs>
        <w:numPr>
          <w:ilvl w:val="1"/>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EMPLOYEE, CHAIRMAN OF THE BOARD OF DIRECTORS, CHIEF EXECUTIVE OFFICER AND DIRECTOR SHARE OPTIONS (CONT.)</w:t>
      </w:r>
    </w:p>
    <w:p>
      <w:pPr>
        <w:spacing w:after="0" w:line="134" w:lineRule="exact"/>
        <w:rPr>
          <w:rFonts w:ascii="Courier New" w:cs="Courier New" w:eastAsia="Courier New" w:hAnsi="Courier New"/>
          <w:sz w:val="12"/>
          <w:szCs w:val="12"/>
          <w:color w:val="auto"/>
        </w:rPr>
      </w:pPr>
    </w:p>
    <w:p>
      <w:pPr>
        <w:ind w:left="1400" w:hanging="354"/>
        <w:spacing w:after="0"/>
        <w:tabs>
          <w:tab w:leader="none" w:pos="1400" w:val="left"/>
        </w:tabs>
        <w:numPr>
          <w:ilvl w:val="2"/>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INDEPENDENT DIRECTORS OPTION PLAN (CONT.)</w:t>
      </w:r>
    </w:p>
    <w:p>
      <w:pPr>
        <w:spacing w:after="0" w:line="138" w:lineRule="exact"/>
        <w:rPr>
          <w:rFonts w:ascii="Courier New" w:cs="Courier New" w:eastAsia="Courier New" w:hAnsi="Courier New"/>
          <w:sz w:val="12"/>
          <w:szCs w:val="12"/>
          <w:color w:val="auto"/>
        </w:rPr>
      </w:pPr>
    </w:p>
    <w:p>
      <w:pPr>
        <w:ind w:left="1400" w:right="469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compensation cost of the total options granted to the directors under the plan described in (1)(e) above and to the independent directors under the plan described in this section was determined based on the fair value at the grant dates and amounted to $594. Such amount is expensed on an accelerated basis over the vesting periods of the options.</w:t>
      </w:r>
    </w:p>
    <w:p>
      <w:pPr>
        <w:spacing w:after="0" w:line="129" w:lineRule="exact"/>
        <w:rPr>
          <w:rFonts w:ascii="Courier New" w:cs="Courier New" w:eastAsia="Courier New" w:hAnsi="Courier New"/>
          <w:sz w:val="12"/>
          <w:szCs w:val="12"/>
          <w:color w:val="auto"/>
        </w:rPr>
      </w:pPr>
    </w:p>
    <w:p>
      <w:pPr>
        <w:ind w:left="1040" w:right="4699" w:hanging="345"/>
        <w:spacing w:after="0" w:line="235" w:lineRule="auto"/>
        <w:tabs>
          <w:tab w:leader="none" w:pos="1040" w:val="left"/>
        </w:tabs>
        <w:numPr>
          <w:ilvl w:val="1"/>
          <w:numId w:val="8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SUMMARY OF THE STATUS OF ALL THE COMPANY'S EMPLOYEE AND DIRECTOR SHARE OPTIONS</w:t>
      </w:r>
    </w:p>
    <w:p>
      <w:pPr>
        <w:spacing w:after="0" w:line="139" w:lineRule="exact"/>
        <w:rPr>
          <w:rFonts w:ascii="Courier New" w:cs="Courier New" w:eastAsia="Courier New" w:hAnsi="Courier New"/>
          <w:sz w:val="12"/>
          <w:szCs w:val="12"/>
          <w:color w:val="auto"/>
        </w:rPr>
      </w:pPr>
    </w:p>
    <w:p>
      <w:pPr>
        <w:ind w:left="104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 summary of the status of all the Company's employee and director share option plans as of December 31, 2007, 2006 and 2005, as well as changes during each of the years then ended, is presented below (for options granted to the Banks, a related party and a consultant, see B(5)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00" w:type="dxa"/>
            <w:vAlign w:val="bottom"/>
          </w:tcPr>
          <w:p>
            <w:pPr>
              <w:spacing w:after="0"/>
              <w:rPr>
                <w:sz w:val="11"/>
                <w:szCs w:val="11"/>
                <w:color w:val="auto"/>
              </w:rPr>
            </w:pPr>
          </w:p>
        </w:tc>
        <w:tc>
          <w:tcPr>
            <w:tcW w:w="134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2007</w:t>
            </w: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jc w:val="right"/>
              <w:ind w:right="1"/>
              <w:spacing w:after="0"/>
              <w:rPr>
                <w:sz w:val="20"/>
                <w:szCs w:val="20"/>
                <w:color w:val="auto"/>
              </w:rPr>
            </w:pPr>
            <w:r>
              <w:rPr>
                <w:rFonts w:ascii="Courier New" w:cs="Courier New" w:eastAsia="Courier New" w:hAnsi="Courier New"/>
                <w:sz w:val="12"/>
                <w:szCs w:val="12"/>
                <w:color w:val="auto"/>
                <w:w w:val="97"/>
              </w:rPr>
              <w:t>2006</w:t>
            </w:r>
          </w:p>
        </w:tc>
        <w:tc>
          <w:tcPr>
            <w:tcW w:w="8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2"/>
                <w:szCs w:val="12"/>
                <w:color w:val="auto"/>
              </w:rPr>
              <w:t>2005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600" w:type="dxa"/>
            <w:vAlign w:val="bottom"/>
          </w:tcPr>
          <w:p>
            <w:pPr>
              <w:spacing w:after="0"/>
              <w:rPr>
                <w:sz w:val="11"/>
                <w:szCs w:val="11"/>
                <w:color w:val="auto"/>
              </w:rPr>
            </w:pPr>
          </w:p>
        </w:tc>
        <w:tc>
          <w:tcPr>
            <w:tcW w:w="218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18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2040" w:type="dxa"/>
            <w:vAlign w:val="bottom"/>
            <w:gridSpan w:val="3"/>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1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Weighted</w:t>
            </w: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Weighted</w:t>
            </w: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Weighted</w:t>
            </w:r>
          </w:p>
        </w:tc>
      </w:tr>
      <w:tr>
        <w:trPr>
          <w:trHeight w:val="135"/>
        </w:trPr>
        <w:tc>
          <w:tcPr>
            <w:tcW w:w="1600" w:type="dxa"/>
            <w:vAlign w:val="bottom"/>
          </w:tcPr>
          <w:p>
            <w:pPr>
              <w:spacing w:after="0"/>
              <w:rPr>
                <w:sz w:val="11"/>
                <w:szCs w:val="11"/>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2"/>
                <w:szCs w:val="12"/>
                <w:color w:val="auto"/>
              </w:rPr>
              <w:t>Number</w:t>
            </w:r>
          </w:p>
        </w:tc>
        <w:tc>
          <w:tcPr>
            <w:tcW w:w="34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average</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Number</w:t>
            </w:r>
          </w:p>
        </w:tc>
        <w:tc>
          <w:tcPr>
            <w:tcW w:w="36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average</w:t>
            </w:r>
          </w:p>
        </w:tc>
        <w:tc>
          <w:tcPr>
            <w:tcW w:w="1240" w:type="dxa"/>
            <w:vAlign w:val="bottom"/>
          </w:tcPr>
          <w:p>
            <w:pPr>
              <w:ind w:left="280"/>
              <w:spacing w:after="0"/>
              <w:rPr>
                <w:sz w:val="20"/>
                <w:szCs w:val="20"/>
                <w:color w:val="auto"/>
              </w:rPr>
            </w:pPr>
            <w:r>
              <w:rPr>
                <w:rFonts w:ascii="Courier New" w:cs="Courier New" w:eastAsia="Courier New" w:hAnsi="Courier New"/>
                <w:sz w:val="12"/>
                <w:szCs w:val="12"/>
                <w:color w:val="auto"/>
              </w:rPr>
              <w:t>Number</w:t>
            </w:r>
          </w:p>
        </w:tc>
        <w:tc>
          <w:tcPr>
            <w:tcW w:w="10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average</w:t>
            </w:r>
          </w:p>
        </w:tc>
      </w:tr>
      <w:tr>
        <w:trPr>
          <w:trHeight w:val="135"/>
        </w:trPr>
        <w:tc>
          <w:tcPr>
            <w:tcW w:w="1600" w:type="dxa"/>
            <w:vAlign w:val="bottom"/>
          </w:tcPr>
          <w:p>
            <w:pPr>
              <w:spacing w:after="0"/>
              <w:rPr>
                <w:sz w:val="11"/>
                <w:szCs w:val="11"/>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2"/>
                <w:szCs w:val="12"/>
                <w:color w:val="auto"/>
              </w:rPr>
              <w:t>of share</w:t>
            </w:r>
          </w:p>
        </w:tc>
        <w:tc>
          <w:tcPr>
            <w:tcW w:w="34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exercise</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of share</w:t>
            </w:r>
          </w:p>
        </w:tc>
        <w:tc>
          <w:tcPr>
            <w:tcW w:w="36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exercise</w:t>
            </w:r>
          </w:p>
        </w:tc>
        <w:tc>
          <w:tcPr>
            <w:tcW w:w="1240" w:type="dxa"/>
            <w:vAlign w:val="bottom"/>
          </w:tcPr>
          <w:p>
            <w:pPr>
              <w:ind w:left="280"/>
              <w:spacing w:after="0"/>
              <w:rPr>
                <w:sz w:val="20"/>
                <w:szCs w:val="20"/>
                <w:color w:val="auto"/>
              </w:rPr>
            </w:pPr>
            <w:r>
              <w:rPr>
                <w:rFonts w:ascii="Courier New" w:cs="Courier New" w:eastAsia="Courier New" w:hAnsi="Courier New"/>
                <w:sz w:val="12"/>
                <w:szCs w:val="12"/>
                <w:color w:val="auto"/>
              </w:rPr>
              <w:t>of share</w:t>
            </w:r>
          </w:p>
        </w:tc>
        <w:tc>
          <w:tcPr>
            <w:tcW w:w="10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Courier New" w:cs="Courier New" w:eastAsia="Courier New" w:hAnsi="Courier New"/>
                <w:sz w:val="12"/>
                <w:szCs w:val="12"/>
                <w:color w:val="auto"/>
              </w:rPr>
              <w:t>exercise</w:t>
            </w:r>
          </w:p>
        </w:tc>
      </w:tr>
      <w:tr>
        <w:trPr>
          <w:trHeight w:val="135"/>
        </w:trPr>
        <w:tc>
          <w:tcPr>
            <w:tcW w:w="1600" w:type="dxa"/>
            <w:vAlign w:val="bottom"/>
          </w:tcPr>
          <w:p>
            <w:pPr>
              <w:spacing w:after="0"/>
              <w:rPr>
                <w:sz w:val="11"/>
                <w:szCs w:val="11"/>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2"/>
                <w:szCs w:val="12"/>
                <w:color w:val="auto"/>
              </w:rPr>
              <w:t>options</w:t>
            </w:r>
          </w:p>
        </w:tc>
        <w:tc>
          <w:tcPr>
            <w:tcW w:w="340" w:type="dxa"/>
            <w:vAlign w:val="bottom"/>
          </w:tcPr>
          <w:p>
            <w:pPr>
              <w:spacing w:after="0"/>
              <w:rPr>
                <w:sz w:val="11"/>
                <w:szCs w:val="11"/>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price</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options</w:t>
            </w:r>
          </w:p>
        </w:tc>
        <w:tc>
          <w:tcPr>
            <w:tcW w:w="360" w:type="dxa"/>
            <w:vAlign w:val="bottom"/>
          </w:tcPr>
          <w:p>
            <w:pPr>
              <w:spacing w:after="0"/>
              <w:rPr>
                <w:sz w:val="11"/>
                <w:szCs w:val="11"/>
                <w:color w:val="auto"/>
              </w:rPr>
            </w:pPr>
          </w:p>
        </w:tc>
        <w:tc>
          <w:tcPr>
            <w:tcW w:w="8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price</w:t>
            </w:r>
          </w:p>
        </w:tc>
        <w:tc>
          <w:tcPr>
            <w:tcW w:w="1240" w:type="dxa"/>
            <w:vAlign w:val="bottom"/>
          </w:tcPr>
          <w:p>
            <w:pPr>
              <w:ind w:left="280"/>
              <w:spacing w:after="0"/>
              <w:rPr>
                <w:sz w:val="20"/>
                <w:szCs w:val="20"/>
                <w:color w:val="auto"/>
              </w:rPr>
            </w:pPr>
            <w:r>
              <w:rPr>
                <w:rFonts w:ascii="Courier New" w:cs="Courier New" w:eastAsia="Courier New" w:hAnsi="Courier New"/>
                <w:sz w:val="12"/>
                <w:szCs w:val="12"/>
                <w:color w:val="auto"/>
              </w:rPr>
              <w:t>options</w:t>
            </w:r>
          </w:p>
        </w:tc>
        <w:tc>
          <w:tcPr>
            <w:tcW w:w="100" w:type="dxa"/>
            <w:vAlign w:val="bottom"/>
          </w:tcPr>
          <w:p>
            <w:pPr>
              <w:spacing w:after="0"/>
              <w:rPr>
                <w:sz w:val="11"/>
                <w:szCs w:val="11"/>
                <w:color w:val="auto"/>
              </w:rPr>
            </w:pPr>
          </w:p>
        </w:tc>
        <w:tc>
          <w:tcPr>
            <w:tcW w:w="70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price</w:t>
            </w:r>
          </w:p>
        </w:tc>
      </w:tr>
      <w:tr>
        <w:trPr>
          <w:trHeight w:val="135"/>
        </w:trPr>
        <w:tc>
          <w:tcPr>
            <w:tcW w:w="1600" w:type="dxa"/>
            <w:vAlign w:val="bottom"/>
          </w:tcPr>
          <w:p>
            <w:pPr>
              <w:spacing w:after="0"/>
              <w:rPr>
                <w:sz w:val="11"/>
                <w:szCs w:val="11"/>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118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20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8"/>
              </w:rPr>
              <w:t>-----------</w:t>
            </w:r>
          </w:p>
        </w:tc>
      </w:tr>
      <w:tr>
        <w:trPr>
          <w:trHeight w:val="270"/>
        </w:trPr>
        <w:tc>
          <w:tcPr>
            <w:tcW w:w="1600" w:type="dxa"/>
            <w:vAlign w:val="bottom"/>
          </w:tcPr>
          <w:p>
            <w:pPr>
              <w:spacing w:after="0"/>
              <w:rPr>
                <w:sz w:val="20"/>
                <w:szCs w:val="20"/>
                <w:color w:val="auto"/>
              </w:rPr>
            </w:pPr>
            <w:r>
              <w:rPr>
                <w:rFonts w:ascii="Courier New" w:cs="Courier New" w:eastAsia="Courier New" w:hAnsi="Courier New"/>
                <w:sz w:val="12"/>
                <w:szCs w:val="12"/>
                <w:color w:val="auto"/>
              </w:rPr>
              <w:t>Outstanding as of</w:t>
            </w: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beginning of year</w:t>
            </w: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23,514,042</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1.87</w:t>
            </w: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13,011,575</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4.19</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10,212,920</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5.71</w:t>
            </w: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Granted</w:t>
            </w: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9,127,384</w:t>
            </w:r>
          </w:p>
        </w:tc>
        <w:tc>
          <w:tcPr>
            <w:tcW w:w="34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1.88</w:t>
            </w: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17,414,268</w:t>
            </w:r>
          </w:p>
        </w:tc>
        <w:tc>
          <w:tcPr>
            <w:tcW w:w="36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1.52</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5,000,224</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1.54</w:t>
            </w: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Exercised</w:t>
            </w:r>
          </w:p>
        </w:tc>
        <w:tc>
          <w:tcPr>
            <w:tcW w:w="1000" w:type="dxa"/>
            <w:vAlign w:val="bottom"/>
          </w:tcPr>
          <w:p>
            <w:pPr>
              <w:jc w:val="right"/>
              <w:spacing w:after="0"/>
              <w:rPr>
                <w:sz w:val="20"/>
                <w:szCs w:val="20"/>
                <w:color w:val="auto"/>
              </w:rPr>
            </w:pPr>
            <w:r>
              <w:rPr>
                <w:rFonts w:ascii="Courier New" w:cs="Courier New" w:eastAsia="Courier New" w:hAnsi="Courier New"/>
                <w:sz w:val="12"/>
                <w:szCs w:val="12"/>
                <w:color w:val="auto"/>
              </w:rPr>
              <w:t>(176,231)</w:t>
            </w:r>
          </w:p>
        </w:tc>
        <w:tc>
          <w:tcPr>
            <w:tcW w:w="34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1.30</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(7,250)</w:t>
            </w:r>
          </w:p>
        </w:tc>
        <w:tc>
          <w:tcPr>
            <w:tcW w:w="36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1.58</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Terminated</w:t>
            </w:r>
          </w:p>
        </w:tc>
        <w:tc>
          <w:tcPr>
            <w:tcW w:w="1000" w:type="dxa"/>
            <w:vAlign w:val="bottom"/>
          </w:tcPr>
          <w:p>
            <w:pPr>
              <w:jc w:val="right"/>
              <w:spacing w:after="0"/>
              <w:rPr>
                <w:sz w:val="20"/>
                <w:szCs w:val="20"/>
                <w:color w:val="auto"/>
              </w:rPr>
            </w:pPr>
            <w:r>
              <w:rPr>
                <w:rFonts w:ascii="Courier New" w:cs="Courier New" w:eastAsia="Courier New" w:hAnsi="Courier New"/>
                <w:sz w:val="12"/>
                <w:szCs w:val="12"/>
                <w:color w:val="auto"/>
              </w:rPr>
              <w:t>(525,000)</w:t>
            </w:r>
          </w:p>
        </w:tc>
        <w:tc>
          <w:tcPr>
            <w:tcW w:w="34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7.07</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(132,176)</w:t>
            </w:r>
          </w:p>
        </w:tc>
        <w:tc>
          <w:tcPr>
            <w:tcW w:w="36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10.95</w:t>
            </w:r>
          </w:p>
        </w:tc>
        <w:tc>
          <w:tcPr>
            <w:tcW w:w="12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(77,214)</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12.45</w:t>
            </w: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Forfeited</w:t>
            </w:r>
          </w:p>
        </w:tc>
        <w:tc>
          <w:tcPr>
            <w:tcW w:w="1000" w:type="dxa"/>
            <w:vAlign w:val="bottom"/>
          </w:tcPr>
          <w:p>
            <w:pPr>
              <w:jc w:val="right"/>
              <w:spacing w:after="0"/>
              <w:rPr>
                <w:sz w:val="20"/>
                <w:szCs w:val="20"/>
                <w:color w:val="auto"/>
              </w:rPr>
            </w:pPr>
            <w:r>
              <w:rPr>
                <w:rFonts w:ascii="Courier New" w:cs="Courier New" w:eastAsia="Courier New" w:hAnsi="Courier New"/>
                <w:sz w:val="12"/>
                <w:szCs w:val="12"/>
                <w:color w:val="auto"/>
              </w:rPr>
              <w:t>(2,344,660)</w:t>
            </w:r>
          </w:p>
        </w:tc>
        <w:tc>
          <w:tcPr>
            <w:tcW w:w="34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1.81</w:t>
            </w:r>
          </w:p>
        </w:tc>
        <w:tc>
          <w:tcPr>
            <w:tcW w:w="980" w:type="dxa"/>
            <w:vAlign w:val="bottom"/>
          </w:tcPr>
          <w:p>
            <w:pPr>
              <w:jc w:val="right"/>
              <w:spacing w:after="0"/>
              <w:rPr>
                <w:sz w:val="20"/>
                <w:szCs w:val="20"/>
                <w:color w:val="auto"/>
              </w:rPr>
            </w:pPr>
            <w:r>
              <w:rPr>
                <w:rFonts w:ascii="Courier New" w:cs="Courier New" w:eastAsia="Courier New" w:hAnsi="Courier New"/>
                <w:sz w:val="12"/>
                <w:szCs w:val="12"/>
                <w:color w:val="auto"/>
              </w:rPr>
              <w:t>(6,772,375)</w:t>
            </w:r>
          </w:p>
        </w:tc>
        <w:tc>
          <w:tcPr>
            <w:tcW w:w="36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5.23</w:t>
            </w:r>
          </w:p>
        </w:tc>
        <w:tc>
          <w:tcPr>
            <w:tcW w:w="1240" w:type="dxa"/>
            <w:vAlign w:val="bottom"/>
          </w:tcPr>
          <w:p>
            <w:pPr>
              <w:jc w:val="right"/>
              <w:ind w:right="201"/>
              <w:spacing w:after="0"/>
              <w:rPr>
                <w:sz w:val="20"/>
                <w:szCs w:val="20"/>
                <w:color w:val="auto"/>
              </w:rPr>
            </w:pPr>
            <w:r>
              <w:rPr>
                <w:rFonts w:ascii="Courier New" w:cs="Courier New" w:eastAsia="Courier New" w:hAnsi="Courier New"/>
                <w:sz w:val="12"/>
                <w:szCs w:val="12"/>
                <w:color w:val="auto"/>
              </w:rPr>
              <w:t>(2,124,355)</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4.99</w:t>
            </w:r>
          </w:p>
        </w:tc>
      </w:tr>
      <w:tr>
        <w:trPr>
          <w:trHeight w:val="135"/>
        </w:trPr>
        <w:tc>
          <w:tcPr>
            <w:tcW w:w="1600" w:type="dxa"/>
            <w:vAlign w:val="bottom"/>
          </w:tcPr>
          <w:p>
            <w:pPr>
              <w:spacing w:after="0"/>
              <w:rPr>
                <w:sz w:val="11"/>
                <w:szCs w:val="11"/>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Outstanding as of end</w:t>
            </w: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of year</w:t>
            </w: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29,595,535</w:t>
            </w:r>
          </w:p>
        </w:tc>
        <w:tc>
          <w:tcPr>
            <w:tcW w:w="34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1.79</w:t>
            </w: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23,514,042</w:t>
            </w:r>
          </w:p>
        </w:tc>
        <w:tc>
          <w:tcPr>
            <w:tcW w:w="360" w:type="dxa"/>
            <w:vAlign w:val="bottom"/>
          </w:tcPr>
          <w:p>
            <w:pPr>
              <w:spacing w:after="0"/>
              <w:rPr>
                <w:sz w:val="11"/>
                <w:szCs w:val="11"/>
                <w:color w:val="auto"/>
              </w:rPr>
            </w:pP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1.87</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13,011,575</w:t>
            </w:r>
          </w:p>
        </w:tc>
        <w:tc>
          <w:tcPr>
            <w:tcW w:w="1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4.19</w:t>
            </w:r>
          </w:p>
        </w:tc>
      </w:tr>
      <w:tr>
        <w:trPr>
          <w:trHeight w:val="135"/>
        </w:trPr>
        <w:tc>
          <w:tcPr>
            <w:tcW w:w="1600" w:type="dxa"/>
            <w:vAlign w:val="bottom"/>
          </w:tcPr>
          <w:p>
            <w:pPr>
              <w:spacing w:after="0"/>
              <w:rPr>
                <w:sz w:val="11"/>
                <w:szCs w:val="11"/>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70"/>
        </w:trPr>
        <w:tc>
          <w:tcPr>
            <w:tcW w:w="1600" w:type="dxa"/>
            <w:vAlign w:val="bottom"/>
          </w:tcPr>
          <w:p>
            <w:pPr>
              <w:spacing w:after="0"/>
              <w:rPr>
                <w:sz w:val="20"/>
                <w:szCs w:val="20"/>
                <w:color w:val="auto"/>
              </w:rPr>
            </w:pPr>
            <w:r>
              <w:rPr>
                <w:rFonts w:ascii="Courier New" w:cs="Courier New" w:eastAsia="Courier New" w:hAnsi="Courier New"/>
                <w:sz w:val="12"/>
                <w:szCs w:val="12"/>
                <w:color w:val="auto"/>
              </w:rPr>
              <w:t>Options exercisable</w:t>
            </w:r>
          </w:p>
        </w:tc>
        <w:tc>
          <w:tcPr>
            <w:tcW w:w="10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135"/>
        </w:trPr>
        <w:tc>
          <w:tcPr>
            <w:tcW w:w="1600" w:type="dxa"/>
            <w:vAlign w:val="bottom"/>
          </w:tcPr>
          <w:p>
            <w:pPr>
              <w:spacing w:after="0"/>
              <w:rPr>
                <w:sz w:val="20"/>
                <w:szCs w:val="20"/>
                <w:color w:val="auto"/>
              </w:rPr>
            </w:pPr>
            <w:r>
              <w:rPr>
                <w:rFonts w:ascii="Courier New" w:cs="Courier New" w:eastAsia="Courier New" w:hAnsi="Courier New"/>
                <w:sz w:val="12"/>
                <w:szCs w:val="12"/>
                <w:color w:val="auto"/>
              </w:rPr>
              <w:t>as of end of year</w:t>
            </w: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7,827,743</w:t>
            </w:r>
          </w:p>
        </w:tc>
        <w:tc>
          <w:tcPr>
            <w:tcW w:w="3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2.15</w:t>
            </w: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2,849,132</w:t>
            </w:r>
          </w:p>
        </w:tc>
        <w:tc>
          <w:tcPr>
            <w:tcW w:w="3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4.25</w:t>
            </w: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4,602,447</w:t>
            </w:r>
          </w:p>
        </w:tc>
        <w:tc>
          <w:tcPr>
            <w:tcW w:w="1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2"/>
                <w:szCs w:val="12"/>
                <w:color w:val="auto"/>
              </w:rPr>
              <w:t>7.77</w:t>
            </w:r>
          </w:p>
        </w:tc>
      </w:tr>
      <w:tr>
        <w:trPr>
          <w:trHeight w:val="135"/>
        </w:trPr>
        <w:tc>
          <w:tcPr>
            <w:tcW w:w="1600" w:type="dxa"/>
            <w:vAlign w:val="bottom"/>
          </w:tcPr>
          <w:p>
            <w:pPr>
              <w:spacing w:after="0"/>
              <w:rPr>
                <w:sz w:val="11"/>
                <w:szCs w:val="11"/>
                <w:color w:val="auto"/>
              </w:rPr>
            </w:pPr>
          </w:p>
        </w:tc>
        <w:tc>
          <w:tcPr>
            <w:tcW w:w="10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405"/>
        </w:trPr>
        <w:tc>
          <w:tcPr>
            <w:tcW w:w="1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gridSpan w:val="2"/>
          </w:tcPr>
          <w:p>
            <w:pPr>
              <w:jc w:val="right"/>
              <w:ind w:right="701"/>
              <w:spacing w:after="0"/>
              <w:rPr>
                <w:sz w:val="20"/>
                <w:szCs w:val="20"/>
                <w:color w:val="auto"/>
              </w:rPr>
            </w:pPr>
            <w:r>
              <w:rPr>
                <w:rFonts w:ascii="Courier New" w:cs="Courier New" w:eastAsia="Courier New" w:hAnsi="Courier New"/>
                <w:sz w:val="12"/>
                <w:szCs w:val="12"/>
                <w:color w:val="auto"/>
                <w:w w:val="92"/>
              </w:rPr>
              <w:t>F - 45</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ectPr>
          <w:pgSz w:w="11900" w:h="16838" w:orient="portrait"/>
          <w:cols w:equalWidth="0" w:num="1">
            <w:col w:w="10239"/>
          </w:cols>
          <w:pgMar w:left="220" w:top="137" w:right="1440" w:bottom="0" w:gutter="0" w:footer="0" w:header="0"/>
        </w:sectPr>
      </w:pPr>
    </w:p>
    <w:bookmarkStart w:id="70" w:name="page71"/>
    <w:bookmarkEnd w:id="70"/>
    <w:p>
      <w:pPr>
        <w:ind w:left="700" w:hanging="357"/>
        <w:spacing w:after="0"/>
        <w:tabs>
          <w:tab w:leader="none" w:pos="700" w:val="left"/>
        </w:tabs>
        <w:numPr>
          <w:ilvl w:val="0"/>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82"/>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SUMMARY OF INFORMATION ABOUT EMPLOYEE SHARE OPTIONS OUTSTANDING</w:t>
      </w:r>
    </w:p>
    <w:p>
      <w:pPr>
        <w:spacing w:after="0" w:line="138" w:lineRule="exact"/>
        <w:rPr>
          <w:rFonts w:ascii="Courier New" w:cs="Courier New" w:eastAsia="Courier New" w:hAnsi="Courier New"/>
          <w:sz w:val="12"/>
          <w:szCs w:val="12"/>
          <w:color w:val="auto"/>
        </w:rPr>
      </w:pPr>
    </w:p>
    <w:p>
      <w:pPr>
        <w:ind w:left="1040" w:right="47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table summarizes information about employee share options outstanding as of December 31, 2007:</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gridSpan w:val="3"/>
          </w:tcPr>
          <w:p>
            <w:pPr>
              <w:jc w:val="right"/>
              <w:ind w:right="361"/>
              <w:spacing w:after="0"/>
              <w:rPr>
                <w:sz w:val="20"/>
                <w:szCs w:val="20"/>
                <w:color w:val="auto"/>
              </w:rPr>
            </w:pPr>
            <w:r>
              <w:rPr>
                <w:rFonts w:ascii="Courier New" w:cs="Courier New" w:eastAsia="Courier New" w:hAnsi="Courier New"/>
                <w:sz w:val="12"/>
                <w:szCs w:val="12"/>
                <w:color w:val="auto"/>
              </w:rPr>
              <w:t>Exercisable as of</w:t>
            </w:r>
          </w:p>
        </w:tc>
      </w:tr>
      <w:tr>
        <w:trPr>
          <w:trHeight w:val="135"/>
        </w:trPr>
        <w:tc>
          <w:tcPr>
            <w:tcW w:w="3080" w:type="dxa"/>
            <w:vAlign w:val="bottom"/>
            <w:gridSpan w:val="3"/>
          </w:tcPr>
          <w:p>
            <w:pPr>
              <w:jc w:val="right"/>
              <w:ind w:right="1"/>
              <w:spacing w:after="0"/>
              <w:rPr>
                <w:sz w:val="20"/>
                <w:szCs w:val="20"/>
                <w:color w:val="auto"/>
              </w:rPr>
            </w:pPr>
            <w:r>
              <w:rPr>
                <w:rFonts w:ascii="Courier New" w:cs="Courier New" w:eastAsia="Courier New" w:hAnsi="Courier New"/>
                <w:sz w:val="12"/>
                <w:szCs w:val="12"/>
                <w:color w:val="auto"/>
              </w:rPr>
              <w:t>Outstanding as of December 31, 2007</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gridSpan w:val="3"/>
          </w:tcPr>
          <w:p>
            <w:pPr>
              <w:jc w:val="right"/>
              <w:ind w:right="361"/>
              <w:spacing w:after="0"/>
              <w:rPr>
                <w:sz w:val="20"/>
                <w:szCs w:val="20"/>
                <w:color w:val="auto"/>
              </w:rPr>
            </w:pPr>
            <w:r>
              <w:rPr>
                <w:rFonts w:ascii="Courier New" w:cs="Courier New" w:eastAsia="Courier New" w:hAnsi="Courier New"/>
                <w:sz w:val="12"/>
                <w:szCs w:val="12"/>
                <w:color w:val="auto"/>
              </w:rPr>
              <w:t>December 31, 2007</w:t>
            </w:r>
          </w:p>
        </w:tc>
      </w:tr>
      <w:tr>
        <w:trPr>
          <w:trHeight w:val="135"/>
        </w:trPr>
        <w:tc>
          <w:tcPr>
            <w:tcW w:w="2060" w:type="dxa"/>
            <w:vAlign w:val="bottom"/>
            <w:gridSpan w:val="2"/>
          </w:tcPr>
          <w:p>
            <w:pPr>
              <w:spacing w:after="0"/>
              <w:rPr>
                <w:sz w:val="20"/>
                <w:szCs w:val="20"/>
                <w:color w:val="auto"/>
              </w:rPr>
            </w:pPr>
            <w:r>
              <w:rPr>
                <w:rFonts w:ascii="Courier New" w:cs="Courier New" w:eastAsia="Courier New" w:hAnsi="Courier New"/>
                <w:sz w:val="8"/>
                <w:szCs w:val="8"/>
                <w:color w:val="auto"/>
                <w:w w:val="74"/>
              </w:rPr>
              <w:t>- -------------------------------------------------------</w:t>
            </w: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gridSpan w:val="3"/>
          </w:tcPr>
          <w:p>
            <w:pPr>
              <w:jc w:val="center"/>
              <w:ind w:left="161"/>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Weighted</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average</w:t>
            </w:r>
          </w:p>
        </w:tc>
        <w:tc>
          <w:tcPr>
            <w:tcW w:w="980" w:type="dxa"/>
            <w:vAlign w:val="bottom"/>
            <w:gridSpan w:val="2"/>
          </w:tcPr>
          <w:p>
            <w:pPr>
              <w:ind w:left="80"/>
              <w:spacing w:after="0"/>
              <w:rPr>
                <w:sz w:val="20"/>
                <w:szCs w:val="20"/>
                <w:color w:val="auto"/>
              </w:rPr>
            </w:pPr>
            <w:r>
              <w:rPr>
                <w:rFonts w:ascii="Courier New" w:cs="Courier New" w:eastAsia="Courier New" w:hAnsi="Courier New"/>
                <w:sz w:val="12"/>
                <w:szCs w:val="12"/>
                <w:color w:val="auto"/>
              </w:rPr>
              <w:t>Weighted</w:t>
            </w:r>
          </w:p>
        </w:tc>
        <w:tc>
          <w:tcPr>
            <w:tcW w:w="1000" w:type="dxa"/>
            <w:vAlign w:val="bottom"/>
          </w:tcPr>
          <w:p>
            <w:pPr>
              <w:spacing w:after="0"/>
              <w:rPr>
                <w:sz w:val="11"/>
                <w:szCs w:val="11"/>
                <w:color w:val="auto"/>
              </w:rPr>
            </w:pPr>
          </w:p>
        </w:tc>
        <w:tc>
          <w:tcPr>
            <w:tcW w:w="980" w:type="dxa"/>
            <w:vAlign w:val="bottom"/>
            <w:gridSpan w:val="2"/>
          </w:tcPr>
          <w:p>
            <w:pPr>
              <w:jc w:val="right"/>
              <w:ind w:right="301"/>
              <w:spacing w:after="0"/>
              <w:rPr>
                <w:sz w:val="20"/>
                <w:szCs w:val="20"/>
                <w:color w:val="auto"/>
              </w:rPr>
            </w:pPr>
            <w:r>
              <w:rPr>
                <w:rFonts w:ascii="Courier New" w:cs="Courier New" w:eastAsia="Courier New" w:hAnsi="Courier New"/>
                <w:sz w:val="12"/>
                <w:szCs w:val="12"/>
                <w:color w:val="auto"/>
              </w:rPr>
              <w:t>Weighted</w:t>
            </w:r>
          </w:p>
        </w:tc>
      </w:tr>
      <w:tr>
        <w:trPr>
          <w:trHeight w:val="135"/>
        </w:trPr>
        <w:tc>
          <w:tcPr>
            <w:tcW w:w="1180" w:type="dxa"/>
            <w:vAlign w:val="bottom"/>
          </w:tcPr>
          <w:p>
            <w:pPr>
              <w:jc w:val="center"/>
              <w:ind w:right="442"/>
              <w:spacing w:after="0"/>
              <w:rPr>
                <w:sz w:val="20"/>
                <w:szCs w:val="20"/>
                <w:color w:val="auto"/>
              </w:rPr>
            </w:pPr>
            <w:r>
              <w:rPr>
                <w:rFonts w:ascii="Courier New" w:cs="Courier New" w:eastAsia="Courier New" w:hAnsi="Courier New"/>
                <w:sz w:val="12"/>
                <w:szCs w:val="12"/>
                <w:color w:val="auto"/>
                <w:w w:val="97"/>
              </w:rPr>
              <w:t>Range of</w:t>
            </w:r>
          </w:p>
        </w:tc>
        <w:tc>
          <w:tcPr>
            <w:tcW w:w="880" w:type="dxa"/>
            <w:vAlign w:val="bottom"/>
          </w:tcPr>
          <w:p>
            <w:pPr>
              <w:spacing w:after="0"/>
              <w:rPr>
                <w:sz w:val="11"/>
                <w:szCs w:val="11"/>
                <w:color w:val="auto"/>
              </w:rPr>
            </w:pPr>
          </w:p>
        </w:tc>
        <w:tc>
          <w:tcPr>
            <w:tcW w:w="102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remaining</w:t>
            </w:r>
          </w:p>
        </w:tc>
        <w:tc>
          <w:tcPr>
            <w:tcW w:w="14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average</w:t>
            </w: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average</w:t>
            </w:r>
          </w:p>
        </w:tc>
      </w:tr>
      <w:tr>
        <w:trPr>
          <w:trHeight w:val="135"/>
        </w:trPr>
        <w:tc>
          <w:tcPr>
            <w:tcW w:w="1180" w:type="dxa"/>
            <w:vAlign w:val="bottom"/>
          </w:tcPr>
          <w:p>
            <w:pPr>
              <w:jc w:val="center"/>
              <w:ind w:right="442"/>
              <w:spacing w:after="0"/>
              <w:rPr>
                <w:sz w:val="20"/>
                <w:szCs w:val="20"/>
                <w:color w:val="auto"/>
              </w:rPr>
            </w:pPr>
            <w:r>
              <w:rPr>
                <w:rFonts w:ascii="Courier New" w:cs="Courier New" w:eastAsia="Courier New" w:hAnsi="Courier New"/>
                <w:sz w:val="12"/>
                <w:szCs w:val="12"/>
                <w:color w:val="auto"/>
                <w:w w:val="97"/>
              </w:rPr>
              <w:t>exercise</w:t>
            </w:r>
          </w:p>
        </w:tc>
        <w:tc>
          <w:tcPr>
            <w:tcW w:w="88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Number</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contractual</w:t>
            </w:r>
          </w:p>
        </w:tc>
        <w:tc>
          <w:tcPr>
            <w:tcW w:w="14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Courier New" w:cs="Courier New" w:eastAsia="Courier New" w:hAnsi="Courier New"/>
                <w:sz w:val="12"/>
                <w:szCs w:val="12"/>
                <w:color w:val="auto"/>
              </w:rPr>
              <w:t>exercise</w:t>
            </w:r>
          </w:p>
        </w:tc>
        <w:tc>
          <w:tcPr>
            <w:tcW w:w="1000" w:type="dxa"/>
            <w:vAlign w:val="bottom"/>
          </w:tcPr>
          <w:p>
            <w:pPr>
              <w:ind w:left="220"/>
              <w:spacing w:after="0"/>
              <w:rPr>
                <w:sz w:val="20"/>
                <w:szCs w:val="20"/>
                <w:color w:val="auto"/>
              </w:rPr>
            </w:pPr>
            <w:r>
              <w:rPr>
                <w:rFonts w:ascii="Courier New" w:cs="Courier New" w:eastAsia="Courier New" w:hAnsi="Courier New"/>
                <w:sz w:val="12"/>
                <w:szCs w:val="12"/>
                <w:color w:val="auto"/>
              </w:rPr>
              <w:t>Number</w:t>
            </w:r>
          </w:p>
        </w:tc>
        <w:tc>
          <w:tcPr>
            <w:tcW w:w="140" w:type="dxa"/>
            <w:vAlign w:val="bottom"/>
          </w:tcPr>
          <w:p>
            <w:pPr>
              <w:spacing w:after="0"/>
              <w:rPr>
                <w:sz w:val="11"/>
                <w:szCs w:val="11"/>
                <w:color w:val="auto"/>
              </w:rPr>
            </w:pPr>
          </w:p>
        </w:tc>
        <w:tc>
          <w:tcPr>
            <w:tcW w:w="840" w:type="dxa"/>
            <w:vAlign w:val="bottom"/>
          </w:tcPr>
          <w:p>
            <w:pPr>
              <w:jc w:val="right"/>
              <w:ind w:right="221"/>
              <w:spacing w:after="0"/>
              <w:rPr>
                <w:sz w:val="20"/>
                <w:szCs w:val="20"/>
                <w:color w:val="auto"/>
              </w:rPr>
            </w:pPr>
            <w:r>
              <w:rPr>
                <w:rFonts w:ascii="Courier New" w:cs="Courier New" w:eastAsia="Courier New" w:hAnsi="Courier New"/>
                <w:sz w:val="12"/>
                <w:szCs w:val="12"/>
                <w:color w:val="auto"/>
                <w:w w:val="93"/>
              </w:rPr>
              <w:t>exercise</w:t>
            </w:r>
          </w:p>
        </w:tc>
      </w:tr>
      <w:tr>
        <w:trPr>
          <w:trHeight w:val="135"/>
        </w:trPr>
        <w:tc>
          <w:tcPr>
            <w:tcW w:w="1180" w:type="dxa"/>
            <w:vAlign w:val="bottom"/>
          </w:tcPr>
          <w:p>
            <w:pPr>
              <w:jc w:val="center"/>
              <w:ind w:right="422"/>
              <w:spacing w:after="0"/>
              <w:rPr>
                <w:sz w:val="20"/>
                <w:szCs w:val="20"/>
                <w:color w:val="auto"/>
              </w:rPr>
            </w:pPr>
            <w:r>
              <w:rPr>
                <w:rFonts w:ascii="Courier New" w:cs="Courier New" w:eastAsia="Courier New" w:hAnsi="Courier New"/>
                <w:sz w:val="12"/>
                <w:szCs w:val="12"/>
                <w:color w:val="auto"/>
                <w:w w:val="97"/>
              </w:rPr>
              <w:t>PRICES</w:t>
            </w:r>
          </w:p>
        </w:tc>
        <w:tc>
          <w:tcPr>
            <w:tcW w:w="880" w:type="dxa"/>
            <w:vAlign w:val="bottom"/>
          </w:tcPr>
          <w:p>
            <w:pPr>
              <w:jc w:val="right"/>
              <w:ind w:right="41"/>
              <w:spacing w:after="0"/>
              <w:rPr>
                <w:sz w:val="20"/>
                <w:szCs w:val="20"/>
                <w:color w:val="auto"/>
              </w:rPr>
            </w:pPr>
            <w:r>
              <w:rPr>
                <w:rFonts w:ascii="Courier New" w:cs="Courier New" w:eastAsia="Courier New" w:hAnsi="Courier New"/>
                <w:sz w:val="12"/>
                <w:szCs w:val="12"/>
                <w:color w:val="auto"/>
                <w:w w:val="95"/>
              </w:rPr>
              <w:t>outstanding</w:t>
            </w:r>
          </w:p>
        </w:tc>
        <w:tc>
          <w:tcPr>
            <w:tcW w:w="10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life</w:t>
            </w:r>
          </w:p>
        </w:tc>
        <w:tc>
          <w:tcPr>
            <w:tcW w:w="14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Courier New" w:cs="Courier New" w:eastAsia="Courier New" w:hAnsi="Courier New"/>
                <w:sz w:val="12"/>
                <w:szCs w:val="12"/>
                <w:color w:val="auto"/>
              </w:rPr>
              <w:t>price</w:t>
            </w:r>
          </w:p>
        </w:tc>
        <w:tc>
          <w:tcPr>
            <w:tcW w:w="1000" w:type="dxa"/>
            <w:vAlign w:val="bottom"/>
          </w:tcPr>
          <w:p>
            <w:pPr>
              <w:jc w:val="right"/>
              <w:ind w:right="101"/>
              <w:spacing w:after="0"/>
              <w:rPr>
                <w:sz w:val="20"/>
                <w:szCs w:val="20"/>
                <w:color w:val="auto"/>
              </w:rPr>
            </w:pPr>
            <w:r>
              <w:rPr>
                <w:rFonts w:ascii="Courier New" w:cs="Courier New" w:eastAsia="Courier New" w:hAnsi="Courier New"/>
                <w:sz w:val="12"/>
                <w:szCs w:val="12"/>
                <w:color w:val="auto"/>
              </w:rPr>
              <w:t>exercisable</w:t>
            </w:r>
          </w:p>
        </w:tc>
        <w:tc>
          <w:tcPr>
            <w:tcW w:w="140" w:type="dxa"/>
            <w:vAlign w:val="bottom"/>
          </w:tcPr>
          <w:p>
            <w:pPr>
              <w:spacing w:after="0"/>
              <w:rPr>
                <w:sz w:val="11"/>
                <w:szCs w:val="11"/>
                <w:color w:val="auto"/>
              </w:rPr>
            </w:pPr>
          </w:p>
        </w:tc>
        <w:tc>
          <w:tcPr>
            <w:tcW w:w="84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price</w:t>
            </w: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2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Courier New" w:cs="Courier New" w:eastAsia="Courier New" w:hAnsi="Courier New"/>
                <w:sz w:val="12"/>
                <w:szCs w:val="12"/>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84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1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(in years)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70"/>
        </w:trPr>
        <w:tc>
          <w:tcPr>
            <w:tcW w:w="1180" w:type="dxa"/>
            <w:vAlign w:val="bottom"/>
          </w:tcPr>
          <w:p>
            <w:pPr>
              <w:spacing w:after="0"/>
              <w:rPr>
                <w:sz w:val="20"/>
                <w:szCs w:val="20"/>
                <w:color w:val="auto"/>
              </w:rPr>
            </w:pPr>
            <w:r>
              <w:rPr>
                <w:rFonts w:ascii="Courier New" w:cs="Courier New" w:eastAsia="Courier New" w:hAnsi="Courier New"/>
                <w:sz w:val="12"/>
                <w:szCs w:val="12"/>
                <w:color w:val="auto"/>
              </w:rPr>
              <w:t>$ 1.16-$1.30</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401,203</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7.35</w:t>
            </w:r>
          </w:p>
        </w:tc>
        <w:tc>
          <w:tcPr>
            <w:tcW w:w="14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1.26</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197,501</w:t>
            </w:r>
          </w:p>
        </w:tc>
        <w:tc>
          <w:tcPr>
            <w:tcW w:w="140" w:type="dxa"/>
            <w:vAlign w:val="bottom"/>
          </w:tcPr>
          <w:p>
            <w:pPr>
              <w:jc w:val="center"/>
              <w:ind w:left="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1.26</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1.37-1.40</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922,332</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8.52</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1.40</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232,333</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1.40</w:t>
            </w:r>
          </w:p>
        </w:tc>
      </w:tr>
      <w:tr>
        <w:trPr>
          <w:trHeight w:val="135"/>
        </w:trPr>
        <w:tc>
          <w:tcPr>
            <w:tcW w:w="1180" w:type="dxa"/>
            <w:vAlign w:val="bottom"/>
          </w:tcPr>
          <w:p>
            <w:pPr>
              <w:jc w:val="right"/>
              <w:ind w:right="502"/>
              <w:spacing w:after="0"/>
              <w:rPr>
                <w:sz w:val="20"/>
                <w:szCs w:val="20"/>
                <w:color w:val="auto"/>
              </w:rPr>
            </w:pPr>
            <w:r>
              <w:rPr>
                <w:rFonts w:ascii="Courier New" w:cs="Courier New" w:eastAsia="Courier New" w:hAnsi="Courier New"/>
                <w:sz w:val="12"/>
                <w:szCs w:val="12"/>
                <w:color w:val="auto"/>
              </w:rPr>
              <w:t>1.45</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7,990,416</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8.37</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1.45</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2,010,515</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1.45</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1.46-1.58</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9,355,391</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8.11</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1.54</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3,168,731</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1.55</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1.60-1.98</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7,817,044</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9.05</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1.83</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479,952</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1.82</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2.02-2.28</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2,071,492</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8.28</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2.13</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971,921</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2.17</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3.25-3.70</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239,687</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6.47</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3.26</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199,328</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3.26</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4.11-4.56</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416,269</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8.40</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4.23</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185,761</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4.33</w:t>
            </w:r>
          </w:p>
        </w:tc>
      </w:tr>
      <w:tr>
        <w:trPr>
          <w:trHeight w:val="135"/>
        </w:trPr>
        <w:tc>
          <w:tcPr>
            <w:tcW w:w="1180" w:type="dxa"/>
            <w:vAlign w:val="bottom"/>
          </w:tcPr>
          <w:p>
            <w:pPr>
              <w:jc w:val="right"/>
              <w:ind w:right="362"/>
              <w:spacing w:after="0"/>
              <w:rPr>
                <w:sz w:val="20"/>
                <w:szCs w:val="20"/>
                <w:color w:val="auto"/>
              </w:rPr>
            </w:pPr>
            <w:r>
              <w:rPr>
                <w:rFonts w:ascii="Courier New" w:cs="Courier New" w:eastAsia="Courier New" w:hAnsi="Courier New"/>
                <w:sz w:val="12"/>
                <w:szCs w:val="12"/>
                <w:color w:val="auto"/>
              </w:rPr>
              <w:t>5.00-10.75</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158,601</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2.89</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7.18</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158,601</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7.18</w:t>
            </w:r>
          </w:p>
        </w:tc>
      </w:tr>
      <w:tr>
        <w:trPr>
          <w:trHeight w:val="135"/>
        </w:trPr>
        <w:tc>
          <w:tcPr>
            <w:tcW w:w="1180" w:type="dxa"/>
            <w:vAlign w:val="bottom"/>
          </w:tcPr>
          <w:p>
            <w:pPr>
              <w:jc w:val="right"/>
              <w:ind w:right="502"/>
              <w:spacing w:after="0"/>
              <w:rPr>
                <w:sz w:val="20"/>
                <w:szCs w:val="20"/>
                <w:color w:val="auto"/>
              </w:rPr>
            </w:pPr>
            <w:r>
              <w:rPr>
                <w:rFonts w:ascii="Courier New" w:cs="Courier New" w:eastAsia="Courier New" w:hAnsi="Courier New"/>
                <w:sz w:val="12"/>
                <w:szCs w:val="12"/>
                <w:color w:val="auto"/>
              </w:rPr>
              <w:t>11.81</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200,000</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3.41</w:t>
            </w:r>
          </w:p>
        </w:tc>
        <w:tc>
          <w:tcPr>
            <w:tcW w:w="140" w:type="dxa"/>
            <w:vAlign w:val="bottom"/>
          </w:tcPr>
          <w:p>
            <w:pPr>
              <w:spacing w:after="0"/>
              <w:rPr>
                <w:sz w:val="11"/>
                <w:szCs w:val="11"/>
                <w:color w:val="auto"/>
              </w:rPr>
            </w:pP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11.81</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200,000</w:t>
            </w:r>
          </w:p>
        </w:tc>
        <w:tc>
          <w:tcPr>
            <w:tcW w:w="140" w:type="dxa"/>
            <w:vAlign w:val="bottom"/>
          </w:tcPr>
          <w:p>
            <w:pPr>
              <w:spacing w:after="0"/>
              <w:rPr>
                <w:sz w:val="11"/>
                <w:szCs w:val="11"/>
                <w:color w:val="auto"/>
              </w:rPr>
            </w:pP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11.81</w:t>
            </w:r>
          </w:p>
        </w:tc>
      </w:tr>
      <w:tr>
        <w:trPr>
          <w:trHeight w:val="135"/>
        </w:trPr>
        <w:tc>
          <w:tcPr>
            <w:tcW w:w="1180" w:type="dxa"/>
            <w:vAlign w:val="bottom"/>
          </w:tcPr>
          <w:p>
            <w:pPr>
              <w:spacing w:after="0"/>
              <w:rPr>
                <w:sz w:val="20"/>
                <w:szCs w:val="20"/>
                <w:color w:val="auto"/>
              </w:rPr>
            </w:pPr>
            <w:r>
              <w:rPr>
                <w:rFonts w:ascii="Courier New" w:cs="Courier New" w:eastAsia="Courier New" w:hAnsi="Courier New"/>
                <w:sz w:val="12"/>
                <w:szCs w:val="12"/>
                <w:color w:val="auto"/>
              </w:rPr>
              <w:t>$16.50-$25.00</w:t>
            </w: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23,100</w:t>
            </w:r>
          </w:p>
        </w:tc>
        <w:tc>
          <w:tcPr>
            <w:tcW w:w="102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2.62</w:t>
            </w:r>
          </w:p>
        </w:tc>
        <w:tc>
          <w:tcPr>
            <w:tcW w:w="140" w:type="dxa"/>
            <w:vAlign w:val="bottom"/>
          </w:tcPr>
          <w:p>
            <w:pPr>
              <w:ind w:left="80"/>
              <w:spacing w:after="0"/>
              <w:rPr>
                <w:sz w:val="20"/>
                <w:szCs w:val="20"/>
                <w:color w:val="auto"/>
              </w:rPr>
            </w:pPr>
            <w:r>
              <w:rPr>
                <w:rFonts w:ascii="Courier New" w:cs="Courier New" w:eastAsia="Courier New" w:hAnsi="Courier New"/>
                <w:sz w:val="9"/>
                <w:szCs w:val="9"/>
                <w:color w:val="auto"/>
                <w:w w:val="73"/>
              </w:rPr>
              <w:t>$</w:t>
            </w:r>
          </w:p>
        </w:tc>
        <w:tc>
          <w:tcPr>
            <w:tcW w:w="8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22.23</w:t>
            </w: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23,100</w:t>
            </w:r>
          </w:p>
        </w:tc>
        <w:tc>
          <w:tcPr>
            <w:tcW w:w="140" w:type="dxa"/>
            <w:vAlign w:val="bottom"/>
          </w:tcPr>
          <w:p>
            <w:pPr>
              <w:jc w:val="center"/>
              <w:ind w:left="1"/>
              <w:spacing w:after="0"/>
              <w:rPr>
                <w:sz w:val="20"/>
                <w:szCs w:val="20"/>
                <w:color w:val="auto"/>
              </w:rPr>
            </w:pPr>
            <w:r>
              <w:rPr>
                <w:rFonts w:ascii="Courier New" w:cs="Courier New" w:eastAsia="Courier New" w:hAnsi="Courier New"/>
                <w:sz w:val="12"/>
                <w:szCs w:val="12"/>
                <w:color w:val="auto"/>
              </w:rPr>
              <w:t>$</w:t>
            </w:r>
          </w:p>
        </w:tc>
        <w:tc>
          <w:tcPr>
            <w:tcW w:w="84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22.23</w:t>
            </w:r>
          </w:p>
        </w:tc>
      </w:tr>
      <w:tr>
        <w:trPr>
          <w:trHeight w:val="135"/>
        </w:trPr>
        <w:tc>
          <w:tcPr>
            <w:tcW w:w="118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4"/>
              </w:rPr>
              <w:t>----------</w:t>
            </w: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18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4"/>
              </w:rPr>
              <w:t>29,595,535</w:t>
            </w: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7,827,743</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1180" w:type="dxa"/>
            <w:vAlign w:val="bottom"/>
          </w:tcPr>
          <w:p>
            <w:pPr>
              <w:spacing w:after="0"/>
              <w:rPr>
                <w:sz w:val="11"/>
                <w:szCs w:val="11"/>
                <w:color w:val="auto"/>
              </w:rPr>
            </w:pPr>
          </w:p>
        </w:tc>
        <w:tc>
          <w:tcPr>
            <w:tcW w:w="880" w:type="dxa"/>
            <w:vAlign w:val="bottom"/>
          </w:tcPr>
          <w:p>
            <w:pPr>
              <w:jc w:val="right"/>
              <w:ind w:right="121"/>
              <w:spacing w:after="0"/>
              <w:rPr>
                <w:sz w:val="20"/>
                <w:szCs w:val="20"/>
                <w:color w:val="auto"/>
              </w:rPr>
            </w:pPr>
            <w:r>
              <w:rPr>
                <w:rFonts w:ascii="Courier New" w:cs="Courier New" w:eastAsia="Courier New" w:hAnsi="Courier New"/>
                <w:sz w:val="12"/>
                <w:szCs w:val="12"/>
                <w:color w:val="auto"/>
                <w:w w:val="94"/>
              </w:rPr>
              <w:t>==========</w:t>
            </w: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r>
    </w:tbl>
    <w:p>
      <w:pPr>
        <w:spacing w:after="0" w:line="139" w:lineRule="exact"/>
        <w:rPr>
          <w:sz w:val="20"/>
          <w:szCs w:val="20"/>
          <w:color w:val="auto"/>
        </w:rPr>
      </w:pPr>
    </w:p>
    <w:p>
      <w:pPr>
        <w:ind w:left="1040" w:right="4979" w:hanging="345"/>
        <w:spacing w:after="0" w:line="235" w:lineRule="auto"/>
        <w:tabs>
          <w:tab w:leader="none" w:pos="1040" w:val="left"/>
        </w:tabs>
        <w:numPr>
          <w:ilvl w:val="0"/>
          <w:numId w:val="83"/>
        </w:numPr>
        <w:rPr>
          <w:rFonts w:ascii="Courier New" w:cs="Courier New" w:eastAsia="Courier New" w:hAnsi="Courier New"/>
          <w:sz w:val="12"/>
          <w:szCs w:val="12"/>
          <w:color w:val="auto"/>
        </w:rPr>
      </w:pPr>
      <w:r>
        <w:rPr>
          <w:rFonts w:ascii="Courier New" w:cs="Courier New" w:eastAsia="Courier New" w:hAnsi="Courier New"/>
          <w:sz w:val="12"/>
          <w:szCs w:val="12"/>
          <w:color w:val="auto"/>
        </w:rPr>
        <w:t>WEIGHTED AVERAGE GRANT-DATE FAIR VALUE OF OPTIONS GRANTED TO EMPLOYEES</w:t>
      </w:r>
    </w:p>
    <w:p>
      <w:pPr>
        <w:spacing w:after="0" w:line="139"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weighted average grant-date fair value of the options granted during 2007, 2006 and 2005 to employees and directors amounted to $0.87, $0.81 and $0.83 per option, respectively. The Company utilized the Binomial lattice model since 2006 and the Black-Scholes option-pricing model in 2005. The Company estimated the fair value, utilizing the following assumptions for the years 2007, 2006 and 2005 (all in weighted averages):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960" w:type="dxa"/>
            <w:vAlign w:val="bottom"/>
          </w:tcPr>
          <w:p>
            <w:pPr>
              <w:spacing w:after="0"/>
              <w:rPr>
                <w:sz w:val="11"/>
                <w:szCs w:val="11"/>
                <w:color w:val="auto"/>
              </w:rPr>
            </w:pPr>
          </w:p>
        </w:tc>
        <w:tc>
          <w:tcPr>
            <w:tcW w:w="112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2007</w:t>
            </w:r>
          </w:p>
        </w:tc>
        <w:tc>
          <w:tcPr>
            <w:tcW w:w="980" w:type="dxa"/>
            <w:vAlign w:val="bottom"/>
          </w:tcPr>
          <w:p>
            <w:pPr>
              <w:jc w:val="center"/>
              <w:ind w:right="81"/>
              <w:spacing w:after="0"/>
              <w:rPr>
                <w:sz w:val="20"/>
                <w:szCs w:val="20"/>
                <w:color w:val="auto"/>
              </w:rPr>
            </w:pPr>
            <w:r>
              <w:rPr>
                <w:rFonts w:ascii="Courier New" w:cs="Courier New" w:eastAsia="Courier New" w:hAnsi="Courier New"/>
                <w:sz w:val="12"/>
                <w:szCs w:val="12"/>
                <w:color w:val="auto"/>
                <w:w w:val="97"/>
              </w:rPr>
              <w:t>2006</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1960" w:type="dxa"/>
            <w:vAlign w:val="bottom"/>
          </w:tcPr>
          <w:p>
            <w:pPr>
              <w:spacing w:after="0"/>
              <w:rPr>
                <w:sz w:val="11"/>
                <w:szCs w:val="11"/>
                <w:color w:val="auto"/>
              </w:rPr>
            </w:pPr>
          </w:p>
        </w:tc>
        <w:tc>
          <w:tcPr>
            <w:tcW w:w="112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8"/>
              </w:rPr>
              <w:t>-----------</w:t>
            </w:r>
          </w:p>
        </w:tc>
        <w:tc>
          <w:tcPr>
            <w:tcW w:w="98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5"/>
              </w:rPr>
              <w:t>-----------</w:t>
            </w:r>
          </w:p>
        </w:tc>
        <w:tc>
          <w:tcPr>
            <w:tcW w:w="920" w:type="dxa"/>
            <w:vAlign w:val="bottom"/>
          </w:tcPr>
          <w:p>
            <w:pPr>
              <w:jc w:val="center"/>
              <w:ind w:left="81"/>
              <w:spacing w:after="0"/>
              <w:rPr>
                <w:sz w:val="20"/>
                <w:szCs w:val="20"/>
                <w:color w:val="auto"/>
              </w:rPr>
            </w:pPr>
            <w:r>
              <w:rPr>
                <w:rFonts w:ascii="Courier New" w:cs="Courier New" w:eastAsia="Courier New" w:hAnsi="Courier New"/>
                <w:sz w:val="12"/>
                <w:szCs w:val="12"/>
                <w:color w:val="auto"/>
                <w:w w:val="98"/>
              </w:rPr>
              <w:t>-----------</w:t>
            </w:r>
          </w:p>
        </w:tc>
      </w:tr>
      <w:tr>
        <w:trPr>
          <w:trHeight w:val="270"/>
        </w:trPr>
        <w:tc>
          <w:tcPr>
            <w:tcW w:w="1960" w:type="dxa"/>
            <w:vAlign w:val="bottom"/>
          </w:tcPr>
          <w:p>
            <w:pPr>
              <w:spacing w:after="0"/>
              <w:rPr>
                <w:sz w:val="20"/>
                <w:szCs w:val="20"/>
                <w:color w:val="auto"/>
              </w:rPr>
            </w:pPr>
            <w:r>
              <w:rPr>
                <w:rFonts w:ascii="Courier New" w:cs="Courier New" w:eastAsia="Courier New" w:hAnsi="Courier New"/>
                <w:sz w:val="12"/>
                <w:szCs w:val="12"/>
                <w:color w:val="auto"/>
              </w:rPr>
              <w:t>Risk-free interest rate</w:t>
            </w:r>
          </w:p>
        </w:tc>
        <w:tc>
          <w:tcPr>
            <w:tcW w:w="112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8"/>
              </w:rPr>
              <w:t>3.61%-6.09%</w:t>
            </w:r>
          </w:p>
        </w:tc>
        <w:tc>
          <w:tcPr>
            <w:tcW w:w="98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5"/>
              </w:rPr>
              <w:t>4.44%-4.81%</w:t>
            </w:r>
          </w:p>
        </w:tc>
        <w:tc>
          <w:tcPr>
            <w:tcW w:w="920" w:type="dxa"/>
            <w:vAlign w:val="bottom"/>
          </w:tcPr>
          <w:p>
            <w:pPr>
              <w:jc w:val="center"/>
              <w:ind w:left="81"/>
              <w:spacing w:after="0"/>
              <w:rPr>
                <w:sz w:val="20"/>
                <w:szCs w:val="20"/>
                <w:color w:val="auto"/>
              </w:rPr>
            </w:pPr>
            <w:r>
              <w:rPr>
                <w:rFonts w:ascii="Courier New" w:cs="Courier New" w:eastAsia="Courier New" w:hAnsi="Courier New"/>
                <w:sz w:val="12"/>
                <w:szCs w:val="12"/>
                <w:color w:val="auto"/>
                <w:w w:val="98"/>
              </w:rPr>
              <w:t>3.69%-4.34%</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Expected life of options</w:t>
            </w:r>
          </w:p>
        </w:tc>
        <w:tc>
          <w:tcPr>
            <w:tcW w:w="1120" w:type="dxa"/>
            <w:vAlign w:val="bottom"/>
          </w:tcPr>
          <w:p>
            <w:pPr>
              <w:jc w:val="center"/>
              <w:ind w:right="61"/>
              <w:spacing w:after="0"/>
              <w:rPr>
                <w:sz w:val="20"/>
                <w:szCs w:val="20"/>
                <w:color w:val="auto"/>
              </w:rPr>
            </w:pPr>
            <w:r>
              <w:rPr>
                <w:rFonts w:ascii="Courier New" w:cs="Courier New" w:eastAsia="Courier New" w:hAnsi="Courier New"/>
                <w:sz w:val="12"/>
                <w:szCs w:val="12"/>
                <w:color w:val="auto"/>
                <w:w w:val="97"/>
              </w:rPr>
              <w:t>10 years</w:t>
            </w:r>
          </w:p>
        </w:tc>
        <w:tc>
          <w:tcPr>
            <w:tcW w:w="980" w:type="dxa"/>
            <w:vAlign w:val="bottom"/>
          </w:tcPr>
          <w:p>
            <w:pPr>
              <w:jc w:val="center"/>
              <w:ind w:right="81"/>
              <w:spacing w:after="0"/>
              <w:rPr>
                <w:sz w:val="20"/>
                <w:szCs w:val="20"/>
                <w:color w:val="auto"/>
              </w:rPr>
            </w:pPr>
            <w:r>
              <w:rPr>
                <w:rFonts w:ascii="Courier New" w:cs="Courier New" w:eastAsia="Courier New" w:hAnsi="Courier New"/>
                <w:sz w:val="12"/>
                <w:szCs w:val="12"/>
                <w:color w:val="auto"/>
                <w:w w:val="97"/>
              </w:rPr>
              <w:t>10 years</w:t>
            </w:r>
          </w:p>
        </w:tc>
        <w:tc>
          <w:tcPr>
            <w:tcW w:w="920" w:type="dxa"/>
            <w:vAlign w:val="bottom"/>
          </w:tcPr>
          <w:p>
            <w:pPr>
              <w:jc w:val="center"/>
              <w:ind w:left="1"/>
              <w:spacing w:after="0"/>
              <w:rPr>
                <w:sz w:val="20"/>
                <w:szCs w:val="20"/>
                <w:color w:val="auto"/>
              </w:rPr>
            </w:pPr>
            <w:r>
              <w:rPr>
                <w:rFonts w:ascii="Courier New" w:cs="Courier New" w:eastAsia="Courier New" w:hAnsi="Courier New"/>
                <w:sz w:val="12"/>
                <w:szCs w:val="12"/>
                <w:color w:val="auto"/>
                <w:w w:val="97"/>
              </w:rPr>
              <w:t>4.49 years</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Expected annual volatility</w:t>
            </w:r>
          </w:p>
        </w:tc>
        <w:tc>
          <w:tcPr>
            <w:tcW w:w="112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9"/>
              </w:rPr>
              <w:t>55%-65%</w:t>
            </w:r>
          </w:p>
        </w:tc>
        <w:tc>
          <w:tcPr>
            <w:tcW w:w="980" w:type="dxa"/>
            <w:vAlign w:val="bottom"/>
          </w:tcPr>
          <w:p>
            <w:pPr>
              <w:jc w:val="center"/>
              <w:ind w:right="1"/>
              <w:spacing w:after="0"/>
              <w:rPr>
                <w:sz w:val="20"/>
                <w:szCs w:val="20"/>
                <w:color w:val="auto"/>
              </w:rPr>
            </w:pPr>
            <w:r>
              <w:rPr>
                <w:rFonts w:ascii="Courier New" w:cs="Courier New" w:eastAsia="Courier New" w:hAnsi="Courier New"/>
                <w:sz w:val="12"/>
                <w:szCs w:val="12"/>
                <w:color w:val="auto"/>
                <w:w w:val="95"/>
              </w:rPr>
              <w:t>65%-67%</w:t>
            </w:r>
          </w:p>
        </w:tc>
        <w:tc>
          <w:tcPr>
            <w:tcW w:w="920" w:type="dxa"/>
            <w:vAlign w:val="bottom"/>
          </w:tcPr>
          <w:p>
            <w:pPr>
              <w:jc w:val="center"/>
              <w:ind w:left="81"/>
              <w:spacing w:after="0"/>
              <w:rPr>
                <w:sz w:val="20"/>
                <w:szCs w:val="20"/>
                <w:color w:val="auto"/>
              </w:rPr>
            </w:pPr>
            <w:r>
              <w:rPr>
                <w:rFonts w:ascii="Courier New" w:cs="Courier New" w:eastAsia="Courier New" w:hAnsi="Courier New"/>
                <w:sz w:val="12"/>
                <w:szCs w:val="12"/>
                <w:color w:val="auto"/>
                <w:w w:val="99"/>
              </w:rPr>
              <w:t>54%-69%</w:t>
            </w:r>
          </w:p>
        </w:tc>
      </w:tr>
      <w:tr>
        <w:trPr>
          <w:trHeight w:val="135"/>
        </w:trPr>
        <w:tc>
          <w:tcPr>
            <w:tcW w:w="1960" w:type="dxa"/>
            <w:vAlign w:val="bottom"/>
          </w:tcPr>
          <w:p>
            <w:pPr>
              <w:spacing w:after="0"/>
              <w:rPr>
                <w:sz w:val="20"/>
                <w:szCs w:val="20"/>
                <w:color w:val="auto"/>
              </w:rPr>
            </w:pPr>
            <w:r>
              <w:rPr>
                <w:rFonts w:ascii="Courier New" w:cs="Courier New" w:eastAsia="Courier New" w:hAnsi="Courier New"/>
                <w:sz w:val="12"/>
                <w:szCs w:val="12"/>
                <w:color w:val="auto"/>
              </w:rPr>
              <w:t>Expected dividend yield</w:t>
            </w:r>
          </w:p>
        </w:tc>
        <w:tc>
          <w:tcPr>
            <w:tcW w:w="1120" w:type="dxa"/>
            <w:vAlign w:val="bottom"/>
          </w:tcPr>
          <w:p>
            <w:pPr>
              <w:jc w:val="center"/>
              <w:ind w:right="61"/>
              <w:spacing w:after="0"/>
              <w:rPr>
                <w:sz w:val="20"/>
                <w:szCs w:val="20"/>
                <w:color w:val="auto"/>
              </w:rPr>
            </w:pPr>
            <w:r>
              <w:rPr>
                <w:rFonts w:ascii="Courier New" w:cs="Courier New" w:eastAsia="Courier New" w:hAnsi="Courier New"/>
                <w:sz w:val="12"/>
                <w:szCs w:val="12"/>
                <w:color w:val="auto"/>
                <w:w w:val="97"/>
              </w:rPr>
              <w:t>None</w:t>
            </w:r>
          </w:p>
        </w:tc>
        <w:tc>
          <w:tcPr>
            <w:tcW w:w="980" w:type="dxa"/>
            <w:vAlign w:val="bottom"/>
          </w:tcPr>
          <w:p>
            <w:pPr>
              <w:jc w:val="center"/>
              <w:ind w:right="81"/>
              <w:spacing w:after="0"/>
              <w:rPr>
                <w:sz w:val="20"/>
                <w:szCs w:val="20"/>
                <w:color w:val="auto"/>
              </w:rPr>
            </w:pPr>
            <w:r>
              <w:rPr>
                <w:rFonts w:ascii="Courier New" w:cs="Courier New" w:eastAsia="Courier New" w:hAnsi="Courier New"/>
                <w:sz w:val="12"/>
                <w:szCs w:val="12"/>
                <w:color w:val="auto"/>
                <w:w w:val="97"/>
              </w:rPr>
              <w:t>None</w:t>
            </w:r>
          </w:p>
        </w:tc>
        <w:tc>
          <w:tcPr>
            <w:tcW w:w="920" w:type="dxa"/>
            <w:vAlign w:val="bottom"/>
          </w:tcPr>
          <w:p>
            <w:pPr>
              <w:jc w:val="center"/>
              <w:ind w:left="21"/>
              <w:spacing w:after="0"/>
              <w:rPr>
                <w:sz w:val="20"/>
                <w:szCs w:val="20"/>
                <w:color w:val="auto"/>
              </w:rPr>
            </w:pPr>
            <w:r>
              <w:rPr>
                <w:rFonts w:ascii="Courier New" w:cs="Courier New" w:eastAsia="Courier New" w:hAnsi="Courier New"/>
                <w:sz w:val="12"/>
                <w:szCs w:val="12"/>
                <w:color w:val="auto"/>
                <w:w w:val="97"/>
              </w:rPr>
              <w:t>None</w:t>
            </w:r>
          </w:p>
        </w:tc>
      </w:tr>
      <w:tr>
        <w:trPr>
          <w:trHeight w:val="405"/>
        </w:trPr>
        <w:tc>
          <w:tcPr>
            <w:tcW w:w="196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2"/>
                <w:szCs w:val="12"/>
                <w:color w:val="auto"/>
              </w:rPr>
              <w:t>F - 46</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NON-EMPLOYEE WARRANTS</w:t>
      </w:r>
    </w:p>
    <w:p>
      <w:pPr>
        <w:spacing w:after="0" w:line="138" w:lineRule="exact"/>
        <w:rPr>
          <w:rFonts w:ascii="Courier New" w:cs="Courier New" w:eastAsia="Courier New" w:hAnsi="Courier New"/>
          <w:sz w:val="12"/>
          <w:szCs w:val="12"/>
          <w:color w:val="auto"/>
        </w:rPr>
      </w:pPr>
    </w:p>
    <w:p>
      <w:pPr>
        <w:ind w:left="1400" w:right="4699" w:hanging="354"/>
        <w:spacing w:after="0" w:line="237" w:lineRule="auto"/>
        <w:tabs>
          <w:tab w:leader="none" w:pos="1400" w:val="left"/>
        </w:tabs>
        <w:numPr>
          <w:ilvl w:val="2"/>
          <w:numId w:val="84"/>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BANKS WARRANTS - As of December 31, 2007, 11,631,648 warrants to purchase Ordinary Shares of the Company, at terms described below, were outstanding and exercisable, at a weighted average exercise price of $1.77 per share. 9,161,060 of the warrants are exercisable until September 2011 and 2,470,588 exercisable through March 2010</w:t>
      </w:r>
    </w:p>
    <w:p>
      <w:pPr>
        <w:spacing w:after="0" w:line="140" w:lineRule="exact"/>
        <w:rPr>
          <w:rFonts w:ascii="Courier New" w:cs="Courier New" w:eastAsia="Courier New" w:hAnsi="Courier New"/>
          <w:sz w:val="12"/>
          <w:szCs w:val="12"/>
          <w:color w:val="auto"/>
        </w:rPr>
      </w:pPr>
    </w:p>
    <w:p>
      <w:pPr>
        <w:ind w:left="1400"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cost of the 9,161,060 warrants issued to the Banks, determined based on the fair value at the grant and amendment dates in accordance with SFAS 123, amounted to a total of $10,886. Such amount was amortized as deferred financing charges over the terms of the loans under the Facility Agreement.</w:t>
      </w:r>
    </w:p>
    <w:p>
      <w:pPr>
        <w:spacing w:after="0" w:line="140" w:lineRule="exact"/>
        <w:rPr>
          <w:rFonts w:ascii="Courier New" w:cs="Courier New" w:eastAsia="Courier New" w:hAnsi="Courier New"/>
          <w:sz w:val="12"/>
          <w:szCs w:val="12"/>
          <w:color w:val="auto"/>
        </w:rPr>
      </w:pPr>
    </w:p>
    <w:p>
      <w:pPr>
        <w:ind w:left="14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September 2007, as part of as part of the Company's credit line agreement with the Banks described in Note 9B, the Banks received an aggregate of 2,470,588 warrants to purchase Ordinary Shares of the Company at an exercise price of $2.04 per share. All the warrants are exercisable until March 2010. The cost of the warrants, determined based on the fair value at the grant and amendment dates in accordance with SFAS 123, amounted to a total of $608. Such amount was amortized as deferred financing charges over the term of the loans under the Facility Agreement.</w:t>
      </w:r>
    </w:p>
    <w:p>
      <w:pPr>
        <w:spacing w:after="0" w:line="143" w:lineRule="exact"/>
        <w:rPr>
          <w:rFonts w:ascii="Courier New" w:cs="Courier New" w:eastAsia="Courier New" w:hAnsi="Courier New"/>
          <w:sz w:val="12"/>
          <w:szCs w:val="12"/>
          <w:color w:val="auto"/>
        </w:rPr>
      </w:pPr>
    </w:p>
    <w:p>
      <w:pPr>
        <w:ind w:left="14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lieu of paying the exercise price in cash, the Banks are entitled to exercise their warrants on a "cashless" basis, i.e. by forfeiting part of the warrants in exchange for Ordinary Shares equal to the aggregate fair market value of the shares underlying the warrants forfeited less the aggregate exercise price.</w:t>
      </w:r>
    </w:p>
    <w:p>
      <w:pPr>
        <w:spacing w:after="0" w:line="140" w:lineRule="exact"/>
        <w:rPr>
          <w:rFonts w:ascii="Courier New" w:cs="Courier New" w:eastAsia="Courier New" w:hAnsi="Courier New"/>
          <w:sz w:val="12"/>
          <w:szCs w:val="12"/>
          <w:color w:val="auto"/>
        </w:rPr>
      </w:pPr>
    </w:p>
    <w:p>
      <w:pPr>
        <w:ind w:left="1400" w:right="4619" w:hanging="354"/>
        <w:spacing w:after="0" w:line="261" w:lineRule="auto"/>
        <w:tabs>
          <w:tab w:leader="none" w:pos="1400" w:val="left"/>
        </w:tabs>
        <w:numPr>
          <w:ilvl w:val="2"/>
          <w:numId w:val="84"/>
        </w:numPr>
        <w:rPr>
          <w:rFonts w:ascii="Courier New" w:cs="Courier New" w:eastAsia="Courier New" w:hAnsi="Courier New"/>
          <w:sz w:val="11"/>
          <w:szCs w:val="11"/>
          <w:color w:val="auto"/>
        </w:rPr>
      </w:pPr>
      <w:r>
        <w:rPr>
          <w:rFonts w:ascii="Courier New" w:cs="Courier New" w:eastAsia="Courier New" w:hAnsi="Courier New"/>
          <w:sz w:val="11"/>
          <w:szCs w:val="11"/>
          <w:color w:val="auto"/>
        </w:rPr>
        <w:t>WARRANTS GRANTED TO TIC - The Company issued TIC warrants for the purchase of 58,906 of the Company's Ordinary Shares. The exercise price for the warrants is $6.17 per share, the 15-day average closing price of the Company's Ordinary Shares prior to the date the November 2003 Amendment with the Banks was signed. All the warrants are fully vested and none of them was exercised. The warrants are exercisable for a five-year period ending December 2008. The cost of the warrants award granted to TIC, determined based on the fair value at the grant date in accordance with SFAS 123, amounted to a total of $259. Such amount was allocated to other assets as deferred financing charges and was amortized as financing expense over the terms of the loans under the Facility Agreement with the Banks.</w:t>
      </w:r>
    </w:p>
    <w:p>
      <w:pPr>
        <w:spacing w:after="0" w:line="396"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- 47</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sectPr>
          <w:pgSz w:w="11900" w:h="16838" w:orient="portrait"/>
          <w:cols w:equalWidth="0" w:num="1">
            <w:col w:w="10239"/>
          </w:cols>
          <w:pgMar w:left="220" w:top="272" w:right="1440" w:bottom="0" w:gutter="0" w:footer="0" w:header="0"/>
        </w:sectPr>
      </w:pPr>
    </w:p>
    <w:bookmarkStart w:id="71" w:name="page72"/>
    <w:bookmarkEnd w:id="71"/>
    <w:p>
      <w:pPr>
        <w:ind w:left="700"/>
        <w:spacing w:after="0"/>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SHARE OPTION PLANS (CONT.)</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NON-EMPLOYEE WARRANTS (CONT.)</w:t>
      </w:r>
    </w:p>
    <w:p>
      <w:pPr>
        <w:spacing w:after="0" w:line="138" w:lineRule="exact"/>
        <w:rPr>
          <w:rFonts w:ascii="Courier New" w:cs="Courier New" w:eastAsia="Courier New" w:hAnsi="Courier New"/>
          <w:sz w:val="12"/>
          <w:szCs w:val="12"/>
          <w:color w:val="auto"/>
        </w:rPr>
      </w:pPr>
    </w:p>
    <w:p>
      <w:pPr>
        <w:ind w:left="104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WARRANTS ISSUED IN SEPTEMBER 2007 - In September 2007, as part of the Company's credit line agreement with TIC described in Note 9B, TIC received an aggregate of 2,941,176 warrants to purchase Ordinary Shares of the Company at an exercise price of $2.04 per share. All the warrants are exercisable until March 2010. The cost of the warrants, determined based on the fair value at the grant and amendment dates in accordance with SFAS 123, amounted to a total of $723. Such amount was amortized as deferred financing charges over the term of the loans under the Facility Agreement.</w:t>
      </w:r>
    </w:p>
    <w:p>
      <w:pPr>
        <w:spacing w:after="0" w:line="139"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85"/>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CAPITAL NOTES</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BANKS' CAPITAL NOTES</w:t>
      </w:r>
    </w:p>
    <w:p>
      <w:pPr>
        <w:spacing w:after="0" w:line="138" w:lineRule="exact"/>
        <w:rPr>
          <w:rFonts w:ascii="Courier New" w:cs="Courier New" w:eastAsia="Courier New" w:hAnsi="Courier New"/>
          <w:sz w:val="12"/>
          <w:szCs w:val="12"/>
          <w:color w:val="auto"/>
        </w:rPr>
      </w:pPr>
    </w:p>
    <w:p>
      <w:pPr>
        <w:ind w:left="104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As part of the September 2006 Amendment to the Facility Agreement, an amount of $158,000 of debt was converted into capital notes of the Company, convertible into 51,973,684 of the Company's Ordinary Shares, representing twice the average closing price per share during the ten consecutive trading days prior to signing the MOU underlying the September 2006 Amendment to the Facility Agreement. The capital notes are instruments of equity and not debt. The capital notes' holders may convert the face amount of the capital notes, in whole or in part, without additional consideration, into Ordinary Shares of the Company, however, prior to such conversion, if at all, the capital notes</w:t>
      </w:r>
    </w:p>
    <w:p>
      <w:pPr>
        <w:ind w:left="1320" w:hanging="274"/>
        <w:spacing w:after="0"/>
        <w:tabs>
          <w:tab w:leader="none" w:pos="1320" w:val="left"/>
        </w:tabs>
        <w:numPr>
          <w:ilvl w:val="2"/>
          <w:numId w:val="86"/>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not grant their holders with any of the rights of the</w:t>
      </w:r>
    </w:p>
    <w:p>
      <w:pPr>
        <w:spacing w:after="0" w:line="2" w:lineRule="exact"/>
        <w:rPr>
          <w:rFonts w:ascii="Courier New" w:cs="Courier New" w:eastAsia="Courier New" w:hAnsi="Courier New"/>
          <w:sz w:val="12"/>
          <w:szCs w:val="12"/>
          <w:color w:val="auto"/>
        </w:rPr>
      </w:pPr>
    </w:p>
    <w:p>
      <w:pPr>
        <w:ind w:left="104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Company's shareholders; (ii) have no maturity date, do not carry interest, are not linked to any index and are not redeemable; and</w:t>
      </w:r>
    </w:p>
    <w:p>
      <w:pPr>
        <w:ind w:left="1040" w:right="4839" w:firstLine="6"/>
        <w:spacing w:after="0" w:line="235" w:lineRule="auto"/>
        <w:tabs>
          <w:tab w:leader="none" w:pos="1462" w:val="left"/>
        </w:tabs>
        <w:numPr>
          <w:ilvl w:val="2"/>
          <w:numId w:val="8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are not registered. For additional information regarding the capital notes to the Banks, see Note 9B.</w:t>
      </w:r>
    </w:p>
    <w:p>
      <w:pPr>
        <w:spacing w:after="0" w:line="134" w:lineRule="exact"/>
        <w:rPr>
          <w:rFonts w:ascii="Courier New" w:cs="Courier New" w:eastAsia="Courier New" w:hAnsi="Courier New"/>
          <w:sz w:val="12"/>
          <w:szCs w:val="12"/>
          <w:color w:val="auto"/>
        </w:rPr>
      </w:pPr>
    </w:p>
    <w:p>
      <w:pPr>
        <w:ind w:left="1040" w:hanging="345"/>
        <w:spacing w:after="0"/>
        <w:tabs>
          <w:tab w:leader="none" w:pos="1040" w:val="left"/>
        </w:tabs>
        <w:numPr>
          <w:ilvl w:val="1"/>
          <w:numId w:val="8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TIC'S CAPITAL NOTES</w:t>
      </w:r>
    </w:p>
    <w:p>
      <w:pPr>
        <w:spacing w:after="0" w:line="138" w:lineRule="exact"/>
        <w:rPr>
          <w:rFonts w:ascii="Courier New" w:cs="Courier New" w:eastAsia="Courier New" w:hAnsi="Courier New"/>
          <w:sz w:val="12"/>
          <w:szCs w:val="12"/>
          <w:color w:val="auto"/>
        </w:rPr>
      </w:pPr>
    </w:p>
    <w:p>
      <w:pPr>
        <w:ind w:left="104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Contemporaneous with the closing of the September 2006 Amendment and as part of the Securities Purchase Agreement between the Company and TIC, the Company issued TIC in consideration of its $100,000 investment, capital notes convertible into 65,789,474 of the Company's Ordinary Shares, at a price per share of $1.52 (which equals the average closing price during the 10 consecutive trading days prior to signing the MOU). The capital notes terms are the same as in (1) above. For additional information regarding the capital notes to TIC see Note 9B.</w:t>
      </w:r>
    </w:p>
    <w:p>
      <w:pPr>
        <w:spacing w:after="0" w:line="26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- 48</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TREASURY STOCK</w:t>
      </w:r>
    </w:p>
    <w:p>
      <w:pPr>
        <w:spacing w:after="0" w:line="138" w:lineRule="exact"/>
        <w:rPr>
          <w:rFonts w:ascii="Courier New" w:cs="Courier New" w:eastAsia="Courier New" w:hAnsi="Courier New"/>
          <w:sz w:val="12"/>
          <w:szCs w:val="12"/>
          <w:color w:val="auto"/>
        </w:rPr>
      </w:pPr>
    </w:p>
    <w:p>
      <w:pPr>
        <w:ind w:left="700"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During 1998, the Board of Directors of the Company authorized, subject to certain conditions, the purchase of up to 1,400,000 Ordinary Shares of the Company to facilitate the exercise of employee stock options under the Company's share option plans. During 1999 and 1998, the Company funded the purchase by a trustee of 142,500 and 1,157,500, respectively, of the Company's Ordinary Shares.</w:t>
      </w:r>
    </w:p>
    <w:p>
      <w:pPr>
        <w:spacing w:after="0" w:line="12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DIVIDEND DISTRIBUTIONS</w:t>
      </w:r>
    </w:p>
    <w:p>
      <w:pPr>
        <w:spacing w:after="0" w:line="138" w:lineRule="exact"/>
        <w:rPr>
          <w:rFonts w:ascii="Courier New" w:cs="Courier New" w:eastAsia="Courier New" w:hAnsi="Courier New"/>
          <w:sz w:val="12"/>
          <w:szCs w:val="12"/>
          <w:color w:val="auto"/>
        </w:rPr>
      </w:pPr>
    </w:p>
    <w:p>
      <w:pPr>
        <w:jc w:val="both"/>
        <w:ind w:left="700" w:right="4759"/>
        <w:spacing w:after="0" w:line="266"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According to the Facility Agreement, as amended to date, the Company undertook not to distribute any dividends prior to the date that all amounts payable under the Facility Agreement have been paid in full.</w:t>
      </w:r>
    </w:p>
    <w:p>
      <w:pPr>
        <w:spacing w:after="0" w:line="121"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PUBLIC OFFERING IN ISRAEL - JANUARY 2002</w:t>
      </w:r>
    </w:p>
    <w:p>
      <w:pPr>
        <w:spacing w:after="0" w:line="138" w:lineRule="exact"/>
        <w:rPr>
          <w:rFonts w:ascii="Courier New" w:cs="Courier New" w:eastAsia="Courier New" w:hAnsi="Courier New"/>
          <w:sz w:val="12"/>
          <w:szCs w:val="12"/>
          <w:color w:val="auto"/>
        </w:rPr>
      </w:pPr>
    </w:p>
    <w:p>
      <w:pPr>
        <w:ind w:left="700" w:right="475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January 2002, the Company issued on the Tel Aviv Stock Exchange, NIS 110,579,800 principal amount of convertible debentures Series A, under terms described in Note 10B. Together with the convertible debentures the Company issued for no consideration an aggregate of 552,899 options exercisable into debentures and 2,211,596 Options (Series 1). As of the date of the financial statements, all said options expired and none were exercised. The total initial proceeds raised were $23,200, and costs related to the issuance of the securities and the prospectus were approximately $1,750.</w:t>
      </w:r>
    </w:p>
    <w:p>
      <w:pPr>
        <w:spacing w:after="0" w:line="127"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RIGHTS OFFERING - OCTOBER 2002</w:t>
      </w:r>
    </w:p>
    <w:p>
      <w:pPr>
        <w:spacing w:after="0" w:line="138"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October 2002, the Company issued in connection with a rights offering done on the NASDAQ and on the Tel-Aviv Stock Exchange 4,097,964 Ordinary Shares of the Company and 1,844,070 warrants to purchase Ordinary Shares of the Company, in consideration for aggregate gross proceeds of $20,490. Of these amounts, 4,086,037 Ordinary Shares and 1,838,715 warrants were issued to Wafer Partners and Equity Investors in consideration for an aggregate of $20,430. Each warrant was exercisable for the purchase of one Ordinary Share at an exercise price of $7.50 for a period ending on October 31, 2006. None of the warrants were exercised. Costs in relation to the prospectus and the issuance of the securities were approximately $800.</w:t>
      </w:r>
    </w:p>
    <w:p>
      <w:pPr>
        <w:spacing w:after="0" w:line="126"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8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PUBLIC OFFERING - JANUARY 2004</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2004, the Company completed a public offering of its Ordinary Shares in the U.S. at a price of $7.00 per share. Following the offering, and including the partial exercise in February 2004 of an over-allotment option the Company granted the underwriters, the Company issued 11,444,500 of its Ordinary Shares, in consideration for gross proceeds of $80,112 (net of related costs - $75,086).</w:t>
      </w:r>
    </w:p>
    <w:p>
      <w:pPr>
        <w:spacing w:after="0" w:line="271"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- 49</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ectPr>
          <w:pgSz w:w="11900" w:h="16838" w:orient="portrait"/>
          <w:cols w:equalWidth="0" w:num="1">
            <w:col w:w="10239"/>
          </w:cols>
          <w:pgMar w:left="220" w:top="137" w:right="1440" w:bottom="0" w:gutter="0" w:footer="0" w:header="0"/>
        </w:sectPr>
      </w:pPr>
    </w:p>
    <w:bookmarkStart w:id="72" w:name="page73"/>
    <w:bookmarkEnd w:id="72"/>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RIGHTS OFFERING - DECEMBER 2005</w:t>
      </w:r>
    </w:p>
    <w:p>
      <w:pPr>
        <w:spacing w:after="0" w:line="138" w:lineRule="exact"/>
        <w:rPr>
          <w:rFonts w:ascii="Courier New" w:cs="Courier New" w:eastAsia="Courier New" w:hAnsi="Courier New"/>
          <w:sz w:val="12"/>
          <w:szCs w:val="12"/>
          <w:color w:val="auto"/>
        </w:rPr>
      </w:pPr>
    </w:p>
    <w:p>
      <w:pPr>
        <w:ind w:left="700" w:right="4619"/>
        <w:spacing w:after="0" w:line="238"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December 2005, the Company filed in Israel and the U.S. a prospectus for the distribution of transferable rights to purchase up to $50,000 U.S. dollar denominated debentures Series B that are convertible into up to 45,454,545 of the Company's Ordinary Shares. The rights were distributed to the shareholders of record of the Company on December 20, 2005 (the record date), and to certain employees who on the record date held options to purchase the Company's Ordinary Shares under share options plans that entitle the options holders to participate in a rights offering. Each 138.98 Ordinary Shares and/or eligible employee options held on the record date entitled their holder to one right. The rights were exercisable until January 12, 2006. Each right entitled its holder to purchase, at a subscription price of $0.1, 100 U.S. dollar denominated convertible debentures.</w:t>
      </w:r>
    </w:p>
    <w:p>
      <w:pPr>
        <w:spacing w:after="0" w:line="139" w:lineRule="exact"/>
        <w:rPr>
          <w:rFonts w:ascii="Courier New" w:cs="Courier New" w:eastAsia="Courier New" w:hAnsi="Courier New"/>
          <w:sz w:val="12"/>
          <w:szCs w:val="12"/>
          <w:color w:val="auto"/>
        </w:rPr>
      </w:pPr>
    </w:p>
    <w:p>
      <w:pPr>
        <w:ind w:left="700" w:right="475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connection with the exercise of the rights, the Company issued 48,169,300 convertible debentures under terms described in Note 10C.</w:t>
      </w:r>
    </w:p>
    <w:p>
      <w:pPr>
        <w:spacing w:after="0" w:line="121" w:lineRule="exact"/>
        <w:rPr>
          <w:rFonts w:ascii="Courier New" w:cs="Courier New" w:eastAsia="Courier New" w:hAnsi="Courier New"/>
          <w:sz w:val="12"/>
          <w:szCs w:val="12"/>
          <w:color w:val="auto"/>
        </w:rPr>
      </w:pPr>
    </w:p>
    <w:p>
      <w:pPr>
        <w:ind w:left="700" w:right="469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For investment by primary Wafer Partners and Equity Investor see also Note 10C.</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90"/>
        </w:numPr>
        <w:rPr>
          <w:rFonts w:ascii="Courier New" w:cs="Courier New" w:eastAsia="Courier New" w:hAnsi="Courier New"/>
          <w:sz w:val="12"/>
          <w:szCs w:val="12"/>
          <w:color w:val="auto"/>
        </w:rPr>
      </w:pPr>
      <w:r>
        <w:rPr>
          <w:rFonts w:ascii="Courier New" w:cs="Courier New" w:eastAsia="Courier New" w:hAnsi="Courier New"/>
          <w:sz w:val="12"/>
          <w:szCs w:val="12"/>
          <w:color w:val="auto"/>
        </w:rPr>
        <w:t>PUBLIC OFFERING IN ISRAEL - JUNE 2006</w:t>
      </w:r>
    </w:p>
    <w:p>
      <w:pPr>
        <w:spacing w:after="0" w:line="138" w:lineRule="exact"/>
        <w:rPr>
          <w:rFonts w:ascii="Courier New" w:cs="Courier New" w:eastAsia="Courier New" w:hAnsi="Courier New"/>
          <w:sz w:val="12"/>
          <w:szCs w:val="12"/>
          <w:color w:val="auto"/>
        </w:rPr>
      </w:pPr>
    </w:p>
    <w:p>
      <w:pPr>
        <w:ind w:left="700" w:right="461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June 2006 the Company completed an underwritten public offering of the Company's securities on the Tel-Aviv Stock Exchange resulting in immediate gross proceeds of approximately NIS 140,000,000 (approximately $31,000). The units sold consisted of (i) convertible debentures Series C in the face amount of NIS 163,800,000 (approximately $36,661), (ii) 390,000 options each exercisable for the three months ended September 27, 2006 for NIS 100 principal amount of convertible debentures at an exercise price equal to 85% of their face amount, (iii) 10,920,000 warrants each exercisable for the three months ended September 27, 2006 for one Ordinary Share of the Company at a price of NIS 6.75 (approximately $0.00157, and (iv) 5,460,000 warrants each exercisable for three years ending on June 28, 2009 for one Ordinary Share of the Company at a price of NIS 7.40 (approximately $0.00175). The convertible debentures are convertible into the Company's Ordinary Shares at a conversion rate of one Ordinary Share per NIS 8.40 (approximately $0.00199) principal amount of convertible debentures. The convertible debentures carry a zero coupon with principal payable at maturity in December 2011, at a premium of 37% over face value, linked to the CPI. The conversion price is subject to reduction in certain limited circumstances.</w:t>
      </w:r>
    </w:p>
    <w:p>
      <w:pPr>
        <w:spacing w:after="0" w:line="272"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addition, the Company issued similar units including principle value of NIS 630,000 convertible debentures in consideration for NIS 526,000 through a private placement to its market maker in connection with said offering.</w:t>
      </w:r>
    </w:p>
    <w:p>
      <w:pPr>
        <w:spacing w:after="0" w:line="140" w:lineRule="exact"/>
        <w:rPr>
          <w:rFonts w:ascii="Courier New" w:cs="Courier New" w:eastAsia="Courier New" w:hAnsi="Courier New"/>
          <w:sz w:val="12"/>
          <w:szCs w:val="12"/>
          <w:color w:val="auto"/>
        </w:rPr>
      </w:pPr>
    </w:p>
    <w:p>
      <w:pPr>
        <w:ind w:left="700"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Through September 2006, 391,500 options to purchase convertible debentures described in (ii) above were exercised and 350,000 short term warrants described in (iii) above were exercised into Ordinary Shares, totaling in proceeds of approximately $8,000.</w:t>
      </w:r>
    </w:p>
    <w:p>
      <w:pPr>
        <w:spacing w:after="0" w:line="272"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- 50</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14 - SHAREHOLDERS' EQUITY (CONT.)</w:t>
      </w:r>
    </w:p>
    <w:p>
      <w:pPr>
        <w:spacing w:after="0" w:line="134" w:lineRule="exact"/>
        <w:rPr>
          <w:sz w:val="20"/>
          <w:szCs w:val="20"/>
          <w:color w:val="auto"/>
        </w:rPr>
      </w:pPr>
    </w:p>
    <w:p>
      <w:pPr>
        <w:ind w:left="700" w:hanging="357"/>
        <w:spacing w:after="0"/>
        <w:tabs>
          <w:tab w:leader="none" w:pos="700"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PRIVATE PLACEMENT IN ISRAEL - NOVEMBER 2006</w:t>
      </w:r>
    </w:p>
    <w:p>
      <w:pPr>
        <w:spacing w:after="0" w:line="273" w:lineRule="exact"/>
        <w:rPr>
          <w:rFonts w:ascii="Courier New" w:cs="Courier New" w:eastAsia="Courier New" w:hAnsi="Courier New"/>
          <w:sz w:val="12"/>
          <w:szCs w:val="12"/>
          <w:color w:val="auto"/>
        </w:rPr>
      </w:pPr>
    </w:p>
    <w:p>
      <w:pPr>
        <w:ind w:left="700"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In the fourth quarter of 2006, the Company received and accepted orders from Israeli investors in private placements for 11,615,000 Ordinary Shares and 5,227,500 warrants ("Series 5 Warrants"). The price of the Ordinary Shares was equal to the closing price of the Company's shares on the Tel-Aviv Stock Exchange prior to the relevant private placements and the warrants were issued for no consideration. Total immediate gross proceeds amounted to approximately $22,000. Each of the Series 5 Warrants is exercisable at any time during a period of four years ending in December 2010 at a price per share equal to a 25% premium to the market price of the Company's shares at the date the prospectus is published. As of December 28, 2006, following the publication of the prospectus, the exercise price was finalized and determined to be NIS 9.48 (approximately $0.0022) linked to the CPI. Series 5 Warrants have been classified to equity.</w:t>
      </w:r>
    </w:p>
    <w:p>
      <w:pPr>
        <w:spacing w:after="0" w:line="12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PRIVATE PLACEMENT IN THE US - MARCH 2007</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March 2007, the Company completed a private placement of its securities in which it sold Ordinary Shares and warrants for the purchase of Ordinary Shares, raising a total of approximately $29,000 in gross proceeds. In the private placement, the Company issued approximately 18.8 million shares and warrants exercisable into approximately 9.4 million shares at an exercise price of $2.04 (subject to possible adjustments under certain circumstances) exercisable until March 15, 2012 ("Series I Warrants"). The Company also issued short-term warrants at an exercise price of $1.70 ("Series II Warrants"), however all Series II Warrants were not exercised and were fully expired as of December 31, 2007.</w:t>
      </w:r>
    </w:p>
    <w:p>
      <w:pPr>
        <w:spacing w:after="0" w:line="140"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LONG-TERM DEBENTURES ISSUED IN ISRAEL - 2007</w:t>
      </w:r>
    </w:p>
    <w:p>
      <w:pPr>
        <w:spacing w:after="0" w:line="138" w:lineRule="exact"/>
        <w:rPr>
          <w:rFonts w:ascii="Courier New" w:cs="Courier New" w:eastAsia="Courier New" w:hAnsi="Courier New"/>
          <w:sz w:val="12"/>
          <w:szCs w:val="12"/>
          <w:color w:val="auto"/>
        </w:rPr>
      </w:pPr>
    </w:p>
    <w:p>
      <w:pPr>
        <w:ind w:left="700" w:right="497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second half of 2007, the Company consummated two private placements with Israeli institutions of long-term convertible and non-convertible debentures and warrants, see Note 10E.</w:t>
      </w:r>
    </w:p>
    <w:p>
      <w:pPr>
        <w:spacing w:after="0" w:line="135"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91"/>
        </w:numPr>
        <w:rPr>
          <w:rFonts w:ascii="Courier New" w:cs="Courier New" w:eastAsia="Courier New" w:hAnsi="Courier New"/>
          <w:sz w:val="12"/>
          <w:szCs w:val="12"/>
          <w:color w:val="auto"/>
        </w:rPr>
      </w:pPr>
      <w:r>
        <w:rPr>
          <w:rFonts w:ascii="Courier New" w:cs="Courier New" w:eastAsia="Courier New" w:hAnsi="Courier New"/>
          <w:sz w:val="12"/>
          <w:szCs w:val="12"/>
          <w:color w:val="auto"/>
        </w:rPr>
        <w:t>U.S SHELF PROSPECTUS</w:t>
      </w:r>
    </w:p>
    <w:p>
      <w:pPr>
        <w:spacing w:after="0" w:line="138"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January 2008, the Company filed a shelf registration statement on Form F-3 with the US Securities and Exchange Commission to allow for the registration of a possible offer and sale of up to $30,000 of securities of the Company, it may elect to execute during the three years following the effective date of the registration statement. As of the approval date of the financials statements, the registration statement has not yet been declared effective. The Company has made no decisions as to when, if at all, it will actually raise funds under the shelf registration.</w:t>
      </w:r>
    </w:p>
    <w:p>
      <w:pPr>
        <w:sectPr>
          <w:pgSz w:w="11900" w:h="16838" w:orient="portrait"/>
          <w:cols w:equalWidth="0" w:num="1">
            <w:col w:w="10239"/>
          </w:cols>
          <w:pgMar w:left="220" w:top="137" w:right="1440" w:bottom="0" w:gutter="0" w:footer="0" w:header="0"/>
        </w:sectPr>
      </w:pPr>
    </w:p>
    <w:p>
      <w:pPr>
        <w:spacing w:after="0" w:line="278" w:lineRule="exact"/>
        <w:rPr>
          <w:sz w:val="20"/>
          <w:szCs w:val="20"/>
          <w:color w:val="auto"/>
        </w:rPr>
      </w:pPr>
    </w:p>
    <w:p>
      <w:pPr>
        <w:ind w:left="2600"/>
        <w:spacing w:after="0"/>
        <w:rPr>
          <w:sz w:val="20"/>
          <w:szCs w:val="20"/>
          <w:color w:val="auto"/>
        </w:rPr>
      </w:pPr>
      <w:r>
        <w:rPr>
          <w:rFonts w:ascii="Courier New" w:cs="Courier New" w:eastAsia="Courier New" w:hAnsi="Courier New"/>
          <w:sz w:val="11"/>
          <w:szCs w:val="11"/>
          <w:color w:val="auto"/>
        </w:rPr>
        <w:t>F - 51</w:t>
      </w:r>
    </w:p>
    <w:p>
      <w:pPr>
        <w:sectPr>
          <w:pgSz w:w="11900" w:h="16838" w:orient="portrait"/>
          <w:cols w:equalWidth="0" w:num="1">
            <w:col w:w="10239"/>
          </w:cols>
          <w:pgMar w:left="220" w:top="137" w:right="1440" w:bottom="0" w:gutter="0" w:footer="0" w:header="0"/>
          <w:type w:val="continuous"/>
        </w:sectPr>
      </w:pPr>
    </w:p>
    <w:bookmarkStart w:id="73" w:name="page74"/>
    <w:bookmarkEnd w:id="73"/>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15 - INFORMATION ON GEOGRAPHIC AREAS AND MAJOR CUSTOMERS</w:t>
      </w:r>
    </w:p>
    <w:p>
      <w:pPr>
        <w:spacing w:after="0" w:line="134" w:lineRule="exact"/>
        <w:rPr>
          <w:sz w:val="20"/>
          <w:szCs w:val="20"/>
          <w:color w:val="auto"/>
        </w:rPr>
      </w:pPr>
    </w:p>
    <w:p>
      <w:pPr>
        <w:ind w:left="700" w:hanging="357"/>
        <w:spacing w:after="0"/>
        <w:tabs>
          <w:tab w:leader="none" w:pos="700" w:val="left"/>
        </w:tabs>
        <w:numPr>
          <w:ilvl w:val="0"/>
          <w:numId w:val="9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REVENUES BY GEOGRAPHIC AREA (as percentage of total sales)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680" w:type="dxa"/>
            <w:vAlign w:val="bottom"/>
          </w:tcPr>
          <w:p>
            <w:pPr>
              <w:spacing w:after="0"/>
              <w:rPr>
                <w:sz w:val="11"/>
                <w:szCs w:val="11"/>
                <w:color w:val="auto"/>
              </w:rPr>
            </w:pPr>
          </w:p>
        </w:tc>
        <w:tc>
          <w:tcPr>
            <w:tcW w:w="3220" w:type="dxa"/>
            <w:vAlign w:val="bottom"/>
            <w:gridSpan w:val="3"/>
          </w:tcPr>
          <w:p>
            <w:pPr>
              <w:jc w:val="right"/>
              <w:ind w:right="421"/>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1680" w:type="dxa"/>
            <w:vAlign w:val="bottom"/>
          </w:tcPr>
          <w:p>
            <w:pPr>
              <w:spacing w:after="0"/>
              <w:rPr>
                <w:sz w:val="11"/>
                <w:szCs w:val="11"/>
                <w:color w:val="auto"/>
              </w:rPr>
            </w:pPr>
          </w:p>
        </w:tc>
        <w:tc>
          <w:tcPr>
            <w:tcW w:w="3220" w:type="dxa"/>
            <w:vAlign w:val="bottom"/>
            <w:gridSpan w:val="3"/>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11"/>
                <w:szCs w:val="11"/>
                <w:color w:val="auto"/>
              </w:rPr>
            </w:pPr>
          </w:p>
        </w:tc>
        <w:tc>
          <w:tcPr>
            <w:tcW w:w="154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2007</w:t>
            </w: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2006</w:t>
            </w: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1680" w:type="dxa"/>
            <w:vAlign w:val="bottom"/>
          </w:tcPr>
          <w:p>
            <w:pPr>
              <w:spacing w:after="0"/>
              <w:rPr>
                <w:sz w:val="11"/>
                <w:szCs w:val="11"/>
                <w:color w:val="auto"/>
              </w:rPr>
            </w:pPr>
          </w:p>
        </w:tc>
        <w:tc>
          <w:tcPr>
            <w:tcW w:w="15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1680" w:type="dxa"/>
            <w:vAlign w:val="bottom"/>
          </w:tcPr>
          <w:p>
            <w:pPr>
              <w:spacing w:after="0"/>
              <w:rPr>
                <w:sz w:val="20"/>
                <w:szCs w:val="20"/>
                <w:color w:val="auto"/>
              </w:rPr>
            </w:pPr>
            <w:r>
              <w:rPr>
                <w:rFonts w:ascii="Courier New" w:cs="Courier New" w:eastAsia="Courier New" w:hAnsi="Courier New"/>
                <w:sz w:val="12"/>
                <w:szCs w:val="12"/>
                <w:color w:val="auto"/>
              </w:rPr>
              <w:t>United States</w:t>
            </w:r>
          </w:p>
        </w:tc>
        <w:tc>
          <w:tcPr>
            <w:tcW w:w="15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75%</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69%</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64%</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Israel</w:t>
            </w:r>
          </w:p>
        </w:tc>
        <w:tc>
          <w:tcPr>
            <w:tcW w:w="15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7</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7</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Asia Pacific</w:t>
            </w:r>
          </w:p>
        </w:tc>
        <w:tc>
          <w:tcPr>
            <w:tcW w:w="15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10</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16</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Europe</w:t>
            </w:r>
          </w:p>
        </w:tc>
        <w:tc>
          <w:tcPr>
            <w:tcW w:w="15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8</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8</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9</w:t>
            </w:r>
          </w:p>
        </w:tc>
      </w:tr>
      <w:tr>
        <w:trPr>
          <w:trHeight w:val="135"/>
        </w:trPr>
        <w:tc>
          <w:tcPr>
            <w:tcW w:w="1680" w:type="dxa"/>
            <w:vAlign w:val="bottom"/>
          </w:tcPr>
          <w:p>
            <w:pPr>
              <w:spacing w:after="0"/>
              <w:rPr>
                <w:sz w:val="11"/>
                <w:szCs w:val="11"/>
                <w:color w:val="auto"/>
              </w:rPr>
            </w:pPr>
          </w:p>
        </w:tc>
        <w:tc>
          <w:tcPr>
            <w:tcW w:w="15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1680" w:type="dxa"/>
            <w:vAlign w:val="bottom"/>
          </w:tcPr>
          <w:p>
            <w:pPr>
              <w:spacing w:after="0"/>
              <w:rPr>
                <w:sz w:val="20"/>
                <w:szCs w:val="20"/>
                <w:color w:val="auto"/>
              </w:rPr>
            </w:pPr>
            <w:r>
              <w:rPr>
                <w:rFonts w:ascii="Courier New" w:cs="Courier New" w:eastAsia="Courier New" w:hAnsi="Courier New"/>
                <w:sz w:val="12"/>
                <w:szCs w:val="12"/>
                <w:color w:val="auto"/>
              </w:rPr>
              <w:t>Total</w:t>
            </w:r>
          </w:p>
        </w:tc>
        <w:tc>
          <w:tcPr>
            <w:tcW w:w="154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100%</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100%</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100%</w:t>
            </w:r>
          </w:p>
        </w:tc>
      </w:tr>
      <w:tr>
        <w:trPr>
          <w:trHeight w:val="135"/>
        </w:trPr>
        <w:tc>
          <w:tcPr>
            <w:tcW w:w="1680" w:type="dxa"/>
            <w:vAlign w:val="bottom"/>
          </w:tcPr>
          <w:p>
            <w:pPr>
              <w:spacing w:after="0"/>
              <w:rPr>
                <w:sz w:val="11"/>
                <w:szCs w:val="11"/>
                <w:color w:val="auto"/>
              </w:rPr>
            </w:pPr>
          </w:p>
        </w:tc>
        <w:tc>
          <w:tcPr>
            <w:tcW w:w="15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bl>
    <w:p>
      <w:pPr>
        <w:spacing w:after="0" w:line="139" w:lineRule="exact"/>
        <w:rPr>
          <w:sz w:val="20"/>
          <w:szCs w:val="20"/>
          <w:color w:val="auto"/>
        </w:rPr>
      </w:pPr>
    </w:p>
    <w:p>
      <w:pPr>
        <w:ind w:left="700" w:right="5119" w:hanging="357"/>
        <w:spacing w:after="0" w:line="235" w:lineRule="auto"/>
        <w:tabs>
          <w:tab w:leader="none" w:pos="700"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LONG-LIVED ASSETS BY GEOGRAPHIC AREA - Substantially all of the Company's long-lived assets are located in Israel.</w:t>
      </w:r>
    </w:p>
    <w:p>
      <w:pPr>
        <w:spacing w:after="0" w:line="134" w:lineRule="exact"/>
        <w:rPr>
          <w:rFonts w:ascii="Courier New" w:cs="Courier New" w:eastAsia="Courier New" w:hAnsi="Courier New"/>
          <w:sz w:val="12"/>
          <w:szCs w:val="12"/>
          <w:color w:val="auto"/>
        </w:rPr>
      </w:pPr>
    </w:p>
    <w:p>
      <w:pPr>
        <w:ind w:left="700" w:hanging="357"/>
        <w:spacing w:after="0"/>
        <w:tabs>
          <w:tab w:leader="none" w:pos="700" w:val="left"/>
        </w:tabs>
        <w:numPr>
          <w:ilvl w:val="0"/>
          <w:numId w:val="93"/>
        </w:numPr>
        <w:rPr>
          <w:rFonts w:ascii="Courier New" w:cs="Courier New" w:eastAsia="Courier New" w:hAnsi="Courier New"/>
          <w:sz w:val="12"/>
          <w:szCs w:val="12"/>
          <w:color w:val="auto"/>
        </w:rPr>
      </w:pPr>
      <w:r>
        <w:rPr>
          <w:rFonts w:ascii="Courier New" w:cs="Courier New" w:eastAsia="Courier New" w:hAnsi="Courier New"/>
          <w:sz w:val="12"/>
          <w:szCs w:val="12"/>
          <w:color w:val="auto"/>
        </w:rPr>
        <w:t>MAJOR CUSTOMERS (as percentage of total sales)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180" w:type="dxa"/>
            <w:vAlign w:val="bottom"/>
          </w:tcPr>
          <w:p>
            <w:pPr>
              <w:spacing w:after="0"/>
              <w:rPr>
                <w:sz w:val="11"/>
                <w:szCs w:val="11"/>
                <w:color w:val="auto"/>
              </w:rPr>
            </w:pPr>
          </w:p>
        </w:tc>
        <w:tc>
          <w:tcPr>
            <w:tcW w:w="2020" w:type="dxa"/>
            <w:vAlign w:val="bottom"/>
            <w:gridSpan w:val="3"/>
          </w:tcPr>
          <w:p>
            <w:pPr>
              <w:jc w:val="right"/>
              <w:ind w:right="361"/>
              <w:spacing w:after="0"/>
              <w:rPr>
                <w:sz w:val="20"/>
                <w:szCs w:val="20"/>
                <w:color w:val="auto"/>
              </w:rPr>
            </w:pPr>
            <w:r>
              <w:rPr>
                <w:rFonts w:ascii="Courier New" w:cs="Courier New" w:eastAsia="Courier New" w:hAnsi="Courier New"/>
                <w:sz w:val="12"/>
                <w:szCs w:val="12"/>
                <w:color w:val="auto"/>
                <w:w w:val="95"/>
              </w:rPr>
              <w:t>Year ended December 31,</w:t>
            </w:r>
          </w:p>
        </w:tc>
      </w:tr>
      <w:tr>
        <w:trPr>
          <w:trHeight w:val="135"/>
        </w:trPr>
        <w:tc>
          <w:tcPr>
            <w:tcW w:w="4200" w:type="dxa"/>
            <w:vAlign w:val="bottom"/>
            <w:gridSpan w:val="4"/>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135"/>
        </w:trPr>
        <w:tc>
          <w:tcPr>
            <w:tcW w:w="2180" w:type="dxa"/>
            <w:vAlign w:val="bottom"/>
          </w:tcPr>
          <w:p>
            <w:pPr>
              <w:ind w:left="1880"/>
              <w:spacing w:after="0"/>
              <w:rPr>
                <w:sz w:val="20"/>
                <w:szCs w:val="20"/>
                <w:color w:val="auto"/>
              </w:rPr>
            </w:pPr>
            <w:r>
              <w:rPr>
                <w:rFonts w:ascii="Courier New" w:cs="Courier New" w:eastAsia="Courier New" w:hAnsi="Courier New"/>
                <w:sz w:val="12"/>
                <w:szCs w:val="12"/>
                <w:color w:val="auto"/>
                <w:w w:val="97"/>
              </w:rPr>
              <w:t>2007</w:t>
            </w:r>
          </w:p>
        </w:tc>
        <w:tc>
          <w:tcPr>
            <w:tcW w:w="340" w:type="dxa"/>
            <w:vAlign w:val="bottom"/>
          </w:tcPr>
          <w:p>
            <w:pPr>
              <w:spacing w:after="0"/>
              <w:rPr>
                <w:sz w:val="11"/>
                <w:szCs w:val="11"/>
                <w:color w:val="auto"/>
              </w:rPr>
            </w:pPr>
          </w:p>
        </w:tc>
        <w:tc>
          <w:tcPr>
            <w:tcW w:w="920" w:type="dxa"/>
            <w:vAlign w:val="bottom"/>
          </w:tcPr>
          <w:p>
            <w:pPr>
              <w:jc w:val="right"/>
              <w:ind w:right="301"/>
              <w:spacing w:after="0"/>
              <w:rPr>
                <w:sz w:val="20"/>
                <w:szCs w:val="20"/>
                <w:color w:val="auto"/>
              </w:rPr>
            </w:pPr>
            <w:r>
              <w:rPr>
                <w:rFonts w:ascii="Courier New" w:cs="Courier New" w:eastAsia="Courier New" w:hAnsi="Courier New"/>
                <w:sz w:val="12"/>
                <w:szCs w:val="12"/>
                <w:color w:val="auto"/>
              </w:rPr>
              <w:t>2006</w:t>
            </w: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252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w:t>
            </w:r>
          </w:p>
        </w:tc>
      </w:tr>
      <w:tr>
        <w:trPr>
          <w:trHeight w:val="270"/>
        </w:trPr>
        <w:tc>
          <w:tcPr>
            <w:tcW w:w="2180" w:type="dxa"/>
            <w:vAlign w:val="bottom"/>
          </w:tcPr>
          <w:p>
            <w:pPr>
              <w:spacing w:after="0"/>
              <w:rPr>
                <w:sz w:val="20"/>
                <w:szCs w:val="20"/>
                <w:color w:val="auto"/>
              </w:rPr>
            </w:pPr>
            <w:r>
              <w:rPr>
                <w:rFonts w:ascii="Courier New" w:cs="Courier New" w:eastAsia="Courier New" w:hAnsi="Courier New"/>
                <w:sz w:val="12"/>
                <w:szCs w:val="12"/>
                <w:color w:val="auto"/>
              </w:rPr>
              <w:t>Customer A (*)</w:t>
            </w:r>
          </w:p>
        </w:tc>
        <w:tc>
          <w:tcPr>
            <w:tcW w:w="340" w:type="dxa"/>
            <w:vAlign w:val="bottom"/>
          </w:tcPr>
          <w:p>
            <w:pPr>
              <w:jc w:val="right"/>
              <w:ind w:right="81"/>
              <w:spacing w:after="0"/>
              <w:rPr>
                <w:sz w:val="20"/>
                <w:szCs w:val="20"/>
                <w:color w:val="auto"/>
              </w:rPr>
            </w:pPr>
            <w:r>
              <w:rPr>
                <w:rFonts w:ascii="Courier New" w:cs="Courier New" w:eastAsia="Courier New" w:hAnsi="Courier New"/>
                <w:sz w:val="12"/>
                <w:szCs w:val="12"/>
                <w:color w:val="auto"/>
                <w:w w:val="83"/>
              </w:rPr>
              <w:t>29%</w:t>
            </w:r>
          </w:p>
        </w:tc>
        <w:tc>
          <w:tcPr>
            <w:tcW w:w="92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23%</w:t>
            </w:r>
          </w:p>
        </w:tc>
        <w:tc>
          <w:tcPr>
            <w:tcW w:w="760" w:type="dxa"/>
            <w:vAlign w:val="bottom"/>
          </w:tcPr>
          <w:p>
            <w:pPr>
              <w:jc w:val="right"/>
              <w:spacing w:after="0"/>
              <w:rPr>
                <w:sz w:val="20"/>
                <w:szCs w:val="20"/>
                <w:color w:val="auto"/>
              </w:rPr>
            </w:pPr>
            <w:r>
              <w:rPr>
                <w:rFonts w:ascii="Courier New" w:cs="Courier New" w:eastAsia="Courier New" w:hAnsi="Courier New"/>
                <w:sz w:val="12"/>
                <w:szCs w:val="12"/>
                <w:color w:val="auto"/>
              </w:rPr>
              <w:t>22%</w:t>
            </w:r>
          </w:p>
        </w:tc>
      </w:tr>
      <w:tr>
        <w:trPr>
          <w:trHeight w:val="135"/>
        </w:trPr>
        <w:tc>
          <w:tcPr>
            <w:tcW w:w="2180" w:type="dxa"/>
            <w:vAlign w:val="bottom"/>
          </w:tcPr>
          <w:p>
            <w:pPr>
              <w:spacing w:after="0"/>
              <w:rPr>
                <w:sz w:val="20"/>
                <w:szCs w:val="20"/>
                <w:color w:val="auto"/>
              </w:rPr>
            </w:pPr>
            <w:r>
              <w:rPr>
                <w:rFonts w:ascii="Courier New" w:cs="Courier New" w:eastAsia="Courier New" w:hAnsi="Courier New"/>
                <w:sz w:val="12"/>
                <w:szCs w:val="12"/>
                <w:color w:val="auto"/>
              </w:rPr>
              <w:t>Customer B</w:t>
            </w:r>
          </w:p>
        </w:tc>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13</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9</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5</w:t>
            </w:r>
          </w:p>
        </w:tc>
      </w:tr>
      <w:tr>
        <w:trPr>
          <w:trHeight w:val="135"/>
        </w:trPr>
        <w:tc>
          <w:tcPr>
            <w:tcW w:w="2180" w:type="dxa"/>
            <w:vAlign w:val="bottom"/>
          </w:tcPr>
          <w:p>
            <w:pPr>
              <w:spacing w:after="0"/>
              <w:rPr>
                <w:sz w:val="20"/>
                <w:szCs w:val="20"/>
                <w:color w:val="auto"/>
              </w:rPr>
            </w:pPr>
            <w:r>
              <w:rPr>
                <w:rFonts w:ascii="Courier New" w:cs="Courier New" w:eastAsia="Courier New" w:hAnsi="Courier New"/>
                <w:sz w:val="12"/>
                <w:szCs w:val="12"/>
                <w:color w:val="auto"/>
              </w:rPr>
              <w:t>Customer C</w:t>
            </w:r>
          </w:p>
        </w:tc>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11</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w:t>
            </w:r>
          </w:p>
        </w:tc>
      </w:tr>
      <w:tr>
        <w:trPr>
          <w:trHeight w:val="135"/>
        </w:trPr>
        <w:tc>
          <w:tcPr>
            <w:tcW w:w="2180" w:type="dxa"/>
            <w:vAlign w:val="bottom"/>
          </w:tcPr>
          <w:p>
            <w:pPr>
              <w:spacing w:after="0"/>
              <w:rPr>
                <w:sz w:val="20"/>
                <w:szCs w:val="20"/>
                <w:color w:val="auto"/>
              </w:rPr>
            </w:pPr>
            <w:r>
              <w:rPr>
                <w:rFonts w:ascii="Courier New" w:cs="Courier New" w:eastAsia="Courier New" w:hAnsi="Courier New"/>
                <w:sz w:val="12"/>
                <w:szCs w:val="12"/>
                <w:color w:val="auto"/>
              </w:rPr>
              <w:t>Customer D</w:t>
            </w:r>
          </w:p>
        </w:tc>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10</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14</w:t>
            </w:r>
          </w:p>
        </w:tc>
      </w:tr>
      <w:tr>
        <w:trPr>
          <w:trHeight w:val="135"/>
        </w:trPr>
        <w:tc>
          <w:tcPr>
            <w:tcW w:w="2180" w:type="dxa"/>
            <w:vAlign w:val="bottom"/>
          </w:tcPr>
          <w:p>
            <w:pPr>
              <w:spacing w:after="0"/>
              <w:rPr>
                <w:sz w:val="20"/>
                <w:szCs w:val="20"/>
                <w:color w:val="auto"/>
              </w:rPr>
            </w:pPr>
            <w:r>
              <w:rPr>
                <w:rFonts w:ascii="Courier New" w:cs="Courier New" w:eastAsia="Courier New" w:hAnsi="Courier New"/>
                <w:sz w:val="12"/>
                <w:szCs w:val="12"/>
                <w:color w:val="auto"/>
              </w:rPr>
              <w:t>Customer E (*) (**)</w:t>
            </w:r>
          </w:p>
        </w:tc>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11</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8</w:t>
            </w:r>
          </w:p>
        </w:tc>
      </w:tr>
      <w:tr>
        <w:trPr>
          <w:trHeight w:val="270"/>
        </w:trPr>
        <w:tc>
          <w:tcPr>
            <w:tcW w:w="2180" w:type="dxa"/>
            <w:vAlign w:val="bottom"/>
          </w:tcPr>
          <w:p>
            <w:pPr>
              <w:spacing w:after="0"/>
              <w:rPr>
                <w:sz w:val="20"/>
                <w:szCs w:val="20"/>
                <w:color w:val="auto"/>
              </w:rPr>
            </w:pPr>
            <w:r>
              <w:rPr>
                <w:rFonts w:ascii="Courier New" w:cs="Courier New" w:eastAsia="Courier New" w:hAnsi="Courier New"/>
                <w:sz w:val="12"/>
                <w:szCs w:val="12"/>
                <w:color w:val="auto"/>
              </w:rPr>
              <w:t>Other customers (***)</w:t>
            </w:r>
          </w:p>
        </w:tc>
        <w:tc>
          <w:tcPr>
            <w:tcW w:w="340" w:type="dxa"/>
            <w:vAlign w:val="bottom"/>
          </w:tcPr>
          <w:p>
            <w:pPr>
              <w:jc w:val="right"/>
              <w:ind w:right="141"/>
              <w:spacing w:after="0"/>
              <w:rPr>
                <w:sz w:val="20"/>
                <w:szCs w:val="20"/>
                <w:color w:val="auto"/>
              </w:rPr>
            </w:pPr>
            <w:r>
              <w:rPr>
                <w:rFonts w:ascii="Courier New" w:cs="Courier New" w:eastAsia="Courier New" w:hAnsi="Courier New"/>
                <w:sz w:val="12"/>
                <w:szCs w:val="12"/>
                <w:color w:val="auto"/>
                <w:w w:val="82"/>
              </w:rPr>
              <w:t>11</w:t>
            </w:r>
          </w:p>
        </w:tc>
        <w:tc>
          <w:tcPr>
            <w:tcW w:w="92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21</w:t>
            </w:r>
          </w:p>
        </w:tc>
        <w:tc>
          <w:tcPr>
            <w:tcW w:w="760" w:type="dxa"/>
            <w:vAlign w:val="bottom"/>
          </w:tcPr>
          <w:p>
            <w:pPr>
              <w:jc w:val="right"/>
              <w:ind w:right="1"/>
              <w:spacing w:after="0"/>
              <w:rPr>
                <w:sz w:val="20"/>
                <w:szCs w:val="20"/>
                <w:color w:val="auto"/>
              </w:rPr>
            </w:pPr>
            <w:r>
              <w:rPr>
                <w:rFonts w:ascii="Courier New" w:cs="Courier New" w:eastAsia="Courier New" w:hAnsi="Courier New"/>
                <w:sz w:val="12"/>
                <w:szCs w:val="12"/>
                <w:color w:val="auto"/>
              </w:rPr>
              <w:t>20</w:t>
            </w:r>
          </w:p>
        </w:tc>
      </w:tr>
      <w:tr>
        <w:trPr>
          <w:trHeight w:val="270"/>
        </w:trPr>
        <w:tc>
          <w:tcPr>
            <w:tcW w:w="2180" w:type="dxa"/>
            <w:vAlign w:val="bottom"/>
          </w:tcPr>
          <w:p>
            <w:pPr>
              <w:ind w:left="700"/>
              <w:spacing w:after="0"/>
              <w:rPr>
                <w:sz w:val="20"/>
                <w:szCs w:val="20"/>
                <w:color w:val="auto"/>
              </w:rPr>
            </w:pPr>
            <w:r>
              <w:rPr>
                <w:rFonts w:ascii="Courier New" w:cs="Courier New" w:eastAsia="Courier New" w:hAnsi="Courier New"/>
                <w:sz w:val="12"/>
                <w:szCs w:val="12"/>
                <w:color w:val="auto"/>
              </w:rPr>
              <w:t>(*)  Related party</w:t>
            </w:r>
          </w:p>
        </w:tc>
        <w:tc>
          <w:tcPr>
            <w:tcW w:w="3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60" w:type="dxa"/>
            <w:vAlign w:val="bottom"/>
          </w:tcPr>
          <w:p>
            <w:pPr>
              <w:spacing w:after="0"/>
              <w:rPr>
                <w:sz w:val="23"/>
                <w:szCs w:val="23"/>
                <w:color w:val="auto"/>
              </w:rPr>
            </w:pPr>
          </w:p>
        </w:tc>
      </w:tr>
    </w:tbl>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 Including its affiliates</w:t>
      </w:r>
    </w:p>
    <w:p>
      <w:pPr>
        <w:spacing w:after="0" w:line="139" w:lineRule="exact"/>
        <w:rPr>
          <w:sz w:val="20"/>
          <w:szCs w:val="20"/>
          <w:color w:val="auto"/>
        </w:rPr>
      </w:pPr>
    </w:p>
    <w:p>
      <w:pPr>
        <w:ind w:left="1040" w:right="4699" w:hanging="345"/>
        <w:spacing w:after="0" w:line="237" w:lineRule="auto"/>
        <w:tabs>
          <w:tab w:leader="none" w:pos="1110" w:val="left"/>
        </w:tabs>
        <w:numPr>
          <w:ilvl w:val="0"/>
          <w:numId w:val="94"/>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Represents sales to two different customers each of whom accounted for between 5% and 6% of sales during 2007; to five different customers each of whom accounted for between 2% and 6% of sales during 2006 and to five customers accounted for between 2% and 8% of sales during 2005.</w:t>
      </w:r>
    </w:p>
    <w:p>
      <w:pPr>
        <w:spacing w:after="0" w:line="135"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As of December 31, 2007 and 2006, the above major customers</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constituted the majority of the trade accounts receivable reflected on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balance sheets.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16 - FINANCING EXPENSES, NET</w:t>
      </w:r>
    </w:p>
    <w:p>
      <w:pPr>
        <w:spacing w:after="0" w:line="139" w:lineRule="exact"/>
        <w:rPr>
          <w:sz w:val="20"/>
          <w:szCs w:val="20"/>
          <w:color w:val="auto"/>
        </w:rPr>
      </w:pPr>
    </w:p>
    <w:p>
      <w:pPr>
        <w:ind w:left="340" w:right="4699"/>
        <w:spacing w:after="0" w:line="236" w:lineRule="auto"/>
        <w:rPr>
          <w:sz w:val="20"/>
          <w:szCs w:val="20"/>
          <w:color w:val="auto"/>
        </w:rPr>
      </w:pPr>
      <w:r>
        <w:rPr>
          <w:rFonts w:ascii="Courier New" w:cs="Courier New" w:eastAsia="Courier New" w:hAnsi="Courier New"/>
          <w:sz w:val="12"/>
          <w:szCs w:val="12"/>
          <w:color w:val="auto"/>
        </w:rPr>
        <w:t>Financing expenses, net consist mainly of Bank loans payable interest- see Note 9, and interest and other financing expenses in relation to our debentures- see Note 10.</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- 52</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17 - INCOME TAXES</w:t>
      </w:r>
    </w:p>
    <w:p>
      <w:pPr>
        <w:spacing w:after="0" w:line="134" w:lineRule="exact"/>
        <w:rPr>
          <w:sz w:val="20"/>
          <w:szCs w:val="20"/>
          <w:color w:val="auto"/>
        </w:rPr>
      </w:pPr>
    </w:p>
    <w:p>
      <w:pPr>
        <w:ind w:left="700" w:hanging="357"/>
        <w:spacing w:after="0"/>
        <w:tabs>
          <w:tab w:leader="none" w:pos="700" w:val="left"/>
        </w:tabs>
        <w:numPr>
          <w:ilvl w:val="0"/>
          <w:numId w:val="9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APPROVED ENTERPRISE STATUS</w:t>
      </w:r>
    </w:p>
    <w:p>
      <w:pPr>
        <w:spacing w:after="0" w:line="138" w:lineRule="exact"/>
        <w:rPr>
          <w:rFonts w:ascii="Courier New" w:cs="Courier New" w:eastAsia="Courier New" w:hAnsi="Courier New"/>
          <w:sz w:val="12"/>
          <w:szCs w:val="12"/>
          <w:color w:val="auto"/>
        </w:rPr>
      </w:pPr>
    </w:p>
    <w:p>
      <w:pPr>
        <w:ind w:left="700" w:right="483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Substantially all of the Company's existing facilities and other capital investments through December 31, 2005 have been granted approved enterprise status, as provided by the Israeli Law for the Encouragement of Capital Investments - 1959 ("Investments Law") see Note 6B.</w:t>
      </w:r>
    </w:p>
    <w:p>
      <w:pPr>
        <w:spacing w:after="0" w:line="139" w:lineRule="exact"/>
        <w:rPr>
          <w:rFonts w:ascii="Courier New" w:cs="Courier New" w:eastAsia="Courier New" w:hAnsi="Courier New"/>
          <w:sz w:val="12"/>
          <w:szCs w:val="12"/>
          <w:color w:val="auto"/>
        </w:rPr>
      </w:pPr>
    </w:p>
    <w:p>
      <w:pPr>
        <w:ind w:left="700"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tax benefits derived from approved enterprise status relate only to taxable income attributable to each approved enterprise investments program. Pursuant to the Investments Law and the approval certificates, the Company's income attributable to its various approved enterprise investments is taxed at a rate of up to 25% through 2012. Taxable income attributable to the Fab 2 approved program shall be tax-exempt for the first two years it arises. The portion of the Company's taxable income that is not attributable to approved enterprise investments is taxed at a rate of 29% in 2007 (regular "Company Tax"). The regular Company Tax rate is to be gradually reduced to 25% until 2010.</w:t>
      </w:r>
    </w:p>
    <w:p>
      <w:pPr>
        <w:spacing w:after="0" w:line="144" w:lineRule="exact"/>
        <w:rPr>
          <w:rFonts w:ascii="Courier New" w:cs="Courier New" w:eastAsia="Courier New" w:hAnsi="Courier New"/>
          <w:sz w:val="12"/>
          <w:szCs w:val="12"/>
          <w:color w:val="auto"/>
        </w:rPr>
      </w:pPr>
    </w:p>
    <w:p>
      <w:pPr>
        <w:ind w:left="700" w:right="469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tax benefits are also conditioned upon fulfillment of the requirements stipulated by the Investments Law and the regulations promulgated thereunder,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management's opinion, the Company has been in compliance with the conditions through the approval date of the financial statements. See also Notes 6B and 13A(7).</w:t>
      </w:r>
    </w:p>
    <w:p>
      <w:pPr>
        <w:spacing w:after="0" w:line="275"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- 53</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17 - INCOME TAXES (CONT.)</w:t>
      </w:r>
    </w:p>
    <w:p>
      <w:pPr>
        <w:spacing w:after="0" w:line="134" w:lineRule="exact"/>
        <w:rPr>
          <w:sz w:val="20"/>
          <w:szCs w:val="20"/>
          <w:color w:val="auto"/>
        </w:rPr>
      </w:pPr>
    </w:p>
    <w:p>
      <w:pPr>
        <w:ind w:left="700" w:hanging="357"/>
        <w:spacing w:after="0"/>
        <w:tabs>
          <w:tab w:leader="none" w:pos="700" w:val="left"/>
        </w:tabs>
        <w:numPr>
          <w:ilvl w:val="0"/>
          <w:numId w:val="9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COMPONENTS OF DEFERRED TAX ASSET/LIABILITY</w:t>
      </w:r>
    </w:p>
    <w:p>
      <w:pPr>
        <w:spacing w:after="0" w:line="138" w:lineRule="exact"/>
        <w:rPr>
          <w:rFonts w:ascii="Courier New" w:cs="Courier New" w:eastAsia="Courier New" w:hAnsi="Courier New"/>
          <w:sz w:val="12"/>
          <w:szCs w:val="12"/>
          <w:color w:val="auto"/>
        </w:rPr>
      </w:pPr>
    </w:p>
    <w:p>
      <w:pPr>
        <w:ind w:left="700" w:right="50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following is a summary of the components of the deferred tax benefit and liability reflected on the balance sheets as of the respective dates:</w:t>
      </w:r>
    </w:p>
    <w:p>
      <w:pPr>
        <w:spacing w:after="0" w:line="135"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2"/>
          <w:szCs w:val="12"/>
          <w:color w:val="auto"/>
        </w:rPr>
        <w:t>As of December 31,</w:t>
      </w:r>
    </w:p>
    <w:p>
      <w:pPr>
        <w:spacing w:after="0" w:line="4" w:lineRule="exact"/>
        <w:rPr>
          <w:sz w:val="20"/>
          <w:szCs w:val="20"/>
          <w:color w:val="auto"/>
        </w:rPr>
      </w:pPr>
    </w:p>
    <w:p>
      <w:pPr>
        <w:ind w:left="4060"/>
        <w:spacing w:after="0"/>
        <w:rPr>
          <w:sz w:val="20"/>
          <w:szCs w:val="20"/>
          <w:color w:val="auto"/>
        </w:rPr>
      </w:pPr>
      <w:r>
        <w:rPr>
          <w:rFonts w:ascii="Courier New" w:cs="Courier New" w:eastAsia="Courier New" w:hAnsi="Courier New"/>
          <w:sz w:val="11"/>
          <w:szCs w:val="11"/>
          <w:color w:val="auto"/>
        </w:rPr>
        <w:t>-----------------------</w:t>
      </w:r>
    </w:p>
    <w:p>
      <w:pPr>
        <w:sectPr>
          <w:pgSz w:w="11900" w:h="16838" w:orient="portrait"/>
          <w:cols w:equalWidth="0" w:num="1">
            <w:col w:w="10239"/>
          </w:cols>
          <w:pgMar w:left="220" w:top="407" w:right="1440" w:bottom="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36"/>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281"/>
              <w:spacing w:after="0"/>
              <w:rPr>
                <w:sz w:val="20"/>
                <w:szCs w:val="20"/>
                <w:color w:val="auto"/>
              </w:rPr>
            </w:pPr>
            <w:r>
              <w:rPr>
                <w:rFonts w:ascii="Courier New" w:cs="Courier New" w:eastAsia="Courier New" w:hAnsi="Courier New"/>
                <w:sz w:val="12"/>
                <w:szCs w:val="12"/>
                <w:color w:val="auto"/>
              </w:rPr>
              <w:t>2007</w:t>
            </w:r>
          </w:p>
        </w:tc>
        <w:tc>
          <w:tcPr>
            <w:tcW w:w="300" w:type="dxa"/>
            <w:vAlign w:val="bottom"/>
          </w:tcPr>
          <w:p>
            <w:pPr>
              <w:spacing w:after="0"/>
              <w:rPr>
                <w:sz w:val="11"/>
                <w:szCs w:val="11"/>
                <w:color w:val="auto"/>
              </w:rPr>
            </w:pPr>
          </w:p>
        </w:tc>
        <w:tc>
          <w:tcPr>
            <w:tcW w:w="560" w:type="dxa"/>
            <w:vAlign w:val="bottom"/>
          </w:tcPr>
          <w:p>
            <w:pPr>
              <w:jc w:val="right"/>
              <w:ind w:right="16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920" w:type="dxa"/>
            <w:vAlign w:val="bottom"/>
          </w:tcPr>
          <w:p>
            <w:pPr>
              <w:spacing w:after="0"/>
              <w:rPr>
                <w:sz w:val="20"/>
                <w:szCs w:val="20"/>
                <w:color w:val="auto"/>
              </w:rPr>
            </w:pPr>
            <w:r>
              <w:rPr>
                <w:rFonts w:ascii="Courier New" w:cs="Courier New" w:eastAsia="Courier New" w:hAnsi="Courier New"/>
                <w:sz w:val="12"/>
                <w:szCs w:val="12"/>
                <w:color w:val="auto"/>
              </w:rPr>
              <w:t>DEFERRED TAX BENEFIT - CURRENT</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Amounts relating to employees benefits</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9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797</w:t>
            </w:r>
          </w:p>
        </w:tc>
        <w:tc>
          <w:tcPr>
            <w:tcW w:w="3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1,717</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Other</w:t>
            </w:r>
          </w:p>
        </w:tc>
        <w:tc>
          <w:tcPr>
            <w:tcW w:w="220" w:type="dxa"/>
            <w:vAlign w:val="bottom"/>
          </w:tcPr>
          <w:p>
            <w:pPr>
              <w:spacing w:after="0"/>
              <w:rPr>
                <w:sz w:val="11"/>
                <w:szCs w:val="11"/>
                <w:color w:val="auto"/>
              </w:rPr>
            </w:pP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438</w:t>
            </w:r>
          </w:p>
        </w:tc>
        <w:tc>
          <w:tcPr>
            <w:tcW w:w="3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115</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1,235</w:t>
            </w:r>
          </w:p>
        </w:tc>
        <w:tc>
          <w:tcPr>
            <w:tcW w:w="3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1,832</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Valuation allowance</w:t>
            </w:r>
          </w:p>
        </w:tc>
        <w:tc>
          <w:tcPr>
            <w:tcW w:w="22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(1,235)</w:t>
            </w:r>
          </w:p>
        </w:tc>
        <w:tc>
          <w:tcPr>
            <w:tcW w:w="3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rPr>
              <w:t>(1,832)</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Total current deferred tax benefit</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270"/>
        </w:trPr>
        <w:tc>
          <w:tcPr>
            <w:tcW w:w="3920" w:type="dxa"/>
            <w:vAlign w:val="bottom"/>
          </w:tcPr>
          <w:p>
            <w:pPr>
              <w:spacing w:after="0"/>
              <w:rPr>
                <w:sz w:val="20"/>
                <w:szCs w:val="20"/>
                <w:color w:val="auto"/>
              </w:rPr>
            </w:pPr>
            <w:r>
              <w:rPr>
                <w:rFonts w:ascii="Courier New" w:cs="Courier New" w:eastAsia="Courier New" w:hAnsi="Courier New"/>
                <w:sz w:val="12"/>
                <w:szCs w:val="12"/>
                <w:color w:val="auto"/>
              </w:rPr>
              <w:t>NET DEFERRED TAX BENEFIT - LONG-TERM</w:t>
            </w: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Deferred tax assets -</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Net operating loss carryforwards</w:t>
            </w: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$ 200,000</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$ 174,000</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Research and development</w:t>
            </w:r>
          </w:p>
        </w:tc>
        <w:tc>
          <w:tcPr>
            <w:tcW w:w="220" w:type="dxa"/>
            <w:vAlign w:val="bottom"/>
          </w:tcPr>
          <w:p>
            <w:pPr>
              <w:spacing w:after="0"/>
              <w:rPr>
                <w:sz w:val="11"/>
                <w:szCs w:val="11"/>
                <w:color w:val="auto"/>
              </w:rPr>
            </w:pP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1,851</w:t>
            </w:r>
          </w:p>
        </w:tc>
        <w:tc>
          <w:tcPr>
            <w:tcW w:w="3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2,063</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Liability for employee rights upon severance</w:t>
            </w:r>
          </w:p>
        </w:tc>
        <w:tc>
          <w:tcPr>
            <w:tcW w:w="220" w:type="dxa"/>
            <w:vAlign w:val="bottom"/>
          </w:tcPr>
          <w:p>
            <w:pPr>
              <w:spacing w:after="0"/>
              <w:rPr>
                <w:sz w:val="11"/>
                <w:szCs w:val="11"/>
                <w:color w:val="auto"/>
              </w:rPr>
            </w:pP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905</w:t>
            </w:r>
          </w:p>
        </w:tc>
        <w:tc>
          <w:tcPr>
            <w:tcW w:w="3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656</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202,756</w:t>
            </w:r>
          </w:p>
        </w:tc>
        <w:tc>
          <w:tcPr>
            <w:tcW w:w="3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1"/>
              </w:rPr>
              <w:t>176,719</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Valuation allowance</w:t>
            </w:r>
          </w:p>
        </w:tc>
        <w:tc>
          <w:tcPr>
            <w:tcW w:w="22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2"/>
              </w:rPr>
              <w:t>(151,844)</w:t>
            </w:r>
          </w:p>
        </w:tc>
        <w:tc>
          <w:tcPr>
            <w:tcW w:w="8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(128,707)</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50,912</w:t>
            </w:r>
          </w:p>
        </w:tc>
        <w:tc>
          <w:tcPr>
            <w:tcW w:w="300" w:type="dxa"/>
            <w:vAlign w:val="bottom"/>
          </w:tcPr>
          <w:p>
            <w:pPr>
              <w:spacing w:after="0"/>
              <w:rPr>
                <w:sz w:val="11"/>
                <w:szCs w:val="11"/>
                <w:color w:val="auto"/>
              </w:rPr>
            </w:pP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48,012</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Deferred tax liability - depreciation and amortization</w:t>
            </w:r>
          </w:p>
        </w:tc>
        <w:tc>
          <w:tcPr>
            <w:tcW w:w="220" w:type="dxa"/>
            <w:vAlign w:val="bottom"/>
          </w:tcPr>
          <w:p>
            <w:pPr>
              <w:spacing w:after="0"/>
              <w:rPr>
                <w:sz w:val="11"/>
                <w:szCs w:val="11"/>
                <w:color w:val="auto"/>
              </w:rPr>
            </w:pPr>
          </w:p>
        </w:tc>
        <w:tc>
          <w:tcPr>
            <w:tcW w:w="7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(50,912)</w:t>
            </w:r>
          </w:p>
        </w:tc>
        <w:tc>
          <w:tcPr>
            <w:tcW w:w="3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2"/>
                <w:szCs w:val="12"/>
                <w:color w:val="auto"/>
                <w:w w:val="93"/>
              </w:rPr>
              <w:t>(48,012)</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20"/>
                <w:szCs w:val="20"/>
                <w:color w:val="auto"/>
              </w:rPr>
            </w:pPr>
            <w:r>
              <w:rPr>
                <w:rFonts w:ascii="Courier New" w:cs="Courier New" w:eastAsia="Courier New" w:hAnsi="Courier New"/>
                <w:sz w:val="12"/>
                <w:szCs w:val="12"/>
                <w:color w:val="auto"/>
              </w:rPr>
              <w:t>Total net long-term deferred tax benefit</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5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3920" w:type="dxa"/>
            <w:vAlign w:val="bottom"/>
          </w:tcPr>
          <w:p>
            <w:pPr>
              <w:spacing w:after="0"/>
              <w:rPr>
                <w:sz w:val="11"/>
                <w:szCs w:val="11"/>
                <w:color w:val="auto"/>
              </w:rPr>
            </w:pPr>
          </w:p>
        </w:tc>
        <w:tc>
          <w:tcPr>
            <w:tcW w:w="980" w:type="dxa"/>
            <w:vAlign w:val="bottom"/>
            <w:gridSpan w:val="2"/>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hanging="357"/>
        <w:spacing w:after="0"/>
        <w:tabs>
          <w:tab w:leader="none" w:pos="700" w:val="left"/>
        </w:tabs>
        <w:numPr>
          <w:ilvl w:val="0"/>
          <w:numId w:val="9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EFFECTIVE INCOME TAX RATES</w:t>
      </w:r>
    </w:p>
    <w:p>
      <w:pPr>
        <w:spacing w:after="0" w:line="138" w:lineRule="exact"/>
        <w:rPr>
          <w:rFonts w:ascii="Courier New" w:cs="Courier New" w:eastAsia="Courier New" w:hAnsi="Courier New"/>
          <w:sz w:val="12"/>
          <w:szCs w:val="12"/>
          <w:color w:val="auto"/>
        </w:rPr>
      </w:pPr>
    </w:p>
    <w:p>
      <w:pPr>
        <w:ind w:left="700" w:right="52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reconciliation of the statutory tax rate to the Company's effective tax rate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40" w:type="dxa"/>
            <w:vAlign w:val="bottom"/>
          </w:tcPr>
          <w:p>
            <w:pPr>
              <w:spacing w:after="0"/>
              <w:rPr>
                <w:sz w:val="11"/>
                <w:szCs w:val="11"/>
                <w:color w:val="auto"/>
              </w:rPr>
            </w:pPr>
          </w:p>
        </w:tc>
        <w:tc>
          <w:tcPr>
            <w:tcW w:w="2820" w:type="dxa"/>
            <w:vAlign w:val="bottom"/>
            <w:gridSpan w:val="3"/>
          </w:tcPr>
          <w:p>
            <w:pPr>
              <w:jc w:val="right"/>
              <w:ind w:right="501"/>
              <w:spacing w:after="0"/>
              <w:rPr>
                <w:sz w:val="20"/>
                <w:szCs w:val="20"/>
                <w:color w:val="auto"/>
              </w:rPr>
            </w:pPr>
            <w:r>
              <w:rPr>
                <w:rFonts w:ascii="Courier New" w:cs="Courier New" w:eastAsia="Courier New" w:hAnsi="Courier New"/>
                <w:sz w:val="12"/>
                <w:szCs w:val="12"/>
                <w:color w:val="auto"/>
              </w:rPr>
              <w:t>Year ended December 31,</w:t>
            </w:r>
          </w:p>
        </w:tc>
      </w:tr>
      <w:tr>
        <w:trPr>
          <w:trHeight w:val="135"/>
        </w:trPr>
        <w:tc>
          <w:tcPr>
            <w:tcW w:w="2940" w:type="dxa"/>
            <w:vAlign w:val="bottom"/>
          </w:tcPr>
          <w:p>
            <w:pPr>
              <w:spacing w:after="0"/>
              <w:rPr>
                <w:sz w:val="11"/>
                <w:szCs w:val="11"/>
                <w:color w:val="auto"/>
              </w:rPr>
            </w:pPr>
          </w:p>
        </w:tc>
        <w:tc>
          <w:tcPr>
            <w:tcW w:w="2820" w:type="dxa"/>
            <w:vAlign w:val="bottom"/>
            <w:gridSpan w:val="3"/>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2007</w:t>
            </w:r>
          </w:p>
        </w:tc>
        <w:tc>
          <w:tcPr>
            <w:tcW w:w="980" w:type="dxa"/>
            <w:vAlign w:val="bottom"/>
          </w:tcPr>
          <w:p>
            <w:pPr>
              <w:jc w:val="right"/>
              <w:ind w:right="361"/>
              <w:spacing w:after="0"/>
              <w:rPr>
                <w:sz w:val="20"/>
                <w:szCs w:val="20"/>
                <w:color w:val="auto"/>
              </w:rPr>
            </w:pPr>
            <w:r>
              <w:rPr>
                <w:rFonts w:ascii="Courier New" w:cs="Courier New" w:eastAsia="Courier New" w:hAnsi="Courier New"/>
                <w:sz w:val="12"/>
                <w:szCs w:val="12"/>
                <w:color w:val="auto"/>
              </w:rPr>
              <w:t>2006</w:t>
            </w:r>
          </w:p>
        </w:tc>
        <w:tc>
          <w:tcPr>
            <w:tcW w:w="86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2005</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270"/>
        </w:trPr>
        <w:tc>
          <w:tcPr>
            <w:tcW w:w="2940" w:type="dxa"/>
            <w:vAlign w:val="bottom"/>
          </w:tcPr>
          <w:p>
            <w:pPr>
              <w:spacing w:after="0"/>
              <w:rPr>
                <w:sz w:val="20"/>
                <w:szCs w:val="20"/>
                <w:color w:val="auto"/>
              </w:rPr>
            </w:pPr>
            <w:r>
              <w:rPr>
                <w:rFonts w:ascii="Courier New" w:cs="Courier New" w:eastAsia="Courier New" w:hAnsi="Courier New"/>
                <w:sz w:val="12"/>
                <w:szCs w:val="12"/>
                <w:color w:val="auto"/>
              </w:rPr>
              <w:t>Israeli statutory rate</w:t>
            </w:r>
          </w:p>
        </w:tc>
        <w:tc>
          <w:tcPr>
            <w:tcW w:w="9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(29)%</w:t>
            </w:r>
          </w:p>
        </w:tc>
        <w:tc>
          <w:tcPr>
            <w:tcW w:w="980" w:type="dxa"/>
            <w:vAlign w:val="bottom"/>
          </w:tcPr>
          <w:p>
            <w:pPr>
              <w:jc w:val="right"/>
              <w:ind w:right="81"/>
              <w:spacing w:after="0"/>
              <w:rPr>
                <w:sz w:val="20"/>
                <w:szCs w:val="20"/>
                <w:color w:val="auto"/>
              </w:rPr>
            </w:pPr>
            <w:r>
              <w:rPr>
                <w:rFonts w:ascii="Courier New" w:cs="Courier New" w:eastAsia="Courier New" w:hAnsi="Courier New"/>
                <w:sz w:val="12"/>
                <w:szCs w:val="12"/>
                <w:color w:val="auto"/>
              </w:rPr>
              <w:t>(31)%</w:t>
            </w:r>
          </w:p>
        </w:tc>
        <w:tc>
          <w:tcPr>
            <w:tcW w:w="860" w:type="dxa"/>
            <w:vAlign w:val="bottom"/>
          </w:tcPr>
          <w:p>
            <w:pPr>
              <w:jc w:val="right"/>
              <w:spacing w:after="0"/>
              <w:rPr>
                <w:sz w:val="20"/>
                <w:szCs w:val="20"/>
                <w:color w:val="auto"/>
              </w:rPr>
            </w:pPr>
            <w:r>
              <w:rPr>
                <w:rFonts w:ascii="Courier New" w:cs="Courier New" w:eastAsia="Courier New" w:hAnsi="Courier New"/>
                <w:sz w:val="12"/>
                <w:szCs w:val="12"/>
                <w:color w:val="auto"/>
              </w:rPr>
              <w:t>(34)%</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Reduced tax rate for approved enterprise</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9</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11</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14</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Tax benefits for which deferred taxes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were not recorded</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17</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13</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21</w:t>
            </w:r>
          </w:p>
        </w:tc>
      </w:tr>
      <w:tr>
        <w:trPr>
          <w:trHeight w:val="135"/>
        </w:trPr>
        <w:tc>
          <w:tcPr>
            <w:tcW w:w="2940" w:type="dxa"/>
            <w:vAlign w:val="bottom"/>
          </w:tcPr>
          <w:p>
            <w:pPr>
              <w:spacing w:after="0"/>
              <w:rPr>
                <w:sz w:val="20"/>
                <w:szCs w:val="20"/>
                <w:color w:val="auto"/>
              </w:rPr>
            </w:pPr>
            <w:r>
              <w:rPr>
                <w:rFonts w:ascii="Courier New" w:cs="Courier New" w:eastAsia="Courier New" w:hAnsi="Courier New"/>
                <w:sz w:val="12"/>
                <w:szCs w:val="12"/>
                <w:color w:val="auto"/>
              </w:rPr>
              <w:t>Permanent differences and other, net</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3</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7</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(1)</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4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r>
      <w:tr>
        <w:trPr>
          <w:trHeight w:val="135"/>
        </w:trPr>
        <w:tc>
          <w:tcPr>
            <w:tcW w:w="2940" w:type="dxa"/>
            <w:vAlign w:val="bottom"/>
          </w:tcPr>
          <w:p>
            <w:pPr>
              <w:spacing w:after="0"/>
              <w:rPr>
                <w:sz w:val="11"/>
                <w:szCs w:val="11"/>
                <w:color w:val="auto"/>
              </w:rPr>
            </w:pP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221"/>
              <w:spacing w:after="0"/>
              <w:rPr>
                <w:sz w:val="20"/>
                <w:szCs w:val="20"/>
                <w:color w:val="auto"/>
              </w:rPr>
            </w:pPr>
            <w:r>
              <w:rPr>
                <w:rFonts w:ascii="Courier New" w:cs="Courier New" w:eastAsia="Courier New" w:hAnsi="Courier New"/>
                <w:sz w:val="12"/>
                <w:szCs w:val="12"/>
                <w:color w:val="auto"/>
              </w:rPr>
              <w:t>========</w:t>
            </w:r>
          </w:p>
        </w:tc>
        <w:tc>
          <w:tcPr>
            <w:tcW w:w="86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r>
    </w:tbl>
    <w:p>
      <w:pPr>
        <w:spacing w:after="0" w:line="134" w:lineRule="exact"/>
        <w:rPr>
          <w:sz w:val="20"/>
          <w:szCs w:val="20"/>
          <w:color w:val="auto"/>
        </w:rPr>
      </w:pPr>
    </w:p>
    <w:p>
      <w:pPr>
        <w:ind w:left="700" w:hanging="357"/>
        <w:spacing w:after="0"/>
        <w:tabs>
          <w:tab w:leader="none" w:pos="700" w:val="left"/>
        </w:tabs>
        <w:numPr>
          <w:ilvl w:val="0"/>
          <w:numId w:val="98"/>
        </w:numPr>
        <w:rPr>
          <w:rFonts w:ascii="Courier New" w:cs="Courier New" w:eastAsia="Courier New" w:hAnsi="Courier New"/>
          <w:sz w:val="12"/>
          <w:szCs w:val="12"/>
          <w:color w:val="auto"/>
        </w:rPr>
      </w:pPr>
      <w:r>
        <w:rPr>
          <w:rFonts w:ascii="Courier New" w:cs="Courier New" w:eastAsia="Courier New" w:hAnsi="Courier New"/>
          <w:sz w:val="12"/>
          <w:szCs w:val="12"/>
          <w:color w:val="auto"/>
        </w:rPr>
        <w:t>NET OPERATING LOSS CARRYFORWARD</w:t>
      </w:r>
    </w:p>
    <w:p>
      <w:pPr>
        <w:spacing w:after="0" w:line="138" w:lineRule="exact"/>
        <w:rPr>
          <w:rFonts w:ascii="Courier New" w:cs="Courier New" w:eastAsia="Courier New" w:hAnsi="Courier New"/>
          <w:sz w:val="12"/>
          <w:szCs w:val="12"/>
          <w:color w:val="auto"/>
        </w:rPr>
      </w:pPr>
    </w:p>
    <w:p>
      <w:pPr>
        <w:ind w:left="700" w:right="469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As of December 31, 2007, the Company had net operating loss carryforwards for tax purposes of approximately $1,000,000, which may be carried forward for an unlimited period of time.</w:t>
      </w:r>
    </w:p>
    <w:p>
      <w:pPr>
        <w:spacing w:after="0" w:line="270" w:lineRule="exact"/>
        <w:rPr>
          <w:sz w:val="20"/>
          <w:szCs w:val="20"/>
          <w:color w:val="auto"/>
        </w:rPr>
      </w:pPr>
    </w:p>
    <w:p>
      <w:pPr>
        <w:ind w:left="2600"/>
        <w:spacing w:after="0"/>
        <w:rPr>
          <w:sz w:val="20"/>
          <w:szCs w:val="20"/>
          <w:color w:val="auto"/>
        </w:rPr>
      </w:pPr>
      <w:r>
        <w:rPr>
          <w:rFonts w:ascii="Courier New" w:cs="Courier New" w:eastAsia="Courier New" w:hAnsi="Courier New"/>
          <w:sz w:val="12"/>
          <w:szCs w:val="12"/>
          <w:color w:val="auto"/>
        </w:rPr>
        <w:t>F - 54</w:t>
      </w:r>
    </w:p>
    <w:p>
      <w:pPr>
        <w:spacing w:after="0" w:line="386"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TOWER SEMICONDUCTOR LTD. AND SUBSIDIARY</w:t>
      </w:r>
    </w:p>
    <w:p>
      <w:pPr>
        <w:ind w:left="1320"/>
        <w:spacing w:after="0"/>
        <w:rPr>
          <w:sz w:val="20"/>
          <w:szCs w:val="20"/>
          <w:color w:val="auto"/>
        </w:rPr>
      </w:pPr>
      <w:r>
        <w:rPr>
          <w:rFonts w:ascii="Courier New" w:cs="Courier New" w:eastAsia="Courier New" w:hAnsi="Courier New"/>
          <w:sz w:val="12"/>
          <w:szCs w:val="12"/>
          <w:color w:val="auto"/>
        </w:rPr>
        <w:t>NOTES TO CONSOLIDATED FINANCIAL STATEMENTS</w:t>
      </w:r>
    </w:p>
    <w:p>
      <w:pPr>
        <w:ind w:left="700"/>
        <w:spacing w:after="0" w:line="237" w:lineRule="auto"/>
        <w:rPr>
          <w:sz w:val="20"/>
          <w:szCs w:val="20"/>
          <w:color w:val="auto"/>
        </w:rPr>
      </w:pPr>
      <w:r>
        <w:rPr>
          <w:rFonts w:ascii="Courier New" w:cs="Courier New" w:eastAsia="Courier New" w:hAnsi="Courier New"/>
          <w:sz w:val="12"/>
          <w:szCs w:val="12"/>
          <w:color w:val="auto"/>
        </w:rPr>
        <w:t>(dollars in thousands, except share data and per share data)</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17 - INCOME TAXES (CONT.)</w:t>
      </w:r>
    </w:p>
    <w:p>
      <w:pPr>
        <w:spacing w:after="0" w:line="134" w:lineRule="exact"/>
        <w:rPr>
          <w:sz w:val="20"/>
          <w:szCs w:val="20"/>
          <w:color w:val="auto"/>
        </w:rPr>
      </w:pPr>
    </w:p>
    <w:p>
      <w:pPr>
        <w:ind w:left="700" w:hanging="357"/>
        <w:spacing w:after="0"/>
        <w:tabs>
          <w:tab w:leader="none" w:pos="700" w:val="left"/>
        </w:tabs>
        <w:numPr>
          <w:ilvl w:val="0"/>
          <w:numId w:val="9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FINAL TAX ASSESSMENTS</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Company possesses final tax assessments through the year 1998. In</w:t>
      </w:r>
    </w:p>
    <w:p>
      <w:pPr>
        <w:ind w:left="700"/>
        <w:spacing w:after="0"/>
        <w:rPr>
          <w:sz w:val="20"/>
          <w:szCs w:val="20"/>
          <w:color w:val="auto"/>
        </w:rPr>
      </w:pPr>
      <w:r>
        <w:rPr>
          <w:rFonts w:ascii="Courier New" w:cs="Courier New" w:eastAsia="Courier New" w:hAnsi="Courier New"/>
          <w:sz w:val="12"/>
          <w:szCs w:val="12"/>
          <w:color w:val="auto"/>
        </w:rPr>
        <w:t>addition, the tax assessments for the years 1999-2003 are deemed</w:t>
      </w:r>
    </w:p>
    <w:p>
      <w:pPr>
        <w:ind w:left="700"/>
        <w:spacing w:after="0" w:line="237" w:lineRule="auto"/>
        <w:rPr>
          <w:sz w:val="20"/>
          <w:szCs w:val="20"/>
          <w:color w:val="auto"/>
        </w:rPr>
      </w:pPr>
      <w:r>
        <w:rPr>
          <w:rFonts w:ascii="Courier New" w:cs="Courier New" w:eastAsia="Courier New" w:hAnsi="Courier New"/>
          <w:sz w:val="12"/>
          <w:szCs w:val="12"/>
          <w:color w:val="auto"/>
        </w:rPr>
        <w:t>final.</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NOTE 18 - RELATED PARTIES BALANCES AND TRANSACTIONS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80" w:type="dxa"/>
            <w:vAlign w:val="bottom"/>
          </w:tcPr>
          <w:p>
            <w:pPr>
              <w:ind w:left="340"/>
              <w:spacing w:after="0"/>
              <w:rPr>
                <w:sz w:val="20"/>
                <w:szCs w:val="20"/>
                <w:color w:val="auto"/>
              </w:rPr>
            </w:pPr>
            <w:r>
              <w:rPr>
                <w:rFonts w:ascii="Courier New" w:cs="Courier New" w:eastAsia="Courier New" w:hAnsi="Courier New"/>
                <w:sz w:val="12"/>
                <w:szCs w:val="12"/>
                <w:color w:val="auto"/>
              </w:rPr>
              <w:t>A.</w:t>
            </w:r>
          </w:p>
        </w:tc>
        <w:tc>
          <w:tcPr>
            <w:tcW w:w="2440" w:type="dxa"/>
            <w:vAlign w:val="bottom"/>
          </w:tcPr>
          <w:p>
            <w:pPr>
              <w:ind w:left="120"/>
              <w:spacing w:after="0"/>
              <w:rPr>
                <w:sz w:val="20"/>
                <w:szCs w:val="20"/>
                <w:color w:val="auto"/>
              </w:rPr>
            </w:pPr>
            <w:r>
              <w:rPr>
                <w:rFonts w:ascii="Courier New" w:cs="Courier New" w:eastAsia="Courier New" w:hAnsi="Courier New"/>
                <w:sz w:val="12"/>
                <w:szCs w:val="12"/>
                <w:color w:val="auto"/>
              </w:rPr>
              <w:t>BALANCES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270"/>
        </w:trPr>
        <w:tc>
          <w:tcPr>
            <w:tcW w:w="5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3"/>
          </w:tcPr>
          <w:p>
            <w:pPr>
              <w:jc w:val="right"/>
              <w:ind w:right="21"/>
              <w:spacing w:after="0"/>
              <w:rPr>
                <w:sz w:val="20"/>
                <w:szCs w:val="20"/>
                <w:color w:val="auto"/>
              </w:rPr>
            </w:pPr>
            <w:r>
              <w:rPr>
                <w:rFonts w:ascii="Courier New" w:cs="Courier New" w:eastAsia="Courier New" w:hAnsi="Courier New"/>
                <w:sz w:val="12"/>
                <w:szCs w:val="12"/>
                <w:color w:val="auto"/>
                <w:w w:val="95"/>
              </w:rPr>
              <w:t>As of December 31,</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97"/>
              </w:rPr>
              <w:t>--------------------</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2007</w:t>
            </w:r>
          </w:p>
        </w:tc>
        <w:tc>
          <w:tcPr>
            <w:tcW w:w="400" w:type="dxa"/>
            <w:vAlign w:val="bottom"/>
          </w:tcPr>
          <w:p>
            <w:pPr>
              <w:spacing w:after="0"/>
              <w:rPr>
                <w:sz w:val="11"/>
                <w:szCs w:val="11"/>
                <w:color w:val="auto"/>
              </w:rPr>
            </w:pPr>
          </w:p>
        </w:tc>
        <w:tc>
          <w:tcPr>
            <w:tcW w:w="420" w:type="dxa"/>
            <w:vAlign w:val="bottom"/>
          </w:tcPr>
          <w:p>
            <w:pPr>
              <w:jc w:val="right"/>
              <w:ind w:right="21"/>
              <w:spacing w:after="0"/>
              <w:rPr>
                <w:sz w:val="20"/>
                <w:szCs w:val="20"/>
                <w:color w:val="auto"/>
              </w:rPr>
            </w:pPr>
            <w:r>
              <w:rPr>
                <w:rFonts w:ascii="Courier New" w:cs="Courier New" w:eastAsia="Courier New" w:hAnsi="Courier New"/>
                <w:sz w:val="12"/>
                <w:szCs w:val="12"/>
                <w:color w:val="auto"/>
              </w:rPr>
              <w:t>2006</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Trade accounts receivable</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$ 12,823</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$ 13,625</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Long-term investment</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950</w:t>
            </w: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480" w:type="dxa"/>
            <w:vAlign w:val="bottom"/>
            <w:gridSpan w:val="6"/>
          </w:tcPr>
          <w:p>
            <w:pPr>
              <w:spacing w:after="0"/>
              <w:rPr>
                <w:sz w:val="20"/>
                <w:szCs w:val="20"/>
                <w:color w:val="auto"/>
              </w:rPr>
            </w:pPr>
            <w:r>
              <w:rPr>
                <w:rFonts w:ascii="Courier New" w:cs="Courier New" w:eastAsia="Courier New" w:hAnsi="Courier New"/>
                <w:sz w:val="12"/>
                <w:szCs w:val="12"/>
                <w:color w:val="auto"/>
              </w:rPr>
              <w:t>Current liabilities, including current maturity of long-term</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20"/>
                <w:szCs w:val="20"/>
                <w:color w:val="auto"/>
              </w:rPr>
            </w:pPr>
            <w:r>
              <w:rPr>
                <w:rFonts w:ascii="Courier New" w:cs="Courier New" w:eastAsia="Courier New" w:hAnsi="Courier New"/>
                <w:sz w:val="12"/>
                <w:szCs w:val="12"/>
                <w:color w:val="auto"/>
              </w:rPr>
              <w:t>loans</w:t>
            </w: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7,459</w:t>
            </w: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5,895</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Convertible debentures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$ 24,500</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$ 24,500</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820" w:type="dxa"/>
            <w:vAlign w:val="bottom"/>
            <w:gridSpan w:val="4"/>
          </w:tcPr>
          <w:p>
            <w:pPr>
              <w:spacing w:after="0"/>
              <w:rPr>
                <w:sz w:val="20"/>
                <w:szCs w:val="20"/>
                <w:color w:val="auto"/>
              </w:rPr>
            </w:pPr>
            <w:r>
              <w:rPr>
                <w:rFonts w:ascii="Courier New" w:cs="Courier New" w:eastAsia="Courier New" w:hAnsi="Courier New"/>
                <w:sz w:val="12"/>
                <w:szCs w:val="12"/>
                <w:color w:val="auto"/>
                <w:w w:val="99"/>
              </w:rPr>
              <w:t>Long-term liability in respect of customers' advances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Courier New" w:cs="Courier New" w:eastAsia="Courier New" w:hAnsi="Courier New"/>
                <w:sz w:val="12"/>
                <w:szCs w:val="12"/>
                <w:color w:val="auto"/>
                <w:w w:val="82"/>
              </w:rPr>
              <w:t>$</w:t>
            </w:r>
          </w:p>
        </w:tc>
        <w:tc>
          <w:tcPr>
            <w:tcW w:w="520" w:type="dxa"/>
            <w:vAlign w:val="bottom"/>
          </w:tcPr>
          <w:p>
            <w:pPr>
              <w:jc w:val="right"/>
              <w:spacing w:after="0"/>
              <w:rPr>
                <w:sz w:val="20"/>
                <w:szCs w:val="20"/>
                <w:color w:val="auto"/>
              </w:rPr>
            </w:pPr>
            <w:r>
              <w:rPr>
                <w:rFonts w:ascii="Courier New" w:cs="Courier New" w:eastAsia="Courier New" w:hAnsi="Courier New"/>
                <w:sz w:val="12"/>
                <w:szCs w:val="12"/>
                <w:color w:val="auto"/>
              </w:rPr>
              <w:t>9,922</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$ 27,340</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4480" w:type="dxa"/>
            <w:vAlign w:val="bottom"/>
            <w:gridSpan w:val="6"/>
          </w:tcPr>
          <w:p>
            <w:pPr>
              <w:spacing w:after="0"/>
              <w:rPr>
                <w:sz w:val="20"/>
                <w:szCs w:val="20"/>
                <w:color w:val="auto"/>
              </w:rPr>
            </w:pPr>
            <w:r>
              <w:rPr>
                <w:rFonts w:ascii="Courier New" w:cs="Courier New" w:eastAsia="Courier New" w:hAnsi="Courier New"/>
                <w:sz w:val="12"/>
                <w:szCs w:val="12"/>
                <w:color w:val="auto"/>
              </w:rPr>
              <w:t>Other long-term liabilities, including long-term loans from</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related parties, net of current maturity</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$ 21,541</w:t>
            </w:r>
          </w:p>
        </w:tc>
        <w:tc>
          <w:tcPr>
            <w:tcW w:w="400" w:type="dxa"/>
            <w:vAlign w:val="bottom"/>
          </w:tcPr>
          <w:p>
            <w:pPr>
              <w:jc w:val="right"/>
              <w:ind w:right="2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2"/>
                <w:szCs w:val="12"/>
                <w:color w:val="auto"/>
              </w:rPr>
              <w:t>9,279</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Capital note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$100,000</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$100,000</w:t>
            </w: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r>
      <w:tr>
        <w:trPr>
          <w:trHeight w:val="270"/>
        </w:trPr>
        <w:tc>
          <w:tcPr>
            <w:tcW w:w="580" w:type="dxa"/>
            <w:vAlign w:val="bottom"/>
          </w:tcPr>
          <w:p>
            <w:pPr>
              <w:ind w:left="340"/>
              <w:spacing w:after="0"/>
              <w:rPr>
                <w:sz w:val="20"/>
                <w:szCs w:val="20"/>
                <w:color w:val="auto"/>
              </w:rPr>
            </w:pPr>
            <w:r>
              <w:rPr>
                <w:rFonts w:ascii="Courier New" w:cs="Courier New" w:eastAsia="Courier New" w:hAnsi="Courier New"/>
                <w:sz w:val="12"/>
                <w:szCs w:val="12"/>
                <w:color w:val="auto"/>
              </w:rPr>
              <w:t>B.</w:t>
            </w:r>
          </w:p>
        </w:tc>
        <w:tc>
          <w:tcPr>
            <w:tcW w:w="2440" w:type="dxa"/>
            <w:vAlign w:val="bottom"/>
          </w:tcPr>
          <w:p>
            <w:pPr>
              <w:ind w:left="120"/>
              <w:spacing w:after="0"/>
              <w:rPr>
                <w:sz w:val="20"/>
                <w:szCs w:val="20"/>
                <w:color w:val="auto"/>
              </w:rPr>
            </w:pPr>
            <w:r>
              <w:rPr>
                <w:rFonts w:ascii="Courier New" w:cs="Courier New" w:eastAsia="Courier New" w:hAnsi="Courier New"/>
                <w:sz w:val="12"/>
                <w:szCs w:val="12"/>
                <w:color w:val="auto"/>
              </w:rPr>
              <w:t>TRANSACTION</w:t>
            </w: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5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00" w:type="dxa"/>
            <w:vAlign w:val="bottom"/>
            <w:gridSpan w:val="5"/>
          </w:tcPr>
          <w:p>
            <w:pPr>
              <w:jc w:val="right"/>
              <w:ind w:right="181"/>
              <w:spacing w:after="0"/>
              <w:rPr>
                <w:sz w:val="20"/>
                <w:szCs w:val="20"/>
                <w:color w:val="auto"/>
              </w:rPr>
            </w:pPr>
            <w:r>
              <w:rPr>
                <w:rFonts w:ascii="Courier New" w:cs="Courier New" w:eastAsia="Courier New" w:hAnsi="Courier New"/>
                <w:sz w:val="12"/>
                <w:szCs w:val="12"/>
                <w:color w:val="auto"/>
              </w:rPr>
              <w:t>As of December 31,</w:t>
            </w: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460" w:type="dxa"/>
            <w:vAlign w:val="bottom"/>
            <w:gridSpan w:val="7"/>
          </w:tcPr>
          <w:p>
            <w:pPr>
              <w:jc w:val="right"/>
              <w:ind w:right="81"/>
              <w:spacing w:after="0"/>
              <w:rPr>
                <w:sz w:val="20"/>
                <w:szCs w:val="20"/>
                <w:color w:val="auto"/>
              </w:rPr>
            </w:pPr>
            <w:r>
              <w:rPr>
                <w:rFonts w:ascii="Courier New" w:cs="Courier New" w:eastAsia="Courier New" w:hAnsi="Courier New"/>
                <w:sz w:val="12"/>
                <w:szCs w:val="12"/>
                <w:color w:val="auto"/>
                <w:w w:val="99"/>
              </w:rPr>
              <w:t>--------------------------------</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61"/>
              <w:spacing w:after="0"/>
              <w:rPr>
                <w:sz w:val="20"/>
                <w:szCs w:val="20"/>
                <w:color w:val="auto"/>
              </w:rPr>
            </w:pPr>
            <w:r>
              <w:rPr>
                <w:rFonts w:ascii="Courier New" w:cs="Courier New" w:eastAsia="Courier New" w:hAnsi="Courier New"/>
                <w:sz w:val="12"/>
                <w:szCs w:val="12"/>
                <w:color w:val="auto"/>
              </w:rPr>
              <w:t>2007</w:t>
            </w:r>
          </w:p>
        </w:tc>
        <w:tc>
          <w:tcPr>
            <w:tcW w:w="220" w:type="dxa"/>
            <w:vAlign w:val="bottom"/>
          </w:tcPr>
          <w:p>
            <w:pPr>
              <w:spacing w:after="0"/>
              <w:rPr>
                <w:sz w:val="11"/>
                <w:szCs w:val="11"/>
                <w:color w:val="auto"/>
              </w:rPr>
            </w:pPr>
          </w:p>
        </w:tc>
        <w:tc>
          <w:tcPr>
            <w:tcW w:w="44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7"/>
              </w:rPr>
              <w:t>2006</w:t>
            </w:r>
          </w:p>
        </w:tc>
        <w:tc>
          <w:tcPr>
            <w:tcW w:w="80" w:type="dxa"/>
            <w:vAlign w:val="bottom"/>
          </w:tcPr>
          <w:p>
            <w:pPr>
              <w:spacing w:after="0"/>
              <w:rPr>
                <w:sz w:val="11"/>
                <w:szCs w:val="11"/>
                <w:color w:val="auto"/>
              </w:rPr>
            </w:pPr>
          </w:p>
        </w:tc>
        <w:tc>
          <w:tcPr>
            <w:tcW w:w="920" w:type="dxa"/>
            <w:vAlign w:val="bottom"/>
            <w:gridSpan w:val="2"/>
          </w:tcPr>
          <w:p>
            <w:pPr>
              <w:jc w:val="right"/>
              <w:ind w:right="221"/>
              <w:spacing w:after="0"/>
              <w:rPr>
                <w:sz w:val="20"/>
                <w:szCs w:val="20"/>
                <w:color w:val="auto"/>
              </w:rPr>
            </w:pPr>
            <w:r>
              <w:rPr>
                <w:rFonts w:ascii="Courier New" w:cs="Courier New" w:eastAsia="Courier New" w:hAnsi="Courier New"/>
                <w:sz w:val="12"/>
                <w:szCs w:val="12"/>
                <w:color w:val="auto"/>
              </w:rPr>
              <w:t>2005</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270"/>
        </w:trPr>
        <w:tc>
          <w:tcPr>
            <w:tcW w:w="580" w:type="dxa"/>
            <w:vAlign w:val="bottom"/>
          </w:tcPr>
          <w:p>
            <w:pPr>
              <w:spacing w:after="0"/>
              <w:rPr>
                <w:sz w:val="20"/>
                <w:szCs w:val="20"/>
                <w:color w:val="auto"/>
              </w:rPr>
            </w:pPr>
            <w:r>
              <w:rPr>
                <w:rFonts w:ascii="Courier New" w:cs="Courier New" w:eastAsia="Courier New" w:hAnsi="Courier New"/>
                <w:sz w:val="12"/>
                <w:szCs w:val="12"/>
                <w:color w:val="auto"/>
              </w:rPr>
              <w:t>Revenue</w:t>
            </w:r>
          </w:p>
        </w:tc>
        <w:tc>
          <w:tcPr>
            <w:tcW w:w="2440" w:type="dxa"/>
            <w:vAlign w:val="bottom"/>
          </w:tcPr>
          <w:p>
            <w:pPr>
              <w:spacing w:after="0"/>
              <w:rPr>
                <w:sz w:val="23"/>
                <w:szCs w:val="23"/>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$ 78,870</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$ 64,055</w:t>
            </w:r>
          </w:p>
        </w:tc>
        <w:tc>
          <w:tcPr>
            <w:tcW w:w="80" w:type="dxa"/>
            <w:vAlign w:val="bottom"/>
          </w:tcPr>
          <w:p>
            <w:pPr>
              <w:spacing w:after="0"/>
              <w:rPr>
                <w:sz w:val="23"/>
                <w:szCs w:val="23"/>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$ 33,456</w:t>
            </w:r>
          </w:p>
        </w:tc>
        <w:tc>
          <w:tcPr>
            <w:tcW w:w="420" w:type="dxa"/>
            <w:vAlign w:val="bottom"/>
          </w:tcPr>
          <w:p>
            <w:pPr>
              <w:spacing w:after="0"/>
              <w:rPr>
                <w:sz w:val="23"/>
                <w:szCs w:val="23"/>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Interest on loans and debentures</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2,252</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1,632</w:t>
            </w:r>
          </w:p>
        </w:tc>
        <w:tc>
          <w:tcPr>
            <w:tcW w:w="80" w:type="dxa"/>
            <w:vAlign w:val="bottom"/>
          </w:tcPr>
          <w:p>
            <w:pPr>
              <w:spacing w:after="0"/>
              <w:rPr>
                <w:sz w:val="11"/>
                <w:szCs w:val="11"/>
                <w:color w:val="auto"/>
              </w:rPr>
            </w:pPr>
          </w:p>
        </w:tc>
        <w:tc>
          <w:tcPr>
            <w:tcW w:w="5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60</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Expenses paid</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289</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46</w:t>
            </w:r>
          </w:p>
        </w:tc>
        <w:tc>
          <w:tcPr>
            <w:tcW w:w="80" w:type="dxa"/>
            <w:vAlign w:val="bottom"/>
          </w:tcPr>
          <w:p>
            <w:pPr>
              <w:spacing w:after="0"/>
              <w:rPr>
                <w:sz w:val="11"/>
                <w:szCs w:val="11"/>
                <w:color w:val="auto"/>
              </w:rPr>
            </w:pPr>
          </w:p>
        </w:tc>
        <w:tc>
          <w:tcPr>
            <w:tcW w:w="5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47</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Equity conversion of customer advances -</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see Note 13A(5)</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6,414</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7,621</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  1,794</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Conversion of customer advances into</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Long-term loans - see Note 13A(5)</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1,258</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2,823</w:t>
            </w:r>
          </w:p>
        </w:tc>
        <w:tc>
          <w:tcPr>
            <w:tcW w:w="80" w:type="dxa"/>
            <w:vAlign w:val="bottom"/>
          </w:tcPr>
          <w:p>
            <w:pPr>
              <w:spacing w:after="0"/>
              <w:rPr>
                <w:sz w:val="11"/>
                <w:szCs w:val="11"/>
                <w:color w:val="auto"/>
              </w:rPr>
            </w:pPr>
          </w:p>
        </w:tc>
        <w:tc>
          <w:tcPr>
            <w:tcW w:w="5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936</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Long-term loan received</w:t>
            </w: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$ 14,000</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9,705</w:t>
            </w:r>
          </w:p>
        </w:tc>
        <w:tc>
          <w:tcPr>
            <w:tcW w:w="80" w:type="dxa"/>
            <w:vAlign w:val="bottom"/>
          </w:tcPr>
          <w:p>
            <w:pPr>
              <w:spacing w:after="0"/>
              <w:rPr>
                <w:sz w:val="11"/>
                <w:szCs w:val="11"/>
                <w:color w:val="auto"/>
              </w:rPr>
            </w:pPr>
          </w:p>
        </w:tc>
        <w:tc>
          <w:tcPr>
            <w:tcW w:w="5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rPr>
              <w:t>Loans repayment</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2,974</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3020" w:type="dxa"/>
            <w:vAlign w:val="bottom"/>
            <w:gridSpan w:val="2"/>
          </w:tcPr>
          <w:p>
            <w:pPr>
              <w:spacing w:after="0"/>
              <w:rPr>
                <w:sz w:val="20"/>
                <w:szCs w:val="20"/>
                <w:color w:val="auto"/>
              </w:rPr>
            </w:pPr>
            <w:r>
              <w:rPr>
                <w:rFonts w:ascii="Courier New" w:cs="Courier New" w:eastAsia="Courier New" w:hAnsi="Courier New"/>
                <w:sz w:val="12"/>
                <w:szCs w:val="12"/>
                <w:color w:val="auto"/>
                <w:w w:val="99"/>
              </w:rPr>
              <w:t>Stock-based compensation - see Note 14B(5)</w:t>
            </w:r>
          </w:p>
        </w:tc>
        <w:tc>
          <w:tcPr>
            <w:tcW w:w="1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640" w:type="dxa"/>
            <w:vAlign w:val="bottom"/>
          </w:tcPr>
          <w:p>
            <w:pPr>
              <w:jc w:val="right"/>
              <w:ind w:right="121"/>
              <w:spacing w:after="0"/>
              <w:rPr>
                <w:sz w:val="20"/>
                <w:szCs w:val="20"/>
                <w:color w:val="auto"/>
              </w:rPr>
            </w:pPr>
            <w:r>
              <w:rPr>
                <w:rFonts w:ascii="Courier New" w:cs="Courier New" w:eastAsia="Courier New" w:hAnsi="Courier New"/>
                <w:sz w:val="12"/>
                <w:szCs w:val="12"/>
                <w:color w:val="auto"/>
              </w:rPr>
              <w:t>723</w:t>
            </w:r>
          </w:p>
        </w:tc>
        <w:tc>
          <w:tcPr>
            <w:tcW w:w="22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520" w:type="dxa"/>
            <w:vAlign w:val="bottom"/>
          </w:tcPr>
          <w:p>
            <w:pPr>
              <w:jc w:val="right"/>
              <w:ind w:right="181"/>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r>
        <w:trPr>
          <w:trHeight w:val="135"/>
        </w:trPr>
        <w:tc>
          <w:tcPr>
            <w:tcW w:w="5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0" w:type="dxa"/>
            <w:vAlign w:val="bottom"/>
            <w:gridSpan w:val="2"/>
          </w:tcPr>
          <w:p>
            <w:pPr>
              <w:jc w:val="right"/>
              <w:ind w:right="121"/>
              <w:spacing w:after="0"/>
              <w:rPr>
                <w:sz w:val="20"/>
                <w:szCs w:val="20"/>
                <w:color w:val="auto"/>
              </w:rPr>
            </w:pPr>
            <w:r>
              <w:rPr>
                <w:rFonts w:ascii="Courier New" w:cs="Courier New" w:eastAsia="Courier New" w:hAnsi="Courier New"/>
                <w:sz w:val="12"/>
                <w:szCs w:val="12"/>
                <w:color w:val="auto"/>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w:t>
            </w:r>
          </w:p>
        </w:tc>
        <w:tc>
          <w:tcPr>
            <w:tcW w:w="80" w:type="dxa"/>
            <w:vAlign w:val="bottom"/>
          </w:tcPr>
          <w:p>
            <w:pPr>
              <w:spacing w:after="0"/>
              <w:rPr>
                <w:sz w:val="11"/>
                <w:szCs w:val="11"/>
                <w:color w:val="auto"/>
              </w:rPr>
            </w:pPr>
          </w:p>
        </w:tc>
        <w:tc>
          <w:tcPr>
            <w:tcW w:w="920" w:type="dxa"/>
            <w:vAlign w:val="bottom"/>
            <w:gridSpan w:val="2"/>
          </w:tcPr>
          <w:p>
            <w:pPr>
              <w:jc w:val="right"/>
              <w:ind w:right="81"/>
              <w:spacing w:after="0"/>
              <w:rPr>
                <w:sz w:val="20"/>
                <w:szCs w:val="20"/>
                <w:color w:val="auto"/>
              </w:rPr>
            </w:pPr>
            <w:r>
              <w:rPr>
                <w:rFonts w:ascii="Courier New" w:cs="Courier New" w:eastAsia="Courier New" w:hAnsi="Courier New"/>
                <w:sz w:val="12"/>
                <w:szCs w:val="12"/>
                <w:color w:val="auto"/>
              </w:rPr>
              <w:t>========</w:t>
            </w:r>
          </w:p>
        </w:tc>
        <w:tc>
          <w:tcPr>
            <w:tcW w:w="420" w:type="dxa"/>
            <w:vAlign w:val="bottom"/>
          </w:tcPr>
          <w:p>
            <w:pPr>
              <w:spacing w:after="0"/>
              <w:rPr>
                <w:sz w:val="11"/>
                <w:szCs w:val="11"/>
                <w:color w:val="auto"/>
              </w:rPr>
            </w:pPr>
          </w:p>
        </w:tc>
      </w:tr>
    </w:tbl>
    <w:p>
      <w:pPr>
        <w:sectPr>
          <w:pgSz w:w="11900" w:h="16838" w:orient="portrait"/>
          <w:cols w:equalWidth="0" w:num="1">
            <w:col w:w="10239"/>
          </w:cols>
          <w:pgMar w:left="220" w:top="137" w:right="1440" w:bottom="0" w:gutter="0" w:footer="0" w:header="0"/>
        </w:sectPr>
      </w:pPr>
    </w:p>
    <w:bookmarkStart w:id="75" w:name="page76"/>
    <w:bookmarkEnd w:id="75"/>
    <w:p>
      <w:pPr>
        <w:ind w:left="357" w:right="4619" w:hanging="357"/>
        <w:spacing w:after="0" w:line="235" w:lineRule="auto"/>
        <w:tabs>
          <w:tab w:leader="none" w:pos="357" w:val="left"/>
        </w:tabs>
        <w:numPr>
          <w:ilvl w:val="0"/>
          <w:numId w:val="100"/>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commitments, contingencies and other transaction relating to Fab 2 Wafer Partner and Equity Investor agreements, see Note 13A.</w:t>
      </w:r>
    </w:p>
    <w:p>
      <w:pPr>
        <w:spacing w:after="0" w:line="270" w:lineRule="exact"/>
        <w:rPr>
          <w:sz w:val="20"/>
          <w:szCs w:val="20"/>
          <w:color w:val="auto"/>
        </w:rPr>
      </w:pPr>
    </w:p>
    <w:p>
      <w:pPr>
        <w:ind w:left="2257"/>
        <w:spacing w:after="0"/>
        <w:rPr>
          <w:sz w:val="20"/>
          <w:szCs w:val="20"/>
          <w:color w:val="auto"/>
        </w:rPr>
      </w:pPr>
      <w:r>
        <w:rPr>
          <w:rFonts w:ascii="Courier New" w:cs="Courier New" w:eastAsia="Courier New" w:hAnsi="Courier New"/>
          <w:sz w:val="12"/>
          <w:szCs w:val="12"/>
          <w:color w:val="auto"/>
        </w:rPr>
        <w:t>F - 55</w:t>
      </w:r>
    </w:p>
    <w:p>
      <w:pPr>
        <w:sectPr>
          <w:pgSz w:w="11900" w:h="16838" w:orient="portrait"/>
          <w:cols w:equalWidth="0" w:num="1">
            <w:col w:w="9896"/>
          </w:cols>
          <w:pgMar w:left="563" w:top="276" w:right="1440" w:bottom="1440" w:gutter="0" w:footer="0" w:header="0"/>
        </w:sectPr>
      </w:pPr>
    </w:p>
    <w:bookmarkStart w:id="76" w:name="page77"/>
    <w:bookmarkEnd w:id="76"/>
    <w:p>
      <w:pPr>
        <w:spacing w:after="0" w:line="63" w:lineRule="exact"/>
        <w:rPr>
          <w:sz w:val="20"/>
          <w:szCs w:val="20"/>
          <w:color w:val="auto"/>
        </w:rPr>
      </w:pPr>
    </w:p>
    <w:p>
      <w:pPr>
        <w:jc w:val="center"/>
        <w:ind w:right="-148"/>
        <w:spacing w:after="0"/>
        <w:rPr>
          <w:sz w:val="20"/>
          <w:szCs w:val="20"/>
          <w:color w:val="auto"/>
        </w:rPr>
      </w:pPr>
      <w:r>
        <w:rPr>
          <w:rFonts w:ascii="Courier New" w:cs="Courier New" w:eastAsia="Courier New" w:hAnsi="Courier New"/>
          <w:sz w:val="11"/>
          <w:szCs w:val="11"/>
          <w:color w:val="auto"/>
        </w:rPr>
        <w:t>EXHIBIT 4.82</w:t>
      </w:r>
    </w:p>
    <w:p>
      <w:pPr>
        <w:spacing w:after="0" w:line="141"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EQUIPMENT FACILITY AGREEMENT</w:t>
      </w:r>
    </w:p>
    <w:p>
      <w:pPr>
        <w:spacing w:after="0" w:line="139" w:lineRule="exact"/>
        <w:rPr>
          <w:sz w:val="20"/>
          <w:szCs w:val="20"/>
          <w:color w:val="auto"/>
        </w:rPr>
      </w:pPr>
    </w:p>
    <w:p>
      <w:pPr>
        <w:ind w:left="8" w:right="4699"/>
        <w:spacing w:after="0" w:line="235" w:lineRule="auto"/>
        <w:rPr>
          <w:sz w:val="20"/>
          <w:szCs w:val="20"/>
          <w:color w:val="auto"/>
        </w:rPr>
      </w:pPr>
      <w:r>
        <w:rPr>
          <w:rFonts w:ascii="Courier New" w:cs="Courier New" w:eastAsia="Courier New" w:hAnsi="Courier New"/>
          <w:sz w:val="12"/>
          <w:szCs w:val="12"/>
          <w:color w:val="auto"/>
        </w:rPr>
        <w:t>THIS EQUIPMENT FACILITY AGREEMENT ("THIS AGREEMENT") is made on the 10th day of September, 2007,</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BETWEEN:</w:t>
      </w:r>
    </w:p>
    <w:p>
      <w:pPr>
        <w:spacing w:after="0" w:line="139" w:lineRule="exact"/>
        <w:rPr>
          <w:sz w:val="20"/>
          <w:szCs w:val="20"/>
          <w:color w:val="auto"/>
        </w:rPr>
      </w:pPr>
    </w:p>
    <w:p>
      <w:pPr>
        <w:ind w:left="348" w:right="4759" w:hanging="348"/>
        <w:spacing w:after="0" w:line="236" w:lineRule="auto"/>
        <w:tabs>
          <w:tab w:leader="none" w:pos="348" w:val="left"/>
        </w:tabs>
        <w:numPr>
          <w:ilvl w:val="0"/>
          <w:numId w:val="10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a company incorporated under the laws of Israel (company no. 52-004199-7), whose registered office is at P.O. Box 619, Industrial Area, Migdal Haemek 23105, Israel ("THE BORROWER");</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AND</w:t>
      </w:r>
    </w:p>
    <w:p>
      <w:pPr>
        <w:spacing w:after="0" w:line="134" w:lineRule="exact"/>
        <w:rPr>
          <w:sz w:val="20"/>
          <w:szCs w:val="20"/>
          <w:color w:val="auto"/>
        </w:rPr>
      </w:pPr>
    </w:p>
    <w:p>
      <w:pPr>
        <w:ind w:left="348" w:hanging="348"/>
        <w:spacing w:after="0"/>
        <w:tabs>
          <w:tab w:leader="none" w:pos="348" w:val="left"/>
        </w:tabs>
        <w:numPr>
          <w:ilvl w:val="0"/>
          <w:numId w:val="102"/>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 HAPOALIM B.M. ("THE BANK")</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00" w:type="dxa"/>
            <w:vAlign w:val="bottom"/>
          </w:tcPr>
          <w:p>
            <w:pPr>
              <w:spacing w:after="0"/>
              <w:rPr>
                <w:sz w:val="20"/>
                <w:szCs w:val="20"/>
                <w:color w:val="auto"/>
              </w:rPr>
            </w:pPr>
            <w:r>
              <w:rPr>
                <w:rFonts w:ascii="Courier New" w:cs="Courier New" w:eastAsia="Courier New" w:hAnsi="Courier New"/>
                <w:sz w:val="12"/>
                <w:szCs w:val="12"/>
                <w:color w:val="auto"/>
              </w:rPr>
              <w:t>WHEREAS:</w:t>
            </w:r>
          </w:p>
        </w:tc>
        <w:tc>
          <w:tcPr>
            <w:tcW w:w="4820" w:type="dxa"/>
            <w:vAlign w:val="bottom"/>
            <w:gridSpan w:val="6"/>
          </w:tcPr>
          <w:p>
            <w:pPr>
              <w:ind w:left="240"/>
              <w:spacing w:after="0"/>
              <w:rPr>
                <w:sz w:val="20"/>
                <w:szCs w:val="20"/>
                <w:color w:val="auto"/>
              </w:rPr>
            </w:pPr>
            <w:r>
              <w:rPr>
                <w:rFonts w:ascii="Courier New" w:cs="Courier New" w:eastAsia="Courier New" w:hAnsi="Courier New"/>
                <w:sz w:val="12"/>
                <w:szCs w:val="12"/>
                <w:color w:val="auto"/>
              </w:rPr>
              <w:t>the Borrower carries on business as an independent "foundry"</w:t>
            </w:r>
          </w:p>
        </w:tc>
      </w:tr>
      <w:tr>
        <w:trPr>
          <w:trHeight w:val="135"/>
        </w:trPr>
        <w:tc>
          <w:tcPr>
            <w:tcW w:w="800" w:type="dxa"/>
            <w:vAlign w:val="bottom"/>
          </w:tcPr>
          <w:p>
            <w:pPr>
              <w:spacing w:after="0"/>
              <w:rPr>
                <w:sz w:val="11"/>
                <w:szCs w:val="11"/>
                <w:color w:val="auto"/>
              </w:rPr>
            </w:pPr>
          </w:p>
        </w:tc>
        <w:tc>
          <w:tcPr>
            <w:tcW w:w="3120" w:type="dxa"/>
            <w:vAlign w:val="bottom"/>
            <w:gridSpan w:val="4"/>
          </w:tcPr>
          <w:p>
            <w:pPr>
              <w:ind w:left="240"/>
              <w:spacing w:after="0"/>
              <w:rPr>
                <w:sz w:val="20"/>
                <w:szCs w:val="20"/>
                <w:color w:val="auto"/>
              </w:rPr>
            </w:pPr>
            <w:r>
              <w:rPr>
                <w:rFonts w:ascii="Courier New" w:cs="Courier New" w:eastAsia="Courier New" w:hAnsi="Courier New"/>
                <w:sz w:val="12"/>
                <w:szCs w:val="12"/>
                <w:color w:val="auto"/>
                <w:w w:val="99"/>
              </w:rPr>
              <w:t>manufacturer of semiconductor integrated</w:t>
            </w:r>
          </w:p>
        </w:tc>
        <w:tc>
          <w:tcPr>
            <w:tcW w:w="1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6"/>
              </w:rPr>
              <w:t>circuits and a provider</w:t>
            </w:r>
          </w:p>
        </w:tc>
      </w:tr>
      <w:tr>
        <w:trPr>
          <w:trHeight w:val="135"/>
        </w:trPr>
        <w:tc>
          <w:tcPr>
            <w:tcW w:w="800" w:type="dxa"/>
            <w:vAlign w:val="bottom"/>
          </w:tcPr>
          <w:p>
            <w:pPr>
              <w:spacing w:after="0"/>
              <w:rPr>
                <w:sz w:val="11"/>
                <w:szCs w:val="11"/>
                <w:color w:val="auto"/>
              </w:rPr>
            </w:pPr>
          </w:p>
        </w:tc>
        <w:tc>
          <w:tcPr>
            <w:tcW w:w="4820" w:type="dxa"/>
            <w:vAlign w:val="bottom"/>
            <w:gridSpan w:val="6"/>
          </w:tcPr>
          <w:p>
            <w:pPr>
              <w:ind w:left="240"/>
              <w:spacing w:after="0"/>
              <w:rPr>
                <w:sz w:val="20"/>
                <w:szCs w:val="20"/>
                <w:color w:val="auto"/>
              </w:rPr>
            </w:pPr>
            <w:r>
              <w:rPr>
                <w:rFonts w:ascii="Courier New" w:cs="Courier New" w:eastAsia="Courier New" w:hAnsi="Courier New"/>
                <w:sz w:val="12"/>
                <w:szCs w:val="12"/>
                <w:color w:val="auto"/>
              </w:rPr>
              <w:t>of related design services and the Borrower wishes to purchase</w:t>
            </w:r>
          </w:p>
        </w:tc>
      </w:tr>
      <w:tr>
        <w:trPr>
          <w:trHeight w:val="135"/>
        </w:trPr>
        <w:tc>
          <w:tcPr>
            <w:tcW w:w="800" w:type="dxa"/>
            <w:vAlign w:val="bottom"/>
          </w:tcPr>
          <w:p>
            <w:pPr>
              <w:spacing w:after="0"/>
              <w:rPr>
                <w:sz w:val="11"/>
                <w:szCs w:val="11"/>
                <w:color w:val="auto"/>
              </w:rPr>
            </w:pPr>
          </w:p>
        </w:tc>
        <w:tc>
          <w:tcPr>
            <w:tcW w:w="106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the Ramp-Up</w:t>
            </w:r>
          </w:p>
        </w:tc>
        <w:tc>
          <w:tcPr>
            <w:tcW w:w="20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8"/>
              </w:rPr>
              <w:t>Equipment (as defined in the</w:t>
            </w:r>
          </w:p>
        </w:tc>
        <w:tc>
          <w:tcPr>
            <w:tcW w:w="1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Facility Agreement dated</w:t>
            </w:r>
          </w:p>
        </w:tc>
      </w:tr>
      <w:tr>
        <w:trPr>
          <w:trHeight w:val="135"/>
        </w:trPr>
        <w:tc>
          <w:tcPr>
            <w:tcW w:w="800" w:type="dxa"/>
            <w:vAlign w:val="bottom"/>
          </w:tcPr>
          <w:p>
            <w:pPr>
              <w:spacing w:after="0"/>
              <w:rPr>
                <w:sz w:val="11"/>
                <w:szCs w:val="11"/>
                <w:color w:val="auto"/>
              </w:rPr>
            </w:pPr>
          </w:p>
        </w:tc>
        <w:tc>
          <w:tcPr>
            <w:tcW w:w="780" w:type="dxa"/>
            <w:vAlign w:val="bottom"/>
          </w:tcPr>
          <w:p>
            <w:pPr>
              <w:ind w:left="240"/>
              <w:spacing w:after="0"/>
              <w:rPr>
                <w:sz w:val="20"/>
                <w:szCs w:val="20"/>
                <w:color w:val="auto"/>
              </w:rPr>
            </w:pPr>
            <w:r>
              <w:rPr>
                <w:rFonts w:ascii="Courier New" w:cs="Courier New" w:eastAsia="Courier New" w:hAnsi="Courier New"/>
                <w:sz w:val="12"/>
                <w:szCs w:val="12"/>
                <w:color w:val="auto"/>
              </w:rPr>
              <w:t>January</w:t>
            </w:r>
          </w:p>
        </w:tc>
        <w:tc>
          <w:tcPr>
            <w:tcW w:w="280" w:type="dxa"/>
            <w:vAlign w:val="bottom"/>
          </w:tcPr>
          <w:p>
            <w:pPr>
              <w:ind w:left="20"/>
              <w:spacing w:after="0"/>
              <w:rPr>
                <w:sz w:val="20"/>
                <w:szCs w:val="20"/>
                <w:color w:val="auto"/>
              </w:rPr>
            </w:pPr>
            <w:r>
              <w:rPr>
                <w:rFonts w:ascii="Courier New" w:cs="Courier New" w:eastAsia="Courier New" w:hAnsi="Courier New"/>
                <w:sz w:val="12"/>
                <w:szCs w:val="12"/>
                <w:color w:val="auto"/>
              </w:rPr>
              <w:t>18,</w:t>
            </w:r>
          </w:p>
        </w:tc>
        <w:tc>
          <w:tcPr>
            <w:tcW w:w="20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2001, as amended and restated</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on</w:t>
            </w:r>
          </w:p>
        </w:tc>
        <w:tc>
          <w:tcPr>
            <w:tcW w:w="14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7"/>
              </w:rPr>
              <w:t>August 24, 2006, as</w:t>
            </w:r>
          </w:p>
        </w:tc>
      </w:tr>
      <w:tr>
        <w:trPr>
          <w:trHeight w:val="135"/>
        </w:trPr>
        <w:tc>
          <w:tcPr>
            <w:tcW w:w="800" w:type="dxa"/>
            <w:vAlign w:val="bottom"/>
          </w:tcPr>
          <w:p>
            <w:pPr>
              <w:spacing w:after="0"/>
              <w:rPr>
                <w:sz w:val="11"/>
                <w:szCs w:val="11"/>
                <w:color w:val="auto"/>
              </w:rPr>
            </w:pPr>
          </w:p>
        </w:tc>
        <w:tc>
          <w:tcPr>
            <w:tcW w:w="780" w:type="dxa"/>
            <w:vAlign w:val="bottom"/>
          </w:tcPr>
          <w:p>
            <w:pPr>
              <w:ind w:left="240"/>
              <w:spacing w:after="0"/>
              <w:rPr>
                <w:sz w:val="20"/>
                <w:szCs w:val="20"/>
                <w:color w:val="auto"/>
              </w:rPr>
            </w:pPr>
            <w:r>
              <w:rPr>
                <w:rFonts w:ascii="Courier New" w:cs="Courier New" w:eastAsia="Courier New" w:hAnsi="Courier New"/>
                <w:sz w:val="12"/>
                <w:szCs w:val="12"/>
                <w:color w:val="auto"/>
              </w:rPr>
              <w:t>further</w:t>
            </w:r>
          </w:p>
        </w:tc>
        <w:tc>
          <w:tcPr>
            <w:tcW w:w="760" w:type="dxa"/>
            <w:vAlign w:val="bottom"/>
            <w:gridSpan w:val="2"/>
          </w:tcPr>
          <w:p>
            <w:pPr>
              <w:ind w:left="20"/>
              <w:spacing w:after="0"/>
              <w:rPr>
                <w:sz w:val="20"/>
                <w:szCs w:val="20"/>
                <w:color w:val="auto"/>
              </w:rPr>
            </w:pPr>
            <w:r>
              <w:rPr>
                <w:rFonts w:ascii="Courier New" w:cs="Courier New" w:eastAsia="Courier New" w:hAnsi="Courier New"/>
                <w:sz w:val="12"/>
                <w:szCs w:val="12"/>
                <w:color w:val="auto"/>
                <w:w w:val="99"/>
              </w:rPr>
              <w:t>amended on</w:t>
            </w:r>
          </w:p>
        </w:tc>
        <w:tc>
          <w:tcPr>
            <w:tcW w:w="1580" w:type="dxa"/>
            <w:vAlign w:val="bottom"/>
          </w:tcPr>
          <w:p>
            <w:pPr>
              <w:jc w:val="right"/>
              <w:spacing w:after="0"/>
              <w:rPr>
                <w:sz w:val="20"/>
                <w:szCs w:val="20"/>
                <w:color w:val="auto"/>
              </w:rPr>
            </w:pPr>
            <w:r>
              <w:rPr>
                <w:rFonts w:ascii="Courier New" w:cs="Courier New" w:eastAsia="Courier New" w:hAnsi="Courier New"/>
                <w:sz w:val="12"/>
                <w:szCs w:val="12"/>
                <w:color w:val="auto"/>
                <w:w w:val="98"/>
              </w:rPr>
              <w:t>September 10, 2007 and</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as</w:t>
            </w:r>
          </w:p>
        </w:tc>
        <w:tc>
          <w:tcPr>
            <w:tcW w:w="14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7"/>
              </w:rPr>
              <w:t>may be amended from</w:t>
            </w:r>
          </w:p>
        </w:tc>
      </w:tr>
      <w:tr>
        <w:trPr>
          <w:trHeight w:val="135"/>
        </w:trPr>
        <w:tc>
          <w:tcPr>
            <w:tcW w:w="800" w:type="dxa"/>
            <w:vAlign w:val="bottom"/>
          </w:tcPr>
          <w:p>
            <w:pPr>
              <w:spacing w:after="0"/>
              <w:rPr>
                <w:sz w:val="11"/>
                <w:szCs w:val="11"/>
                <w:color w:val="auto"/>
              </w:rPr>
            </w:pPr>
          </w:p>
        </w:tc>
        <w:tc>
          <w:tcPr>
            <w:tcW w:w="780" w:type="dxa"/>
            <w:vAlign w:val="bottom"/>
          </w:tcPr>
          <w:p>
            <w:pPr>
              <w:ind w:left="240"/>
              <w:spacing w:after="0"/>
              <w:rPr>
                <w:sz w:val="20"/>
                <w:szCs w:val="20"/>
                <w:color w:val="auto"/>
              </w:rPr>
            </w:pPr>
            <w:r>
              <w:rPr>
                <w:rFonts w:ascii="Courier New" w:cs="Courier New" w:eastAsia="Courier New" w:hAnsi="Courier New"/>
                <w:sz w:val="12"/>
                <w:szCs w:val="12"/>
                <w:color w:val="auto"/>
              </w:rPr>
              <w:t>time to</w:t>
            </w:r>
          </w:p>
        </w:tc>
        <w:tc>
          <w:tcPr>
            <w:tcW w:w="760" w:type="dxa"/>
            <w:vAlign w:val="bottom"/>
            <w:gridSpan w:val="2"/>
          </w:tcPr>
          <w:p>
            <w:pPr>
              <w:ind w:left="20"/>
              <w:spacing w:after="0"/>
              <w:rPr>
                <w:sz w:val="20"/>
                <w:szCs w:val="20"/>
                <w:color w:val="auto"/>
              </w:rPr>
            </w:pPr>
            <w:r>
              <w:rPr>
                <w:rFonts w:ascii="Courier New" w:cs="Courier New" w:eastAsia="Courier New" w:hAnsi="Courier New"/>
                <w:sz w:val="12"/>
                <w:szCs w:val="12"/>
                <w:color w:val="auto"/>
                <w:w w:val="99"/>
              </w:rPr>
              <w:t>time ("THE</w:t>
            </w:r>
          </w:p>
        </w:tc>
        <w:tc>
          <w:tcPr>
            <w:tcW w:w="1580" w:type="dxa"/>
            <w:vAlign w:val="bottom"/>
          </w:tcPr>
          <w:p>
            <w:pPr>
              <w:jc w:val="right"/>
              <w:ind w:right="1"/>
              <w:spacing w:after="0"/>
              <w:rPr>
                <w:sz w:val="20"/>
                <w:szCs w:val="20"/>
                <w:color w:val="auto"/>
              </w:rPr>
            </w:pPr>
            <w:r>
              <w:rPr>
                <w:rFonts w:ascii="Courier New" w:cs="Courier New" w:eastAsia="Courier New" w:hAnsi="Courier New"/>
                <w:sz w:val="12"/>
                <w:szCs w:val="12"/>
                <w:color w:val="auto"/>
                <w:w w:val="99"/>
              </w:rPr>
              <w:t>FACILITY AGREEMENT"))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w w:val="92"/>
              </w:rPr>
              <w:t>and</w:t>
            </w:r>
          </w:p>
        </w:tc>
        <w:tc>
          <w:tcPr>
            <w:tcW w:w="144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8"/>
              </w:rPr>
              <w:t>requires financing</w:t>
            </w:r>
          </w:p>
        </w:tc>
      </w:tr>
      <w:tr>
        <w:trPr>
          <w:trHeight w:val="135"/>
        </w:trPr>
        <w:tc>
          <w:tcPr>
            <w:tcW w:w="800" w:type="dxa"/>
            <w:vAlign w:val="bottom"/>
          </w:tcPr>
          <w:p>
            <w:pPr>
              <w:spacing w:after="0"/>
              <w:rPr>
                <w:sz w:val="11"/>
                <w:szCs w:val="11"/>
                <w:color w:val="auto"/>
              </w:rPr>
            </w:pPr>
          </w:p>
        </w:tc>
        <w:tc>
          <w:tcPr>
            <w:tcW w:w="106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for payment</w:t>
            </w:r>
          </w:p>
        </w:tc>
        <w:tc>
          <w:tcPr>
            <w:tcW w:w="480" w:type="dxa"/>
            <w:vAlign w:val="bottom"/>
          </w:tcPr>
          <w:p>
            <w:pPr>
              <w:ind w:left="20"/>
              <w:spacing w:after="0"/>
              <w:rPr>
                <w:sz w:val="20"/>
                <w:szCs w:val="20"/>
                <w:color w:val="auto"/>
              </w:rPr>
            </w:pPr>
            <w:r>
              <w:rPr>
                <w:rFonts w:ascii="Courier New" w:cs="Courier New" w:eastAsia="Courier New" w:hAnsi="Courier New"/>
                <w:sz w:val="12"/>
                <w:szCs w:val="12"/>
                <w:color w:val="auto"/>
              </w:rPr>
              <w:t>of the</w:t>
            </w:r>
          </w:p>
        </w:tc>
        <w:tc>
          <w:tcPr>
            <w:tcW w:w="1580" w:type="dxa"/>
            <w:vAlign w:val="bottom"/>
          </w:tcPr>
          <w:p>
            <w:pPr>
              <w:jc w:val="right"/>
              <w:spacing w:after="0"/>
              <w:rPr>
                <w:sz w:val="20"/>
                <w:szCs w:val="20"/>
                <w:color w:val="auto"/>
              </w:rPr>
            </w:pPr>
            <w:r>
              <w:rPr>
                <w:rFonts w:ascii="Courier New" w:cs="Courier New" w:eastAsia="Courier New" w:hAnsi="Courier New"/>
                <w:sz w:val="12"/>
                <w:szCs w:val="12"/>
                <w:color w:val="auto"/>
                <w:w w:val="98"/>
              </w:rPr>
              <w:t>cost of acquisition of</w:t>
            </w:r>
          </w:p>
        </w:tc>
        <w:tc>
          <w:tcPr>
            <w:tcW w:w="1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the Ramp-Up Equipment;</w:t>
            </w:r>
          </w:p>
        </w:tc>
      </w:tr>
    </w:tbl>
    <w:p>
      <w:pPr>
        <w:spacing w:after="0" w:line="139" w:lineRule="exact"/>
        <w:rPr>
          <w:sz w:val="20"/>
          <w:szCs w:val="20"/>
          <w:color w:val="auto"/>
        </w:rPr>
      </w:pPr>
    </w:p>
    <w:p>
      <w:pPr>
        <w:ind w:left="1048" w:right="4699" w:hanging="1053"/>
        <w:spacing w:after="0" w:line="235" w:lineRule="auto"/>
        <w:tabs>
          <w:tab w:leader="none" w:pos="1028" w:val="left"/>
        </w:tabs>
        <w:rPr>
          <w:sz w:val="20"/>
          <w:szCs w:val="20"/>
          <w:color w:val="auto"/>
        </w:rPr>
      </w:pPr>
      <w:r>
        <w:rPr>
          <w:rFonts w:ascii="Courier New" w:cs="Courier New" w:eastAsia="Courier New" w:hAnsi="Courier New"/>
          <w:sz w:val="12"/>
          <w:szCs w:val="12"/>
          <w:color w:val="auto"/>
        </w:rPr>
        <w:t>AND WHEREAS:</w:t>
        <w:tab/>
        <w:t>the Bank, Bank Leumi le-Israel B.M. and the Borrower are parties to the Facility Agreement;</w:t>
      </w:r>
    </w:p>
    <w:p>
      <w:pPr>
        <w:spacing w:after="0" w:line="139" w:lineRule="exact"/>
        <w:rPr>
          <w:sz w:val="20"/>
          <w:szCs w:val="20"/>
          <w:color w:val="auto"/>
        </w:rPr>
      </w:pPr>
    </w:p>
    <w:p>
      <w:pPr>
        <w:ind w:left="1048" w:right="4699" w:hanging="1053"/>
        <w:spacing w:after="0" w:line="237" w:lineRule="auto"/>
        <w:tabs>
          <w:tab w:leader="none" w:pos="1028" w:val="left"/>
        </w:tabs>
        <w:rPr>
          <w:sz w:val="20"/>
          <w:szCs w:val="20"/>
          <w:color w:val="auto"/>
        </w:rPr>
      </w:pPr>
      <w:r>
        <w:rPr>
          <w:rFonts w:ascii="Courier New" w:cs="Courier New" w:eastAsia="Courier New" w:hAnsi="Courier New"/>
          <w:sz w:val="12"/>
          <w:szCs w:val="12"/>
          <w:color w:val="auto"/>
        </w:rPr>
        <w:t>AND WHEREAS:</w:t>
        <w:tab/>
        <w:t>subject to the terms and conditions of this Agreement, including the fulfilment of the conditions precedent set out below, the Bank is willing to make available to the Borrower a secured US Dollar credit facility in order to finance partially the cost of acquisition of the Ramp-Up Equipment,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NOW, THEREFORE, IT IS HEREBY AGREED AS FOLLOWS:</w:t>
      </w:r>
    </w:p>
    <w:p>
      <w:pPr>
        <w:spacing w:after="0" w:line="134" w:lineRule="exact"/>
        <w:rPr>
          <w:sz w:val="20"/>
          <w:szCs w:val="20"/>
          <w:color w:val="auto"/>
        </w:rPr>
      </w:pPr>
    </w:p>
    <w:p>
      <w:pPr>
        <w:ind w:left="348" w:hanging="348"/>
        <w:spacing w:after="0"/>
        <w:tabs>
          <w:tab w:leader="none" w:pos="348" w:val="left"/>
        </w:tabs>
        <w:numPr>
          <w:ilvl w:val="0"/>
          <w:numId w:val="10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INTERPRETATION</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1.1. DEFINITIONS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this Agreement, the following terms have the meanings given to them</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 this clause 1.1:</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 "AVAILABILITY PERIOD" - means the period commencing on the</w:t>
      </w:r>
    </w:p>
    <w:p>
      <w:pPr>
        <w:ind w:left="1048"/>
        <w:spacing w:after="0"/>
        <w:rPr>
          <w:sz w:val="20"/>
          <w:szCs w:val="20"/>
          <w:color w:val="auto"/>
        </w:rPr>
      </w:pPr>
      <w:r>
        <w:rPr>
          <w:rFonts w:ascii="Courier New" w:cs="Courier New" w:eastAsia="Courier New" w:hAnsi="Courier New"/>
          <w:sz w:val="12"/>
          <w:szCs w:val="12"/>
          <w:color w:val="auto"/>
        </w:rPr>
        <w:t>Closing Date and ending on the Termination Date;</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1.1.2. "AVAILABLE COMMITMENT" - means the Commitment less: (a) all</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outstanding Equipment Facility Credits provided by the Bank; and</w:t>
      </w:r>
    </w:p>
    <w:p>
      <w:pPr>
        <w:spacing w:after="0" w:line="10" w:lineRule="exact"/>
        <w:rPr>
          <w:sz w:val="20"/>
          <w:szCs w:val="20"/>
          <w:color w:val="auto"/>
        </w:rPr>
      </w:pPr>
    </w:p>
    <w:p>
      <w:pPr>
        <w:jc w:val="both"/>
        <w:ind w:left="1048" w:right="4699" w:firstLine="6"/>
        <w:spacing w:after="0" w:line="266" w:lineRule="auto"/>
        <w:tabs>
          <w:tab w:leader="none" w:pos="1329" w:val="left"/>
        </w:tabs>
        <w:numPr>
          <w:ilvl w:val="0"/>
          <w:numId w:val="104"/>
        </w:numPr>
        <w:rPr>
          <w:rFonts w:ascii="Courier New" w:cs="Courier New" w:eastAsia="Courier New" w:hAnsi="Courier New"/>
          <w:sz w:val="11"/>
          <w:szCs w:val="11"/>
          <w:color w:val="auto"/>
        </w:rPr>
      </w:pPr>
      <w:r>
        <w:rPr>
          <w:rFonts w:ascii="Courier New" w:cs="Courier New" w:eastAsia="Courier New" w:hAnsi="Courier New"/>
          <w:sz w:val="11"/>
          <w:szCs w:val="11"/>
          <w:color w:val="auto"/>
        </w:rPr>
        <w:t>any such Equipment Facility Credits that have been requested and are due to be made under the Equipment Facility on or before the proposed Drawdown Date or Issue Date, as the case may be;</w:t>
      </w:r>
    </w:p>
    <w:p>
      <w:pPr>
        <w:spacing w:after="0" w:line="122"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1.1.3. "BANK" - means Bank Hapoalim B.M.;</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1.1.4. "BORROWER" - means Tower Semiconductor Ltd.;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1.1.5. "CHARGED ACCOUNT" - means account number 545454 at the Bank,</w:t>
      </w:r>
    </w:p>
    <w:p>
      <w:pPr>
        <w:ind w:left="1048"/>
        <w:spacing w:after="0"/>
        <w:rPr>
          <w:sz w:val="20"/>
          <w:szCs w:val="20"/>
          <w:color w:val="auto"/>
        </w:rPr>
      </w:pPr>
      <w:r>
        <w:rPr>
          <w:rFonts w:ascii="Courier New" w:cs="Courier New" w:eastAsia="Courier New" w:hAnsi="Courier New"/>
          <w:sz w:val="12"/>
          <w:szCs w:val="12"/>
          <w:color w:val="auto"/>
        </w:rPr>
        <w:t>Migdal Haemek Branch No. 728, in the name of the Borrower, into</w:t>
      </w:r>
    </w:p>
    <w:p>
      <w:pPr>
        <w:ind w:left="1048"/>
        <w:spacing w:after="0" w:line="237" w:lineRule="auto"/>
        <w:rPr>
          <w:sz w:val="20"/>
          <w:szCs w:val="20"/>
          <w:color w:val="auto"/>
        </w:rPr>
      </w:pPr>
      <w:r>
        <w:rPr>
          <w:rFonts w:ascii="Courier New" w:cs="Courier New" w:eastAsia="Courier New" w:hAnsi="Courier New"/>
          <w:sz w:val="12"/>
          <w:szCs w:val="12"/>
          <w:color w:val="auto"/>
        </w:rPr>
        <w:t>which account:</w:t>
      </w:r>
    </w:p>
    <w:p>
      <w:pPr>
        <w:spacing w:after="0" w:line="139" w:lineRule="exact"/>
        <w:rPr>
          <w:sz w:val="20"/>
          <w:szCs w:val="20"/>
          <w:color w:val="auto"/>
        </w:rPr>
      </w:pPr>
    </w:p>
    <w:p>
      <w:pPr>
        <w:ind w:left="1408" w:right="4759" w:hanging="354"/>
        <w:spacing w:after="0" w:line="235" w:lineRule="auto"/>
        <w:tabs>
          <w:tab w:leader="none" w:pos="140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Equipment Loans by the Bank will be paid in accordance with clause 4.2.4 below;</w:t>
      </w:r>
    </w:p>
    <w:p>
      <w:pPr>
        <w:spacing w:after="0" w:line="139" w:lineRule="exact"/>
        <w:rPr>
          <w:rFonts w:ascii="Courier New" w:cs="Courier New" w:eastAsia="Courier New" w:hAnsi="Courier New"/>
          <w:sz w:val="12"/>
          <w:szCs w:val="12"/>
          <w:color w:val="auto"/>
        </w:rPr>
      </w:pPr>
    </w:p>
    <w:p>
      <w:pPr>
        <w:ind w:left="1408" w:right="4899" w:hanging="354"/>
        <w:spacing w:after="0" w:line="235" w:lineRule="auto"/>
        <w:tabs>
          <w:tab w:leader="none" w:pos="140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repayments and prepayments of Equipment Loans to the Bank will be made;</w:t>
      </w:r>
    </w:p>
    <w:p>
      <w:pPr>
        <w:spacing w:after="0" w:line="269"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2 -</w:t>
      </w:r>
    </w:p>
    <w:p>
      <w:pPr>
        <w:spacing w:after="0" w:line="390" w:lineRule="exact"/>
        <w:rPr>
          <w:rFonts w:ascii="Courier New" w:cs="Courier New" w:eastAsia="Courier New" w:hAnsi="Courier New"/>
          <w:sz w:val="12"/>
          <w:szCs w:val="12"/>
          <w:color w:val="auto"/>
        </w:rPr>
      </w:pPr>
    </w:p>
    <w:p>
      <w:pPr>
        <w:jc w:val="both"/>
        <w:ind w:left="1408" w:right="4759" w:hanging="354"/>
        <w:spacing w:after="0" w:line="236" w:lineRule="auto"/>
        <w:tabs>
          <w:tab w:leader="none" w:pos="140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deposits (if any), made in respect of an Equipment L/C issued by the Bank, as referred to in clause 4.3.2.4 below will be deposited; and</w:t>
      </w:r>
    </w:p>
    <w:p>
      <w:pPr>
        <w:spacing w:after="0" w:line="139" w:lineRule="exact"/>
        <w:rPr>
          <w:rFonts w:ascii="Courier New" w:cs="Courier New" w:eastAsia="Courier New" w:hAnsi="Courier New"/>
          <w:sz w:val="12"/>
          <w:szCs w:val="12"/>
          <w:color w:val="auto"/>
        </w:rPr>
      </w:pPr>
    </w:p>
    <w:p>
      <w:pPr>
        <w:ind w:left="1408" w:right="4759" w:hanging="354"/>
        <w:spacing w:after="0" w:line="235" w:lineRule="auto"/>
        <w:tabs>
          <w:tab w:leader="none" w:pos="1408" w:val="left"/>
        </w:tabs>
        <w:numPr>
          <w:ilvl w:val="0"/>
          <w:numId w:val="10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other payments to the Bank under this Agreement are to be made pursuant to this Agreement;</w:t>
      </w:r>
    </w:p>
    <w:p>
      <w:pPr>
        <w:spacing w:after="0" w:line="135"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1.1.6. "CLOSING DATE" - means the second Business Day following the</w:t>
      </w:r>
    </w:p>
    <w:p>
      <w:pPr>
        <w:ind w:left="1048"/>
        <w:spacing w:after="0"/>
        <w:rPr>
          <w:sz w:val="20"/>
          <w:szCs w:val="20"/>
          <w:color w:val="auto"/>
        </w:rPr>
      </w:pPr>
      <w:r>
        <w:rPr>
          <w:rFonts w:ascii="Courier New" w:cs="Courier New" w:eastAsia="Courier New" w:hAnsi="Courier New"/>
          <w:sz w:val="12"/>
          <w:szCs w:val="12"/>
          <w:color w:val="auto"/>
        </w:rPr>
        <w:t>date on which the Bank is satisfied that all of the conditions</w:t>
      </w:r>
    </w:p>
    <w:p>
      <w:pPr>
        <w:ind w:left="1048"/>
        <w:spacing w:after="0" w:line="237" w:lineRule="auto"/>
        <w:rPr>
          <w:sz w:val="20"/>
          <w:szCs w:val="20"/>
          <w:color w:val="auto"/>
        </w:rPr>
      </w:pPr>
      <w:r>
        <w:rPr>
          <w:rFonts w:ascii="Courier New" w:cs="Courier New" w:eastAsia="Courier New" w:hAnsi="Courier New"/>
          <w:sz w:val="12"/>
          <w:szCs w:val="12"/>
          <w:color w:val="auto"/>
        </w:rPr>
        <w:t>precedent referred to in clause 3 below have been fulfilled;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1.1.7. "COMMITMENT" - means the amount of US $15,000,000 fifteen</w:t>
      </w:r>
    </w:p>
    <w:p>
      <w:pPr>
        <w:ind w:left="1048"/>
        <w:spacing w:after="0"/>
        <w:rPr>
          <w:sz w:val="20"/>
          <w:szCs w:val="20"/>
          <w:color w:val="auto"/>
        </w:rPr>
      </w:pPr>
      <w:r>
        <w:rPr>
          <w:rFonts w:ascii="Courier New" w:cs="Courier New" w:eastAsia="Courier New" w:hAnsi="Courier New"/>
          <w:sz w:val="12"/>
          <w:szCs w:val="12"/>
          <w:color w:val="auto"/>
        </w:rPr>
        <w:t>million United States Dollars);</w:t>
      </w:r>
    </w:p>
    <w:p>
      <w:pPr>
        <w:spacing w:after="0" w:line="138"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1.1.8. "DRAWDOWN DATE" - means, in respect of any Equipment Loan, the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date of the making of such Equipment Loan;</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1.1.9. "DRAWDOWN REQUEST" - means a notice substantially in the form</w:t>
      </w:r>
    </w:p>
    <w:p>
      <w:pPr>
        <w:ind w:left="1048"/>
        <w:spacing w:after="0"/>
        <w:rPr>
          <w:sz w:val="20"/>
          <w:szCs w:val="20"/>
          <w:color w:val="auto"/>
        </w:rPr>
      </w:pPr>
      <w:r>
        <w:rPr>
          <w:rFonts w:ascii="Courier New" w:cs="Courier New" w:eastAsia="Courier New" w:hAnsi="Courier New"/>
          <w:sz w:val="12"/>
          <w:szCs w:val="12"/>
          <w:color w:val="auto"/>
        </w:rPr>
        <w:t>of SCHEDULE 1.1.9 hereto;</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1.1.10. "EQUIPMENT FACILITY" - means the US Dollar credit facility</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granted to the Borrower by the Bank pursuant to clause 2.1 below;</w:t>
      </w:r>
    </w:p>
    <w:p>
      <w:pPr>
        <w:spacing w:after="0" w:line="146"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1.1.10A. "EQUIPMENT FACILITY CREDITS" - means any Equipment Loans made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to the Borrower pursuant to the Equipment Facility and/or any</w:t>
      </w:r>
    </w:p>
    <w:p>
      <w:pPr>
        <w:ind w:left="1048"/>
        <w:spacing w:after="0"/>
        <w:rPr>
          <w:sz w:val="20"/>
          <w:szCs w:val="20"/>
          <w:color w:val="auto"/>
        </w:rPr>
      </w:pPr>
      <w:r>
        <w:rPr>
          <w:rFonts w:ascii="Courier New" w:cs="Courier New" w:eastAsia="Courier New" w:hAnsi="Courier New"/>
          <w:sz w:val="12"/>
          <w:szCs w:val="12"/>
          <w:color w:val="auto"/>
        </w:rPr>
        <w:t>Equipment L/Cs issued by the Bank in lieu of all or part of the</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Equipment Loans or, as the context requires, the principal amount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of such Equipment Loans at such relevant time and the Maximum</w:t>
      </w:r>
    </w:p>
    <w:p>
      <w:pPr>
        <w:ind w:left="1048"/>
        <w:spacing w:after="0"/>
        <w:rPr>
          <w:sz w:val="20"/>
          <w:szCs w:val="20"/>
          <w:color w:val="auto"/>
        </w:rPr>
      </w:pPr>
      <w:r>
        <w:rPr>
          <w:rFonts w:ascii="Courier New" w:cs="Courier New" w:eastAsia="Courier New" w:hAnsi="Courier New"/>
          <w:sz w:val="12"/>
          <w:szCs w:val="12"/>
          <w:color w:val="auto"/>
        </w:rPr>
        <w:t>Drawing Amount of such Equipment L/Cs at such relevant time;</w:t>
      </w:r>
    </w:p>
    <w:p>
      <w:pPr>
        <w:ind w:left="1048"/>
        <w:spacing w:after="0" w:line="237" w:lineRule="auto"/>
        <w:rPr>
          <w:sz w:val="20"/>
          <w:szCs w:val="20"/>
          <w:color w:val="auto"/>
        </w:rPr>
      </w:pPr>
      <w:r>
        <w:rPr>
          <w:rFonts w:ascii="Courier New" w:cs="Courier New" w:eastAsia="Courier New" w:hAnsi="Courier New"/>
          <w:sz w:val="12"/>
          <w:szCs w:val="12"/>
          <w:color w:val="auto"/>
        </w:rPr>
        <w:t>provided that, the maximum aggregate amount of all Equipment</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Facility Credits shall not exceed US $15,000,000 (fifteen million</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United States Dollars);</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- 3 -</w:t>
      </w:r>
    </w:p>
    <w:p>
      <w:pPr>
        <w:spacing w:after="0" w:line="38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1.1.11. "EQUIPMENT FACILITY DEFAULT" - means any Equipment Facility</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Event of Default or any event which with the giving of notice or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lapse of time, or the making of any determination hereunder, or</w:t>
      </w:r>
    </w:p>
    <w:p>
      <w:pPr>
        <w:ind w:left="1048"/>
        <w:spacing w:after="0"/>
        <w:rPr>
          <w:sz w:val="20"/>
          <w:szCs w:val="20"/>
          <w:color w:val="auto"/>
        </w:rPr>
      </w:pPr>
      <w:r>
        <w:rPr>
          <w:rFonts w:ascii="Courier New" w:cs="Courier New" w:eastAsia="Courier New" w:hAnsi="Courier New"/>
          <w:sz w:val="12"/>
          <w:szCs w:val="12"/>
          <w:color w:val="auto"/>
        </w:rPr>
        <w:t>the satisfaction of any other condition (or any combination</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thereof) would constitute an Equipment Facility Event of Default;</w:t>
      </w:r>
    </w:p>
    <w:p>
      <w:pPr>
        <w:spacing w:after="0" w:line="141"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1.1.12. "EQUIPMENT FACILITY EVENT OF DEFAULT" - means any of the</w:t>
      </w:r>
    </w:p>
    <w:p>
      <w:pPr>
        <w:sectPr>
          <w:pgSz w:w="11900" w:h="16902" w:orient="portrait"/>
          <w:cols w:equalWidth="0" w:num="1">
            <w:col w:w="10247"/>
          </w:cols>
          <w:pgMar w:left="212" w:top="411" w:right="1440" w:bottom="0" w:gutter="0" w:footer="0" w:header="0"/>
        </w:sectPr>
      </w:pPr>
    </w:p>
    <w:bookmarkStart w:id="77" w:name="page78"/>
    <w:bookmarkEnd w:id="77"/>
    <w:p>
      <w:pPr>
        <w:spacing w:after="0" w:line="63"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events or circumstances described in clauses 12.2-12.9</w:t>
      </w:r>
    </w:p>
    <w:p>
      <w:pPr>
        <w:ind w:left="1048"/>
        <w:spacing w:after="0"/>
        <w:rPr>
          <w:sz w:val="20"/>
          <w:szCs w:val="20"/>
          <w:color w:val="auto"/>
        </w:rPr>
      </w:pPr>
      <w:r>
        <w:rPr>
          <w:rFonts w:ascii="Courier New" w:cs="Courier New" w:eastAsia="Courier New" w:hAnsi="Courier New"/>
          <w:sz w:val="12"/>
          <w:szCs w:val="12"/>
          <w:color w:val="auto"/>
        </w:rPr>
        <w:t>(inclusive) below;</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1.1.13. "EQUIPMENT L/C" - means a standby or documentary letter of</w:t>
      </w:r>
    </w:p>
    <w:p>
      <w:pPr>
        <w:ind w:left="1048"/>
        <w:spacing w:after="0"/>
        <w:rPr>
          <w:sz w:val="20"/>
          <w:szCs w:val="20"/>
          <w:color w:val="auto"/>
        </w:rPr>
      </w:pPr>
      <w:r>
        <w:rPr>
          <w:rFonts w:ascii="Courier New" w:cs="Courier New" w:eastAsia="Courier New" w:hAnsi="Courier New"/>
          <w:sz w:val="12"/>
          <w:szCs w:val="12"/>
          <w:color w:val="auto"/>
        </w:rPr>
        <w:t>credit or bank guarantee issued, or to be issued, by the Bank</w:t>
      </w:r>
    </w:p>
    <w:p>
      <w:pPr>
        <w:ind w:left="1048"/>
        <w:spacing w:after="0" w:line="237" w:lineRule="auto"/>
        <w:rPr>
          <w:sz w:val="20"/>
          <w:szCs w:val="20"/>
          <w:color w:val="auto"/>
        </w:rPr>
      </w:pPr>
      <w:r>
        <w:rPr>
          <w:rFonts w:ascii="Courier New" w:cs="Courier New" w:eastAsia="Courier New" w:hAnsi="Courier New"/>
          <w:sz w:val="12"/>
          <w:szCs w:val="12"/>
          <w:color w:val="auto"/>
        </w:rPr>
        <w:t>under the Equipment Facility for the account of the Borrower in</w:t>
      </w:r>
    </w:p>
    <w:p>
      <w:pPr>
        <w:ind w:left="1048"/>
        <w:spacing w:after="0"/>
        <w:rPr>
          <w:sz w:val="20"/>
          <w:szCs w:val="20"/>
          <w:color w:val="auto"/>
        </w:rPr>
      </w:pPr>
      <w:r>
        <w:rPr>
          <w:rFonts w:ascii="Courier New" w:cs="Courier New" w:eastAsia="Courier New" w:hAnsi="Courier New"/>
          <w:sz w:val="12"/>
          <w:szCs w:val="12"/>
          <w:color w:val="auto"/>
        </w:rPr>
        <w:t>accordance with clause 4.3 below;</w:t>
      </w:r>
    </w:p>
    <w:p>
      <w:pPr>
        <w:spacing w:after="0" w:line="138"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1.1.14. "EQUIPMENT LOAN" - means a loan made or to be made by the Bank</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under the Equipment Facility pursuant to clause 4.2 below;</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1.1.15. "EQUIPMENT LOAN MATURITY DATE" - means the earlier of:</w:t>
      </w:r>
    </w:p>
    <w:p>
      <w:pPr>
        <w:spacing w:after="0" w:line="134" w:lineRule="exact"/>
        <w:rPr>
          <w:sz w:val="20"/>
          <w:szCs w:val="20"/>
          <w:color w:val="auto"/>
        </w:rPr>
      </w:pPr>
    </w:p>
    <w:p>
      <w:pPr>
        <w:ind w:left="1408" w:hanging="354"/>
        <w:spacing w:after="0"/>
        <w:tabs>
          <w:tab w:leader="none" w:pos="1408"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Final Equipment Facility Maturity Date; and</w:t>
      </w:r>
    </w:p>
    <w:p>
      <w:pPr>
        <w:spacing w:after="0" w:line="138" w:lineRule="exact"/>
        <w:rPr>
          <w:rFonts w:ascii="Courier New" w:cs="Courier New" w:eastAsia="Courier New" w:hAnsi="Courier New"/>
          <w:sz w:val="12"/>
          <w:szCs w:val="12"/>
          <w:color w:val="auto"/>
        </w:rPr>
      </w:pPr>
    </w:p>
    <w:p>
      <w:pPr>
        <w:ind w:left="1408" w:right="4979" w:hanging="354"/>
        <w:spacing w:after="0" w:line="236" w:lineRule="auto"/>
        <w:tabs>
          <w:tab w:leader="none" w:pos="1408" w:val="left"/>
        </w:tabs>
        <w:numPr>
          <w:ilvl w:val="0"/>
          <w:numId w:val="10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Business Day immediately following the second anniversary of the date on which the Equipment Loan was made,</w:t>
      </w:r>
    </w:p>
    <w:p>
      <w:pPr>
        <w:spacing w:after="0" w:line="139"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subject, in each case, to mandatory prepayment on an earlier date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pursuant to clause 6.2 below;</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- 4 -</w:t>
      </w:r>
    </w:p>
    <w:p>
      <w:pPr>
        <w:spacing w:after="0" w:line="38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1.1.16. "FEE LETTER" - means the fee letter dated the date hereof</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between the Bank and the Borrower in the form of SCHEDULE 1.1.16</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hereto;</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1.1.17. "FINAL EQUIPMENT FACILITY MATURITY DATE" - means March 31,</w:t>
      </w:r>
    </w:p>
    <w:p>
      <w:pPr>
        <w:ind w:left="1048"/>
        <w:spacing w:after="0"/>
        <w:rPr>
          <w:sz w:val="20"/>
          <w:szCs w:val="20"/>
          <w:color w:val="auto"/>
        </w:rPr>
      </w:pPr>
      <w:r>
        <w:rPr>
          <w:rFonts w:ascii="Courier New" w:cs="Courier New" w:eastAsia="Courier New" w:hAnsi="Courier New"/>
          <w:sz w:val="12"/>
          <w:szCs w:val="12"/>
          <w:color w:val="auto"/>
        </w:rPr>
        <w:t>2010;</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1.1.18. "ISSUE DATE" - means, in respect of any Equipment L/C, the</w:t>
      </w:r>
    </w:p>
    <w:p>
      <w:pPr>
        <w:ind w:left="1048"/>
        <w:spacing w:after="0"/>
        <w:rPr>
          <w:sz w:val="20"/>
          <w:szCs w:val="20"/>
          <w:color w:val="auto"/>
        </w:rPr>
      </w:pPr>
      <w:r>
        <w:rPr>
          <w:rFonts w:ascii="Courier New" w:cs="Courier New" w:eastAsia="Courier New" w:hAnsi="Courier New"/>
          <w:sz w:val="12"/>
          <w:szCs w:val="12"/>
          <w:color w:val="auto"/>
        </w:rPr>
        <w:t>date of the issue of such Equipment L/C;</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1.1.19. "L/C APPLICATION" - means an application by the Borrower for</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the issue of an Equipment L/C in such form as may be agreed upon</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by the Bank and the Borrower from time to time and which is to be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made pursuant to clause 4.3 hereof;</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1.1.20. "SHARE WARRANTS" - means the warrants to acquire shares of the</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Borrower to be issued by the Borrower to the Bank in the form of</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SCHEDULE 1.1.20 hereto;</w:t>
      </w:r>
    </w:p>
    <w:p>
      <w:pPr>
        <w:spacing w:after="0" w:line="134"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2"/>
          <w:szCs w:val="12"/>
          <w:color w:val="auto"/>
        </w:rPr>
        <w:t>1.1.21. "TERMINATION DATE" - means the Business Day immediately</w:t>
      </w:r>
    </w:p>
    <w:p>
      <w:pPr>
        <w:jc w:val="center"/>
        <w:ind w:right="4411"/>
        <w:spacing w:after="0"/>
        <w:rPr>
          <w:sz w:val="20"/>
          <w:szCs w:val="20"/>
          <w:color w:val="auto"/>
        </w:rPr>
      </w:pPr>
      <w:r>
        <w:rPr>
          <w:rFonts w:ascii="Courier New" w:cs="Courier New" w:eastAsia="Courier New" w:hAnsi="Courier New"/>
          <w:sz w:val="12"/>
          <w:szCs w:val="12"/>
          <w:color w:val="auto"/>
        </w:rPr>
        <w:t>following the second anniversary of the Closing Date.</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 Unless otherwise defined in this Agreement, terms defined and</w:t>
      </w:r>
    </w:p>
    <w:p>
      <w:pPr>
        <w:ind w:left="708"/>
        <w:spacing w:after="0"/>
        <w:rPr>
          <w:sz w:val="20"/>
          <w:szCs w:val="20"/>
          <w:color w:val="auto"/>
        </w:rPr>
      </w:pPr>
      <w:r>
        <w:rPr>
          <w:rFonts w:ascii="Courier New" w:cs="Courier New" w:eastAsia="Courier New" w:hAnsi="Courier New"/>
          <w:sz w:val="12"/>
          <w:szCs w:val="12"/>
          <w:color w:val="auto"/>
        </w:rPr>
        <w:t>references construed in the Facility Agreement shall have the same</w:t>
      </w:r>
    </w:p>
    <w:p>
      <w:pPr>
        <w:ind w:left="708"/>
        <w:spacing w:after="0" w:line="237" w:lineRule="auto"/>
        <w:rPr>
          <w:sz w:val="20"/>
          <w:szCs w:val="20"/>
          <w:color w:val="auto"/>
        </w:rPr>
      </w:pPr>
      <w:r>
        <w:rPr>
          <w:rFonts w:ascii="Courier New" w:cs="Courier New" w:eastAsia="Courier New" w:hAnsi="Courier New"/>
          <w:sz w:val="12"/>
          <w:szCs w:val="12"/>
          <w:color w:val="auto"/>
        </w:rPr>
        <w:t>meaning and construction in this Agreement.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1.3. The recitals and schedules hereto form an integral part thereof.</w:t>
      </w:r>
    </w:p>
    <w:p>
      <w:pPr>
        <w:spacing w:after="0" w:line="134" w:lineRule="exact"/>
        <w:rPr>
          <w:sz w:val="20"/>
          <w:szCs w:val="20"/>
          <w:color w:val="auto"/>
        </w:rPr>
      </w:pPr>
    </w:p>
    <w:p>
      <w:pPr>
        <w:ind w:left="348" w:hanging="348"/>
        <w:spacing w:after="0"/>
        <w:tabs>
          <w:tab w:leader="none" w:pos="348" w:val="left"/>
        </w:tabs>
        <w:numPr>
          <w:ilvl w:val="0"/>
          <w:numId w:val="10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EQUIPMENT FACILITY</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2.1. GRANT OF EQUIPMENT FACILITY</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Subject to the fulfilment of the conditions precedent set out in</w:t>
      </w:r>
    </w:p>
    <w:p>
      <w:pPr>
        <w:ind w:left="708"/>
        <w:spacing w:after="0"/>
        <w:rPr>
          <w:sz w:val="20"/>
          <w:szCs w:val="20"/>
          <w:color w:val="auto"/>
        </w:rPr>
      </w:pPr>
      <w:r>
        <w:rPr>
          <w:rFonts w:ascii="Courier New" w:cs="Courier New" w:eastAsia="Courier New" w:hAnsi="Courier New"/>
          <w:sz w:val="12"/>
          <w:szCs w:val="12"/>
          <w:color w:val="auto"/>
        </w:rPr>
        <w:t>clause 3 below and to compliance with the further conditions set out</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clause 4 below, the Bank, relying upon each of the representations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and warranties made or incorporated by reference in this Agreement,</w:t>
      </w:r>
    </w:p>
    <w:p>
      <w:pPr>
        <w:ind w:left="708"/>
        <w:spacing w:after="0"/>
        <w:rPr>
          <w:sz w:val="20"/>
          <w:szCs w:val="20"/>
          <w:color w:val="auto"/>
        </w:rPr>
      </w:pPr>
      <w:r>
        <w:rPr>
          <w:rFonts w:ascii="Courier New" w:cs="Courier New" w:eastAsia="Courier New" w:hAnsi="Courier New"/>
          <w:sz w:val="12"/>
          <w:szCs w:val="12"/>
          <w:color w:val="auto"/>
        </w:rPr>
        <w:t>agrees to grant to the Borrower, for application only in accordance</w:t>
      </w:r>
    </w:p>
    <w:p>
      <w:pPr>
        <w:ind w:left="708"/>
        <w:spacing w:after="0" w:line="237" w:lineRule="auto"/>
        <w:rPr>
          <w:sz w:val="20"/>
          <w:szCs w:val="20"/>
          <w:color w:val="auto"/>
        </w:rPr>
      </w:pPr>
      <w:r>
        <w:rPr>
          <w:rFonts w:ascii="Courier New" w:cs="Courier New" w:eastAsia="Courier New" w:hAnsi="Courier New"/>
          <w:sz w:val="12"/>
          <w:szCs w:val="12"/>
          <w:color w:val="auto"/>
        </w:rPr>
        <w:t>with clause 2.2 below and otherwise subject to the terms and</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conditions of this Agreement, the Equipment Facility in the aggregate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amount of US $15,000,000 (fifteen million United States Dollars),</w:t>
      </w:r>
    </w:p>
    <w:p>
      <w:pPr>
        <w:ind w:left="708"/>
        <w:spacing w:after="0"/>
        <w:rPr>
          <w:sz w:val="20"/>
          <w:szCs w:val="20"/>
          <w:color w:val="auto"/>
        </w:rPr>
      </w:pPr>
      <w:r>
        <w:rPr>
          <w:rFonts w:ascii="Courier New" w:cs="Courier New" w:eastAsia="Courier New" w:hAnsi="Courier New"/>
          <w:sz w:val="12"/>
          <w:szCs w:val="12"/>
          <w:color w:val="auto"/>
        </w:rPr>
        <w:t>being a Dollar Facility.</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- 5 -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2.2. PURPOSE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shall apply all Equipment Facility Credits only towards</w:t>
      </w:r>
    </w:p>
    <w:p>
      <w:pPr>
        <w:ind w:left="708"/>
        <w:spacing w:after="0"/>
        <w:rPr>
          <w:sz w:val="20"/>
          <w:szCs w:val="20"/>
          <w:color w:val="auto"/>
        </w:rPr>
      </w:pPr>
      <w:r>
        <w:rPr>
          <w:rFonts w:ascii="Courier New" w:cs="Courier New" w:eastAsia="Courier New" w:hAnsi="Courier New"/>
          <w:sz w:val="12"/>
          <w:szCs w:val="12"/>
          <w:color w:val="auto"/>
        </w:rPr>
        <w:t>the payment of the cost of acquisition of the Ramp-Up Equipment.</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2.3. NO OBLIGATION TO MONITOR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Bank shall not be under any obligation to monitor or verify the</w:t>
      </w:r>
    </w:p>
    <w:p>
      <w:pPr>
        <w:ind w:left="708"/>
        <w:spacing w:after="0"/>
        <w:rPr>
          <w:sz w:val="20"/>
          <w:szCs w:val="20"/>
          <w:color w:val="auto"/>
        </w:rPr>
      </w:pPr>
      <w:r>
        <w:rPr>
          <w:rFonts w:ascii="Courier New" w:cs="Courier New" w:eastAsia="Courier New" w:hAnsi="Courier New"/>
          <w:sz w:val="12"/>
          <w:szCs w:val="12"/>
          <w:color w:val="auto"/>
        </w:rPr>
        <w:t>application of any Equipment Facility Credit made pursuant to this</w:t>
      </w:r>
    </w:p>
    <w:p>
      <w:pPr>
        <w:ind w:left="708"/>
        <w:spacing w:after="0" w:line="237" w:lineRule="auto"/>
        <w:rPr>
          <w:sz w:val="20"/>
          <w:szCs w:val="20"/>
          <w:color w:val="auto"/>
        </w:rPr>
      </w:pPr>
      <w:r>
        <w:rPr>
          <w:rFonts w:ascii="Courier New" w:cs="Courier New" w:eastAsia="Courier New" w:hAnsi="Courier New"/>
          <w:sz w:val="12"/>
          <w:szCs w:val="12"/>
          <w:color w:val="auto"/>
        </w:rPr>
        <w:t>Agreement. The Borrower shall promptly notify the Bank of the making</w:t>
      </w:r>
    </w:p>
    <w:p>
      <w:pPr>
        <w:ind w:left="708"/>
        <w:spacing w:after="0"/>
        <w:rPr>
          <w:sz w:val="20"/>
          <w:szCs w:val="20"/>
          <w:color w:val="auto"/>
        </w:rPr>
      </w:pPr>
      <w:r>
        <w:rPr>
          <w:rFonts w:ascii="Courier New" w:cs="Courier New" w:eastAsia="Courier New" w:hAnsi="Courier New"/>
          <w:sz w:val="12"/>
          <w:szCs w:val="12"/>
          <w:color w:val="auto"/>
        </w:rPr>
        <w:t>of any commitments to purchase or of any purchase order relating to</w:t>
      </w:r>
    </w:p>
    <w:p>
      <w:pPr>
        <w:ind w:left="708"/>
        <w:spacing w:after="0" w:line="237" w:lineRule="auto"/>
        <w:rPr>
          <w:sz w:val="20"/>
          <w:szCs w:val="20"/>
          <w:color w:val="auto"/>
        </w:rPr>
      </w:pPr>
      <w:r>
        <w:rPr>
          <w:rFonts w:ascii="Courier New" w:cs="Courier New" w:eastAsia="Courier New" w:hAnsi="Courier New"/>
          <w:sz w:val="12"/>
          <w:szCs w:val="12"/>
          <w:color w:val="auto"/>
        </w:rPr>
        <w:t>any acquisition of Ramp-Up Equipment.</w:t>
      </w:r>
    </w:p>
    <w:p>
      <w:pPr>
        <w:spacing w:after="0" w:line="134" w:lineRule="exact"/>
        <w:rPr>
          <w:sz w:val="20"/>
          <w:szCs w:val="20"/>
          <w:color w:val="auto"/>
        </w:rPr>
      </w:pPr>
    </w:p>
    <w:p>
      <w:pPr>
        <w:ind w:left="348" w:hanging="348"/>
        <w:spacing w:after="0"/>
        <w:tabs>
          <w:tab w:leader="none" w:pos="348" w:val="left"/>
        </w:tabs>
        <w:numPr>
          <w:ilvl w:val="0"/>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CONDITIONS PRECEDENT</w:t>
      </w:r>
    </w:p>
    <w:p>
      <w:pPr>
        <w:spacing w:after="0" w:line="138" w:lineRule="exact"/>
        <w:rPr>
          <w:rFonts w:ascii="Courier New" w:cs="Courier New" w:eastAsia="Courier New" w:hAnsi="Courier New"/>
          <w:sz w:val="12"/>
          <w:szCs w:val="12"/>
          <w:color w:val="auto"/>
        </w:rPr>
      </w:pPr>
    </w:p>
    <w:p>
      <w:pPr>
        <w:ind w:left="348"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obligations of the Bank under this Agreement are subject to the condition that the Bank shall have received, by not later than December 31, 2007, the following documents, matters and things in form and substance satisfactory to the Bank:</w:t>
      </w:r>
    </w:p>
    <w:p>
      <w:pPr>
        <w:spacing w:after="0" w:line="140" w:lineRule="exact"/>
        <w:rPr>
          <w:rFonts w:ascii="Courier New" w:cs="Courier New" w:eastAsia="Courier New" w:hAnsi="Courier New"/>
          <w:sz w:val="12"/>
          <w:szCs w:val="12"/>
          <w:color w:val="auto"/>
        </w:rPr>
      </w:pPr>
    </w:p>
    <w:p>
      <w:pPr>
        <w:ind w:left="708" w:right="4699" w:hanging="351"/>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3.1. a copy, certified as a true copy by the external legal counsel of the Borrower, of the Certificate of Incorporation, Memorandum of Association and Articles of Association of the Borrower or, if applicable, a certificate from external legal counsel as to the absence of changes from the certified copies of the aforegoing delivered to the Bank on or about September 5, 2006;</w:t>
      </w:r>
    </w:p>
    <w:p>
      <w:pPr>
        <w:spacing w:after="0" w:line="140" w:lineRule="exact"/>
        <w:rPr>
          <w:rFonts w:ascii="Courier New" w:cs="Courier New" w:eastAsia="Courier New" w:hAnsi="Courier New"/>
          <w:sz w:val="12"/>
          <w:szCs w:val="12"/>
          <w:color w:val="auto"/>
        </w:rPr>
      </w:pPr>
    </w:p>
    <w:p>
      <w:pPr>
        <w:ind w:left="708" w:right="4619" w:hanging="351"/>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3.2. copies of resolutions of the Board of Directors of the Borrower authorising named officers of the Borrower to execute, deliver and perform this Agreement and each of the other Finance Documents entered into in connection with this Agreement and to give all notices and take all other action required to be given or taken by the Borrower under this Agreement and under each other Finance Document;</w:t>
      </w:r>
    </w:p>
    <w:p>
      <w:pPr>
        <w:spacing w:after="0" w:line="125"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3.3. no Material Adverse Effect shall have occurred;</w:t>
      </w:r>
    </w:p>
    <w:p>
      <w:pPr>
        <w:spacing w:after="0" w:line="269"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08"/>
        </w:numPr>
        <w:rPr>
          <w:rFonts w:ascii="Courier New" w:cs="Courier New" w:eastAsia="Courier New" w:hAnsi="Courier New"/>
          <w:sz w:val="12"/>
          <w:szCs w:val="12"/>
          <w:color w:val="auto"/>
        </w:rPr>
      </w:pPr>
      <w:r>
        <w:rPr>
          <w:rFonts w:ascii="Courier New" w:cs="Courier New" w:eastAsia="Courier New" w:hAnsi="Courier New"/>
          <w:sz w:val="12"/>
          <w:szCs w:val="12"/>
          <w:color w:val="auto"/>
        </w:rPr>
        <w:t>6 -</w:t>
      </w:r>
    </w:p>
    <w:p>
      <w:pPr>
        <w:spacing w:after="0" w:line="386"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2"/>
          <w:szCs w:val="12"/>
          <w:color w:val="auto"/>
        </w:rPr>
        <w:t>3.4. there shall be no impediment, restriction, limitation or prohibition,</w:t>
      </w:r>
    </w:p>
    <w:p>
      <w:pPr>
        <w:ind w:left="708"/>
        <w:spacing w:after="0"/>
        <w:rPr>
          <w:sz w:val="20"/>
          <w:szCs w:val="20"/>
          <w:color w:val="auto"/>
        </w:rPr>
      </w:pPr>
      <w:r>
        <w:rPr>
          <w:rFonts w:ascii="Courier New" w:cs="Courier New" w:eastAsia="Courier New" w:hAnsi="Courier New"/>
          <w:sz w:val="12"/>
          <w:szCs w:val="12"/>
          <w:color w:val="auto"/>
        </w:rPr>
        <w:t>including impediments, restrictions, limitations or prohibitions</w:t>
      </w:r>
    </w:p>
    <w:p>
      <w:pPr>
        <w:ind w:left="708"/>
        <w:spacing w:after="0" w:line="237" w:lineRule="auto"/>
        <w:rPr>
          <w:sz w:val="20"/>
          <w:szCs w:val="20"/>
          <w:color w:val="auto"/>
        </w:rPr>
      </w:pPr>
      <w:r>
        <w:rPr>
          <w:rFonts w:ascii="Courier New" w:cs="Courier New" w:eastAsia="Courier New" w:hAnsi="Courier New"/>
          <w:sz w:val="12"/>
          <w:szCs w:val="12"/>
          <w:color w:val="auto"/>
        </w:rPr>
        <w:t>imposed under law or by any Governmental Body, as to the proposed</w:t>
      </w:r>
    </w:p>
    <w:p>
      <w:pPr>
        <w:ind w:left="708"/>
        <w:spacing w:after="0"/>
        <w:rPr>
          <w:sz w:val="20"/>
          <w:szCs w:val="20"/>
          <w:color w:val="auto"/>
        </w:rPr>
      </w:pPr>
      <w:r>
        <w:rPr>
          <w:rFonts w:ascii="Courier New" w:cs="Courier New" w:eastAsia="Courier New" w:hAnsi="Courier New"/>
          <w:sz w:val="12"/>
          <w:szCs w:val="12"/>
          <w:color w:val="auto"/>
        </w:rPr>
        <w:t>financing under this Agreement or as to the issuance of the Share</w:t>
      </w:r>
    </w:p>
    <w:p>
      <w:pPr>
        <w:ind w:left="708"/>
        <w:spacing w:after="0" w:line="237" w:lineRule="auto"/>
        <w:rPr>
          <w:sz w:val="20"/>
          <w:szCs w:val="20"/>
          <w:color w:val="auto"/>
        </w:rPr>
      </w:pPr>
      <w:r>
        <w:rPr>
          <w:rFonts w:ascii="Courier New" w:cs="Courier New" w:eastAsia="Courier New" w:hAnsi="Courier New"/>
          <w:sz w:val="12"/>
          <w:szCs w:val="12"/>
          <w:color w:val="auto"/>
        </w:rPr>
        <w:t>Warrants to the Bank or as to the security interests to be created</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with respect to the Ramp-Up Equipment under the Security Documents or</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as to any rights of any collateral thereunder or as to application of</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proceeds of the realisation of any such rights;</w:t>
      </w:r>
    </w:p>
    <w:p>
      <w:pPr>
        <w:sectPr>
          <w:pgSz w:w="11900" w:h="16902" w:orient="portrait"/>
          <w:cols w:equalWidth="0" w:num="1">
            <w:col w:w="10247"/>
          </w:cols>
          <w:pgMar w:left="212" w:top="137" w:right="1440" w:bottom="0" w:gutter="0" w:footer="0" w:header="0"/>
        </w:sectPr>
      </w:pPr>
    </w:p>
    <w:bookmarkStart w:id="78" w:name="page79"/>
    <w:bookmarkEnd w:id="78"/>
    <w:p>
      <w:pPr>
        <w:ind w:left="348"/>
        <w:spacing w:after="0"/>
        <w:rPr>
          <w:sz w:val="20"/>
          <w:szCs w:val="20"/>
          <w:color w:val="auto"/>
        </w:rPr>
      </w:pPr>
      <w:r>
        <w:rPr>
          <w:rFonts w:ascii="Courier New" w:cs="Courier New" w:eastAsia="Courier New" w:hAnsi="Courier New"/>
          <w:sz w:val="12"/>
          <w:szCs w:val="12"/>
          <w:color w:val="auto"/>
        </w:rPr>
        <w:t>3.5. an opinion of Yigal Arnon &amp; Co., Advocates, the Borrower's external</w:t>
      </w:r>
    </w:p>
    <w:p>
      <w:pPr>
        <w:ind w:left="708"/>
        <w:spacing w:after="0"/>
        <w:rPr>
          <w:sz w:val="20"/>
          <w:szCs w:val="20"/>
          <w:color w:val="auto"/>
        </w:rPr>
      </w:pPr>
      <w:r>
        <w:rPr>
          <w:rFonts w:ascii="Courier New" w:cs="Courier New" w:eastAsia="Courier New" w:hAnsi="Courier New"/>
          <w:sz w:val="12"/>
          <w:szCs w:val="12"/>
          <w:color w:val="auto"/>
        </w:rPr>
        <w:t>legal counsel, addressed to the Bank;</w:t>
      </w:r>
    </w:p>
    <w:p>
      <w:pPr>
        <w:spacing w:after="0" w:line="138" w:lineRule="exact"/>
        <w:rPr>
          <w:sz w:val="20"/>
          <w:szCs w:val="20"/>
          <w:color w:val="auto"/>
        </w:rPr>
      </w:pPr>
    </w:p>
    <w:p>
      <w:pPr>
        <w:ind w:left="708" w:right="4699" w:hanging="350"/>
        <w:spacing w:after="0" w:line="266" w:lineRule="auto"/>
        <w:rPr>
          <w:sz w:val="20"/>
          <w:szCs w:val="20"/>
          <w:color w:val="auto"/>
        </w:rPr>
      </w:pPr>
      <w:r>
        <w:rPr>
          <w:rFonts w:ascii="Courier New" w:cs="Courier New" w:eastAsia="Courier New" w:hAnsi="Courier New"/>
          <w:sz w:val="11"/>
          <w:szCs w:val="11"/>
          <w:color w:val="auto"/>
        </w:rPr>
        <w:t>3.6. all of the Borrower's representations and warranties given by the Borrower pursuant to this Agreement shall be accurate in all material respects as of the Closing Date, as if made on the Closing Date;</w:t>
      </w:r>
    </w:p>
    <w:p>
      <w:pPr>
        <w:spacing w:after="0" w:line="122"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3.7. execution of the Share Warrants;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3.8. execution of the Fee Letter and payment of all fees payable to the</w:t>
      </w:r>
    </w:p>
    <w:p>
      <w:pPr>
        <w:ind w:left="708"/>
        <w:spacing w:after="0"/>
        <w:rPr>
          <w:sz w:val="20"/>
          <w:szCs w:val="20"/>
          <w:color w:val="auto"/>
        </w:rPr>
      </w:pPr>
      <w:r>
        <w:rPr>
          <w:rFonts w:ascii="Courier New" w:cs="Courier New" w:eastAsia="Courier New" w:hAnsi="Courier New"/>
          <w:sz w:val="12"/>
          <w:szCs w:val="12"/>
          <w:color w:val="auto"/>
        </w:rPr>
        <w:t>Bank thereunder;</w:t>
      </w:r>
    </w:p>
    <w:p>
      <w:pPr>
        <w:spacing w:after="0" w:line="138" w:lineRule="exact"/>
        <w:rPr>
          <w:sz w:val="20"/>
          <w:szCs w:val="20"/>
          <w:color w:val="auto"/>
        </w:rPr>
      </w:pPr>
    </w:p>
    <w:p>
      <w:pPr>
        <w:jc w:val="both"/>
        <w:ind w:left="708" w:right="4619" w:hanging="350"/>
        <w:spacing w:after="0" w:line="236" w:lineRule="auto"/>
        <w:rPr>
          <w:sz w:val="20"/>
          <w:szCs w:val="20"/>
          <w:color w:val="auto"/>
        </w:rPr>
      </w:pPr>
      <w:r>
        <w:rPr>
          <w:rFonts w:ascii="Courier New" w:cs="Courier New" w:eastAsia="Courier New" w:hAnsi="Courier New"/>
          <w:sz w:val="12"/>
          <w:szCs w:val="12"/>
          <w:color w:val="auto"/>
        </w:rPr>
        <w:t>3.9. the Facility Agreement, including Amendment No. 1, dated September 10, 2007, to the Restated Facility Agreement, dated August 24, 2006, shall be effective and in full force and effect;</w:t>
      </w:r>
    </w:p>
    <w:p>
      <w:pPr>
        <w:spacing w:after="0" w:line="139" w:lineRule="exact"/>
        <w:rPr>
          <w:sz w:val="20"/>
          <w:szCs w:val="20"/>
          <w:color w:val="auto"/>
        </w:rPr>
      </w:pPr>
    </w:p>
    <w:p>
      <w:pPr>
        <w:ind w:left="348"/>
        <w:spacing w:after="0"/>
        <w:rPr>
          <w:sz w:val="20"/>
          <w:szCs w:val="20"/>
          <w:color w:val="auto"/>
        </w:rPr>
      </w:pPr>
      <w:r>
        <w:rPr>
          <w:rFonts w:ascii="Courier New" w:cs="Courier New" w:eastAsia="Courier New" w:hAnsi="Courier New"/>
          <w:sz w:val="11"/>
          <w:szCs w:val="11"/>
          <w:color w:val="auto"/>
        </w:rPr>
        <w:t>3.10. all of the conditions precedent set forth in clause 1.1.115(l) of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Facility Agreement shall have been fulfilled, including:</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3.10.1. the closing under the definitive documentation between the</w:t>
      </w:r>
    </w:p>
    <w:p>
      <w:pPr>
        <w:ind w:left="1048"/>
        <w:spacing w:after="0"/>
        <w:rPr>
          <w:sz w:val="20"/>
          <w:szCs w:val="20"/>
          <w:color w:val="auto"/>
        </w:rPr>
      </w:pPr>
      <w:r>
        <w:rPr>
          <w:rFonts w:ascii="Courier New" w:cs="Courier New" w:eastAsia="Courier New" w:hAnsi="Courier New"/>
          <w:sz w:val="12"/>
          <w:szCs w:val="12"/>
          <w:color w:val="auto"/>
        </w:rPr>
        <w:t>Borrower and TIC, with respect to the US $30,000,000 (thirty</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million United States Dollars) of Permitted Subordinated TIC Debt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to be provided by TIC to the Borrower, shall have occurred or</w:t>
      </w:r>
    </w:p>
    <w:p>
      <w:pPr>
        <w:ind w:left="1048"/>
        <w:spacing w:after="0"/>
        <w:rPr>
          <w:sz w:val="20"/>
          <w:szCs w:val="20"/>
          <w:color w:val="auto"/>
        </w:rPr>
      </w:pPr>
      <w:r>
        <w:rPr>
          <w:rFonts w:ascii="Courier New" w:cs="Courier New" w:eastAsia="Courier New" w:hAnsi="Courier New"/>
          <w:sz w:val="12"/>
          <w:szCs w:val="12"/>
          <w:color w:val="auto"/>
        </w:rPr>
        <w:t>shall occur simultaneously with the closing of this Agreement;</w:t>
      </w:r>
    </w:p>
    <w:p>
      <w:pPr>
        <w:ind w:left="1048"/>
        <w:spacing w:after="0" w:line="237" w:lineRule="auto"/>
        <w:rPr>
          <w:sz w:val="20"/>
          <w:szCs w:val="20"/>
          <w:color w:val="auto"/>
        </w:rPr>
      </w:pPr>
      <w:r>
        <w:rPr>
          <w:rFonts w:ascii="Courier New" w:cs="Courier New" w:eastAsia="Courier New" w:hAnsi="Courier New"/>
          <w:sz w:val="12"/>
          <w:szCs w:val="12"/>
          <w:color w:val="auto"/>
        </w:rPr>
        <w:t>provided that, for the avoidance of doubt, the terms of such</w:t>
      </w:r>
    </w:p>
    <w:p>
      <w:pPr>
        <w:ind w:left="1048"/>
        <w:spacing w:after="0"/>
        <w:rPr>
          <w:sz w:val="20"/>
          <w:szCs w:val="20"/>
          <w:color w:val="auto"/>
        </w:rPr>
      </w:pPr>
      <w:r>
        <w:rPr>
          <w:rFonts w:ascii="Courier New" w:cs="Courier New" w:eastAsia="Courier New" w:hAnsi="Courier New"/>
          <w:sz w:val="12"/>
          <w:szCs w:val="12"/>
          <w:color w:val="auto"/>
        </w:rPr>
        <w:t>Permitted Subordinated TIC Debt shall be in accordance with</w:t>
      </w:r>
    </w:p>
    <w:p>
      <w:pPr>
        <w:ind w:left="1048"/>
        <w:spacing w:after="0" w:line="237" w:lineRule="auto"/>
        <w:rPr>
          <w:sz w:val="20"/>
          <w:szCs w:val="20"/>
          <w:color w:val="auto"/>
        </w:rPr>
      </w:pPr>
      <w:r>
        <w:rPr>
          <w:rFonts w:ascii="Courier New" w:cs="Courier New" w:eastAsia="Courier New" w:hAnsi="Courier New"/>
          <w:sz w:val="12"/>
          <w:szCs w:val="12"/>
          <w:color w:val="auto"/>
        </w:rPr>
        <w:t>clause 1.1.115(l) of the Facility Agreement;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3.10.2. the delivery to the Bank of an irrevocable and unconditional</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undertaking by TIC, in the form attached hereto as SCHEDULE 3.10</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UNDERTAKING"), to provide Permitted Subordinated TIC Debt</w:t>
      </w:r>
    </w:p>
    <w:p>
      <w:pPr>
        <w:ind w:left="1048"/>
        <w:spacing w:after="0"/>
        <w:rPr>
          <w:sz w:val="20"/>
          <w:szCs w:val="20"/>
          <w:color w:val="auto"/>
        </w:rPr>
      </w:pPr>
      <w:r>
        <w:rPr>
          <w:rFonts w:ascii="Courier New" w:cs="Courier New" w:eastAsia="Courier New" w:hAnsi="Courier New"/>
          <w:sz w:val="12"/>
          <w:szCs w:val="12"/>
          <w:color w:val="auto"/>
        </w:rPr>
        <w:t>to the Borrower in accordance with clause 4.1.2.2 below, such</w:t>
      </w:r>
    </w:p>
    <w:p>
      <w:pPr>
        <w:ind w:left="1048"/>
        <w:spacing w:after="0" w:line="237" w:lineRule="auto"/>
        <w:rPr>
          <w:sz w:val="20"/>
          <w:szCs w:val="20"/>
          <w:color w:val="auto"/>
        </w:rPr>
      </w:pPr>
      <w:r>
        <w:rPr>
          <w:rFonts w:ascii="Courier New" w:cs="Courier New" w:eastAsia="Courier New" w:hAnsi="Courier New"/>
          <w:sz w:val="12"/>
          <w:szCs w:val="12"/>
          <w:color w:val="auto"/>
        </w:rPr>
        <w:t>that at no time shall the amount of principal of Permitted</w:t>
      </w:r>
    </w:p>
    <w:p>
      <w:pPr>
        <w:ind w:left="1048"/>
        <w:spacing w:after="0"/>
        <w:rPr>
          <w:sz w:val="20"/>
          <w:szCs w:val="20"/>
          <w:color w:val="auto"/>
        </w:rPr>
      </w:pPr>
      <w:r>
        <w:rPr>
          <w:rFonts w:ascii="Courier New" w:cs="Courier New" w:eastAsia="Courier New" w:hAnsi="Courier New"/>
          <w:sz w:val="12"/>
          <w:szCs w:val="12"/>
          <w:color w:val="auto"/>
        </w:rPr>
        <w:t>Subordinated TIC Debt provided by TIC be in an amount less than</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the principal of all Equipment Loans (as such term is defined in</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Facility Agreement) provided by all Equipment Lenders (as</w:t>
      </w:r>
    </w:p>
    <w:p>
      <w:pPr>
        <w:ind w:left="1048"/>
        <w:spacing w:after="0"/>
        <w:rPr>
          <w:sz w:val="20"/>
          <w:szCs w:val="20"/>
          <w:color w:val="auto"/>
        </w:rPr>
      </w:pPr>
      <w:r>
        <w:rPr>
          <w:rFonts w:ascii="Courier New" w:cs="Courier New" w:eastAsia="Courier New" w:hAnsi="Courier New"/>
          <w:sz w:val="12"/>
          <w:szCs w:val="12"/>
          <w:color w:val="auto"/>
        </w:rPr>
        <w:t>such term is defined in the Facility Agreement) (including an</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undertaking by TIC directly to make one-half of the payment to be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made to the beneficiary of the Equipment L/C (or immediately</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reimburse the Bank for one-half of the payment to the beneficiary</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so made by the Bank), which payment shall be deemed a portion of</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Permitted Subordinated TIC Debt required to be provided by</w:t>
      </w:r>
    </w:p>
    <w:p>
      <w:pPr>
        <w:ind w:left="1048"/>
        <w:spacing w:after="0"/>
        <w:rPr>
          <w:sz w:val="20"/>
          <w:szCs w:val="20"/>
          <w:color w:val="auto"/>
        </w:rPr>
      </w:pPr>
      <w:r>
        <w:rPr>
          <w:rFonts w:ascii="Courier New" w:cs="Courier New" w:eastAsia="Courier New" w:hAnsi="Courier New"/>
          <w:sz w:val="12"/>
          <w:szCs w:val="12"/>
          <w:color w:val="auto"/>
        </w:rPr>
        <w:t>TIC to the Borrower); and</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- 7 -</w:t>
      </w:r>
    </w:p>
    <w:p>
      <w:pPr>
        <w:spacing w:after="0" w:line="391"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3.10.3. a net amount of at least US $40,000,000 (forty million United</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States Dollars) shall have been: (a) unconditionally and</w:t>
      </w:r>
    </w:p>
    <w:p>
      <w:pPr>
        <w:ind w:left="1048"/>
        <w:spacing w:after="0"/>
        <w:rPr>
          <w:sz w:val="20"/>
          <w:szCs w:val="20"/>
          <w:color w:val="auto"/>
        </w:rPr>
      </w:pPr>
      <w:r>
        <w:rPr>
          <w:rFonts w:ascii="Courier New" w:cs="Courier New" w:eastAsia="Courier New" w:hAnsi="Courier New"/>
          <w:sz w:val="12"/>
          <w:szCs w:val="12"/>
          <w:color w:val="auto"/>
        </w:rPr>
        <w:t>irrevocably invested in the Borrower by way of Paid-in-Equity,</w:t>
      </w:r>
    </w:p>
    <w:p>
      <w:pPr>
        <w:ind w:left="1048"/>
        <w:spacing w:after="0" w:line="237" w:lineRule="auto"/>
        <w:rPr>
          <w:sz w:val="20"/>
          <w:szCs w:val="20"/>
          <w:color w:val="auto"/>
        </w:rPr>
      </w:pPr>
      <w:r>
        <w:rPr>
          <w:rFonts w:ascii="Courier New" w:cs="Courier New" w:eastAsia="Courier New" w:hAnsi="Courier New"/>
          <w:sz w:val="12"/>
          <w:szCs w:val="12"/>
          <w:color w:val="auto"/>
        </w:rPr>
        <w:t>Permitted Subordinated Debt, excluding (for the avoidance of</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doubt) Permitted Subordinated TIC Debt (including a gross amount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of US $39,977,064 (thirty-nine million, nine hundred and</w:t>
      </w:r>
    </w:p>
    <w:p>
      <w:pPr>
        <w:ind w:left="1048"/>
        <w:spacing w:after="0"/>
        <w:rPr>
          <w:sz w:val="20"/>
          <w:szCs w:val="20"/>
          <w:color w:val="auto"/>
        </w:rPr>
      </w:pPr>
      <w:r>
        <w:rPr>
          <w:rFonts w:ascii="Courier New" w:cs="Courier New" w:eastAsia="Courier New" w:hAnsi="Courier New"/>
          <w:sz w:val="12"/>
          <w:szCs w:val="12"/>
          <w:color w:val="auto"/>
        </w:rPr>
        <w:t>seventy-seven thousand and sixty-four United States Dollars)</w:t>
      </w:r>
    </w:p>
    <w:p>
      <w:pPr>
        <w:ind w:left="1048"/>
        <w:spacing w:after="0" w:line="237" w:lineRule="auto"/>
        <w:rPr>
          <w:sz w:val="20"/>
          <w:szCs w:val="20"/>
          <w:color w:val="auto"/>
        </w:rPr>
      </w:pPr>
      <w:r>
        <w:rPr>
          <w:rFonts w:ascii="Courier New" w:cs="Courier New" w:eastAsia="Courier New" w:hAnsi="Courier New"/>
          <w:sz w:val="12"/>
          <w:szCs w:val="12"/>
          <w:color w:val="auto"/>
        </w:rPr>
        <w:t>already raised) or unsecured customer advances, in form and</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substance satisfactory to the Banks; or (b) generated from Excess</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Cash Flow, including as may be reflected in the Borrower's</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Accounts for a Quarter commencing from the first Quarter of 2007,</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provided that any such Excess Cash Flow is held by the Borrower</w:t>
      </w:r>
    </w:p>
    <w:p>
      <w:pPr>
        <w:ind w:left="1048"/>
        <w:spacing w:after="0"/>
        <w:rPr>
          <w:sz w:val="20"/>
          <w:szCs w:val="20"/>
          <w:color w:val="auto"/>
        </w:rPr>
      </w:pPr>
      <w:r>
        <w:rPr>
          <w:rFonts w:ascii="Courier New" w:cs="Courier New" w:eastAsia="Courier New" w:hAnsi="Courier New"/>
          <w:sz w:val="12"/>
          <w:szCs w:val="12"/>
          <w:color w:val="auto"/>
        </w:rPr>
        <w:t>as cash in short term bank deposits.</w:t>
      </w:r>
    </w:p>
    <w:p>
      <w:pPr>
        <w:spacing w:after="0" w:line="138" w:lineRule="exact"/>
        <w:rPr>
          <w:sz w:val="20"/>
          <w:szCs w:val="20"/>
          <w:color w:val="auto"/>
        </w:rPr>
      </w:pPr>
    </w:p>
    <w:p>
      <w:pPr>
        <w:jc w:val="center"/>
        <w:ind w:right="4271"/>
        <w:spacing w:after="0"/>
        <w:rPr>
          <w:sz w:val="20"/>
          <w:szCs w:val="20"/>
          <w:color w:val="auto"/>
        </w:rPr>
      </w:pPr>
      <w:r>
        <w:rPr>
          <w:rFonts w:ascii="Courier New" w:cs="Courier New" w:eastAsia="Courier New" w:hAnsi="Courier New"/>
          <w:sz w:val="11"/>
          <w:szCs w:val="11"/>
          <w:color w:val="auto"/>
        </w:rPr>
        <w:t>3.11. the Borrower shall have received written confirmations of the receipt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all requisite corporate and third party, including Israeli and</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foreign Governmental Body, approvals to the transactions contemplated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by this Agreement;</w:t>
      </w:r>
    </w:p>
    <w:p>
      <w:pPr>
        <w:spacing w:after="0" w:line="139" w:lineRule="exact"/>
        <w:rPr>
          <w:sz w:val="20"/>
          <w:szCs w:val="20"/>
          <w:color w:val="auto"/>
        </w:rPr>
      </w:pPr>
    </w:p>
    <w:p>
      <w:pPr>
        <w:ind w:left="708" w:right="4619" w:hanging="350"/>
        <w:spacing w:after="0" w:line="237" w:lineRule="auto"/>
        <w:rPr>
          <w:sz w:val="20"/>
          <w:szCs w:val="20"/>
          <w:color w:val="auto"/>
        </w:rPr>
      </w:pPr>
      <w:r>
        <w:rPr>
          <w:rFonts w:ascii="Courier New" w:cs="Courier New" w:eastAsia="Courier New" w:hAnsi="Courier New"/>
          <w:sz w:val="12"/>
          <w:szCs w:val="12"/>
          <w:color w:val="auto"/>
        </w:rPr>
        <w:t>3.12. the closing(s) under the definitive documentation between the Borrower and the Equipment Lender(s), with respect to the remaining US $15,000,000 (fifteen million United States Dollars) of Equipment Loans (as such term is defined in the Facility Agreement) and/or Equipment L/Cs (as such term is defined in the Facility Agreement) shall have occurred or shall occur simultaneously with the closing of this Agreement; provided that, the terms of such Equipment Loans (as such term is defined in the Facility Agreement) and/or Equipment L/Cs (as such term is defined in the Facility Agreement) shall be in accordance with clause 1.1.115(l) of the Facility Agreement;</w:t>
      </w:r>
    </w:p>
    <w:p>
      <w:pPr>
        <w:spacing w:after="0" w:line="144" w:lineRule="exact"/>
        <w:rPr>
          <w:sz w:val="20"/>
          <w:szCs w:val="20"/>
          <w:color w:val="auto"/>
        </w:rPr>
      </w:pPr>
    </w:p>
    <w:p>
      <w:pPr>
        <w:ind w:left="708" w:right="4759" w:hanging="350"/>
        <w:spacing w:after="0" w:line="236" w:lineRule="auto"/>
        <w:rPr>
          <w:sz w:val="20"/>
          <w:szCs w:val="20"/>
          <w:color w:val="auto"/>
        </w:rPr>
      </w:pPr>
      <w:r>
        <w:rPr>
          <w:rFonts w:ascii="Courier New" w:cs="Courier New" w:eastAsia="Courier New" w:hAnsi="Courier New"/>
          <w:sz w:val="12"/>
          <w:szCs w:val="12"/>
          <w:color w:val="auto"/>
        </w:rPr>
        <w:t>3.13. no Equipment Facility Default shall have occurred and the consummation of this Agreement shall not cause an Equipment Facility Default to occur; and</w:t>
      </w:r>
    </w:p>
    <w:p>
      <w:pPr>
        <w:spacing w:after="0" w:line="270"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- 8 -</w:t>
      </w:r>
    </w:p>
    <w:p>
      <w:pPr>
        <w:spacing w:after="0" w:line="391" w:lineRule="exact"/>
        <w:rPr>
          <w:sz w:val="20"/>
          <w:szCs w:val="20"/>
          <w:color w:val="auto"/>
        </w:rPr>
      </w:pPr>
    </w:p>
    <w:p>
      <w:pPr>
        <w:ind w:left="708" w:right="4619" w:hanging="350"/>
        <w:spacing w:after="0" w:line="236" w:lineRule="auto"/>
        <w:rPr>
          <w:sz w:val="20"/>
          <w:szCs w:val="20"/>
          <w:color w:val="auto"/>
        </w:rPr>
      </w:pPr>
      <w:r>
        <w:rPr>
          <w:rFonts w:ascii="Courier New" w:cs="Courier New" w:eastAsia="Courier New" w:hAnsi="Courier New"/>
          <w:sz w:val="12"/>
          <w:szCs w:val="12"/>
          <w:color w:val="auto"/>
        </w:rPr>
        <w:t>3.14. an officer's certificate signed by the CEO and CFO of the Borrower on behalf of the Borrower indicating that all of the provisions of this clause 3 have been complied with in their entirety.</w:t>
      </w:r>
    </w:p>
    <w:p>
      <w:pPr>
        <w:spacing w:after="0" w:line="139" w:lineRule="exact"/>
        <w:rPr>
          <w:sz w:val="20"/>
          <w:szCs w:val="20"/>
          <w:color w:val="auto"/>
        </w:rPr>
      </w:pPr>
    </w:p>
    <w:p>
      <w:pPr>
        <w:ind w:left="348" w:right="4699"/>
        <w:spacing w:after="0" w:line="237" w:lineRule="auto"/>
        <w:rPr>
          <w:sz w:val="20"/>
          <w:szCs w:val="20"/>
          <w:color w:val="auto"/>
        </w:rPr>
      </w:pPr>
      <w:r>
        <w:rPr>
          <w:rFonts w:ascii="Courier New" w:cs="Courier New" w:eastAsia="Courier New" w:hAnsi="Courier New"/>
          <w:sz w:val="12"/>
          <w:szCs w:val="12"/>
          <w:color w:val="auto"/>
        </w:rPr>
        <w:t>In the event that the conditions precedent are not fulfilled by December 31, 2007 then this Agreement shall no longer be of any force or effect and neither party shall have any claim against the other party arising out of or in connection with this Agreement. The Bank undertakes that promptly following the fulfilment to the satisfaction of the Bank of all the conditions precedent referred to in this clause 3 above, the Bank shall confirm to the Borrower in writing that the conditions precedent have been fulfilled and the Bank is prepared to close.</w:t>
      </w:r>
    </w:p>
    <w:p>
      <w:pPr>
        <w:spacing w:after="0" w:line="142" w:lineRule="exact"/>
        <w:rPr>
          <w:sz w:val="20"/>
          <w:szCs w:val="20"/>
          <w:color w:val="auto"/>
        </w:rPr>
      </w:pPr>
    </w:p>
    <w:p>
      <w:pPr>
        <w:ind w:left="348" w:right="6939" w:hanging="348"/>
        <w:spacing w:after="0" w:line="469" w:lineRule="auto"/>
        <w:tabs>
          <w:tab w:leader="none" w:pos="348" w:val="left"/>
        </w:tabs>
        <w:numPr>
          <w:ilvl w:val="0"/>
          <w:numId w:val="10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AVAILABILITY OF EQUIPMENT FACILITY CREDITS 4.1. AVAILABILITY</w:t>
      </w:r>
    </w:p>
    <w:p>
      <w:pPr>
        <w:spacing w:after="0" w:line="4" w:lineRule="exact"/>
        <w:rPr>
          <w:rFonts w:ascii="Courier New" w:cs="Courier New" w:eastAsia="Courier New" w:hAnsi="Courier New"/>
          <w:sz w:val="12"/>
          <w:szCs w:val="12"/>
          <w:color w:val="auto"/>
        </w:rPr>
      </w:pPr>
    </w:p>
    <w:p>
      <w:pPr>
        <w:ind w:left="70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Notwithstanding anything to the contrary in this Agreement: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4.1.1. the Bank shall not be obliged to make any Equipment Facility</w:t>
      </w:r>
    </w:p>
    <w:p>
      <w:pPr>
        <w:ind w:left="1048"/>
        <w:spacing w:after="0"/>
        <w:rPr>
          <w:sz w:val="20"/>
          <w:szCs w:val="20"/>
          <w:color w:val="auto"/>
        </w:rPr>
      </w:pPr>
      <w:r>
        <w:rPr>
          <w:rFonts w:ascii="Courier New" w:cs="Courier New" w:eastAsia="Courier New" w:hAnsi="Courier New"/>
          <w:sz w:val="12"/>
          <w:szCs w:val="12"/>
          <w:color w:val="auto"/>
        </w:rPr>
        <w:t>Credit available to the extent that doing so would cause the</w:t>
      </w:r>
    </w:p>
    <w:p>
      <w:pPr>
        <w:ind w:left="1048"/>
        <w:spacing w:after="0" w:line="237" w:lineRule="auto"/>
        <w:rPr>
          <w:sz w:val="20"/>
          <w:szCs w:val="20"/>
          <w:color w:val="auto"/>
        </w:rPr>
      </w:pPr>
      <w:r>
        <w:rPr>
          <w:rFonts w:ascii="Courier New" w:cs="Courier New" w:eastAsia="Courier New" w:hAnsi="Courier New"/>
          <w:sz w:val="12"/>
          <w:szCs w:val="12"/>
          <w:color w:val="auto"/>
        </w:rPr>
        <w:t>aggregate amount thereof to exceed the Commitment; and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4.1.2. Equipment Facility Credits shall be made during the</w:t>
      </w:r>
    </w:p>
    <w:p>
      <w:pPr>
        <w:ind w:left="1048"/>
        <w:spacing w:after="0"/>
        <w:rPr>
          <w:sz w:val="20"/>
          <w:szCs w:val="20"/>
          <w:color w:val="auto"/>
        </w:rPr>
      </w:pPr>
      <w:r>
        <w:rPr>
          <w:rFonts w:ascii="Courier New" w:cs="Courier New" w:eastAsia="Courier New" w:hAnsi="Courier New"/>
          <w:sz w:val="12"/>
          <w:szCs w:val="12"/>
          <w:color w:val="auto"/>
        </w:rPr>
        <w:t>Availability Period only and then only if all the following</w:t>
      </w:r>
    </w:p>
    <w:p>
      <w:pPr>
        <w:ind w:left="1048"/>
        <w:spacing w:after="0" w:line="237" w:lineRule="auto"/>
        <w:rPr>
          <w:sz w:val="20"/>
          <w:szCs w:val="20"/>
          <w:color w:val="auto"/>
        </w:rPr>
      </w:pPr>
      <w:r>
        <w:rPr>
          <w:rFonts w:ascii="Courier New" w:cs="Courier New" w:eastAsia="Courier New" w:hAnsi="Courier New"/>
          <w:sz w:val="12"/>
          <w:szCs w:val="12"/>
          <w:color w:val="auto"/>
        </w:rPr>
        <w:t>conditions for each specific type of Equipment Facility Credit</w:t>
      </w:r>
    </w:p>
    <w:p>
      <w:pPr>
        <w:ind w:left="1048"/>
        <w:spacing w:after="0"/>
        <w:rPr>
          <w:sz w:val="20"/>
          <w:szCs w:val="20"/>
          <w:color w:val="auto"/>
        </w:rPr>
      </w:pPr>
      <w:r>
        <w:rPr>
          <w:rFonts w:ascii="Courier New" w:cs="Courier New" w:eastAsia="Courier New" w:hAnsi="Courier New"/>
          <w:sz w:val="12"/>
          <w:szCs w:val="12"/>
          <w:color w:val="auto"/>
        </w:rPr>
        <w:t>specified hereunder in this clause 4 are fulfilled;</w:t>
      </w:r>
    </w:p>
    <w:p>
      <w:pPr>
        <w:spacing w:after="0" w:line="133"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4.1.2.1. the other Equipment Lender or Lenders providing, in</w:t>
      </w:r>
    </w:p>
    <w:p>
      <w:pPr>
        <w:spacing w:after="0" w:line="4"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accordance with clause 1.1.115(l) of the Facility Agreement,</w:t>
      </w:r>
    </w:p>
    <w:p>
      <w:pPr>
        <w:spacing w:after="0" w:line="10"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an equal amount of Equipment Loans (as such term is defined</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in the Facility Agreement) and/or Equipment L/Cs (as such</w:t>
      </w:r>
    </w:p>
    <w:p>
      <w:pPr>
        <w:ind w:left="1408"/>
        <w:spacing w:after="0"/>
        <w:rPr>
          <w:sz w:val="20"/>
          <w:szCs w:val="20"/>
          <w:color w:val="auto"/>
        </w:rPr>
      </w:pPr>
      <w:r>
        <w:rPr>
          <w:rFonts w:ascii="Courier New" w:cs="Courier New" w:eastAsia="Courier New" w:hAnsi="Courier New"/>
          <w:sz w:val="12"/>
          <w:szCs w:val="12"/>
          <w:color w:val="auto"/>
        </w:rPr>
        <w:t>term is defined in the Facility Agreement) having the same</w:t>
      </w:r>
    </w:p>
    <w:p>
      <w:pPr>
        <w:sectPr>
          <w:pgSz w:w="11900" w:h="16838" w:orient="portrait"/>
          <w:cols w:equalWidth="0" w:num="1">
            <w:col w:w="10247"/>
          </w:cols>
          <w:pgMar w:left="212" w:top="272" w:right="1440" w:bottom="0" w:gutter="0" w:footer="0" w:header="0"/>
        </w:sectPr>
      </w:pPr>
    </w:p>
    <w:bookmarkStart w:id="79" w:name="page80"/>
    <w:bookmarkEnd w:id="79"/>
    <w:p>
      <w:pPr>
        <w:ind w:left="1060"/>
        <w:spacing w:after="0"/>
        <w:rPr>
          <w:sz w:val="20"/>
          <w:szCs w:val="20"/>
          <w:color w:val="auto"/>
        </w:rPr>
      </w:pPr>
      <w:r>
        <w:rPr>
          <w:rFonts w:ascii="Courier New" w:cs="Courier New" w:eastAsia="Courier New" w:hAnsi="Courier New"/>
          <w:sz w:val="11"/>
          <w:szCs w:val="11"/>
          <w:color w:val="auto"/>
        </w:rPr>
        <w:t>purpose and the same maturity date as the Equipment Facility</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Credit proposed to be provided by the Bank;</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4.1.2.2. TIC simultaneously therewith, providing, in accordance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with clause 1.1.115(l) of the Facility Agreement, Permitted</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Subordinated TIC Debt to the Borrower in an amount equal to</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aggregate amount of Equipment Loans (as such term is</w:t>
      </w:r>
    </w:p>
    <w:p>
      <w:pPr>
        <w:ind w:left="1060"/>
        <w:spacing w:after="0"/>
        <w:rPr>
          <w:sz w:val="20"/>
          <w:szCs w:val="20"/>
          <w:color w:val="auto"/>
        </w:rPr>
      </w:pPr>
      <w:r>
        <w:rPr>
          <w:rFonts w:ascii="Courier New" w:cs="Courier New" w:eastAsia="Courier New" w:hAnsi="Courier New"/>
          <w:sz w:val="12"/>
          <w:szCs w:val="12"/>
          <w:color w:val="auto"/>
        </w:rPr>
        <w:t>defined in the Facility Agreement) to be provided by the</w:t>
      </w:r>
    </w:p>
    <w:p>
      <w:pPr>
        <w:ind w:left="1060"/>
        <w:spacing w:after="0" w:line="237" w:lineRule="auto"/>
        <w:rPr>
          <w:sz w:val="20"/>
          <w:szCs w:val="20"/>
          <w:color w:val="auto"/>
        </w:rPr>
      </w:pPr>
      <w:r>
        <w:rPr>
          <w:rFonts w:ascii="Courier New" w:cs="Courier New" w:eastAsia="Courier New" w:hAnsi="Courier New"/>
          <w:sz w:val="12"/>
          <w:szCs w:val="12"/>
          <w:color w:val="auto"/>
        </w:rPr>
        <w:t>Bank and the other Equipment Lender or Lenders, such</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Permitted Subordinated TIC Debt to have the same purpose as,</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and the same or later maturity date than, such parallel</w:t>
      </w:r>
    </w:p>
    <w:p>
      <w:pPr>
        <w:ind w:left="1060"/>
        <w:spacing w:after="0"/>
        <w:rPr>
          <w:sz w:val="20"/>
          <w:szCs w:val="20"/>
          <w:color w:val="auto"/>
        </w:rPr>
      </w:pPr>
      <w:r>
        <w:rPr>
          <w:rFonts w:ascii="Courier New" w:cs="Courier New" w:eastAsia="Courier New" w:hAnsi="Courier New"/>
          <w:sz w:val="12"/>
          <w:szCs w:val="12"/>
          <w:color w:val="auto"/>
        </w:rPr>
        <w:t>Equipment Loans (as such term is defined in the Facility</w:t>
      </w:r>
    </w:p>
    <w:p>
      <w:pPr>
        <w:ind w:left="1060"/>
        <w:spacing w:after="0" w:line="237" w:lineRule="auto"/>
        <w:rPr>
          <w:sz w:val="20"/>
          <w:szCs w:val="20"/>
          <w:color w:val="auto"/>
        </w:rPr>
      </w:pPr>
      <w:r>
        <w:rPr>
          <w:rFonts w:ascii="Courier New" w:cs="Courier New" w:eastAsia="Courier New" w:hAnsi="Courier New"/>
          <w:sz w:val="12"/>
          <w:szCs w:val="12"/>
          <w:color w:val="auto"/>
        </w:rPr>
        <w:t>Agreement);</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- 9 -</w:t>
      </w:r>
    </w:p>
    <w:p>
      <w:pPr>
        <w:spacing w:after="0" w:line="38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4.1.2.3. the proposed date for the making of such Equipment</w:t>
      </w:r>
    </w:p>
    <w:p>
      <w:pPr>
        <w:ind w:left="1060"/>
        <w:spacing w:after="0"/>
        <w:rPr>
          <w:sz w:val="20"/>
          <w:szCs w:val="20"/>
          <w:color w:val="auto"/>
        </w:rPr>
      </w:pPr>
      <w:r>
        <w:rPr>
          <w:rFonts w:ascii="Courier New" w:cs="Courier New" w:eastAsia="Courier New" w:hAnsi="Courier New"/>
          <w:sz w:val="12"/>
          <w:szCs w:val="12"/>
          <w:color w:val="auto"/>
        </w:rPr>
        <w:t>Facility Credit is a Business Day which is or precedes the</w:t>
      </w:r>
    </w:p>
    <w:p>
      <w:pPr>
        <w:ind w:left="1060"/>
        <w:spacing w:after="0" w:line="237" w:lineRule="auto"/>
        <w:rPr>
          <w:sz w:val="20"/>
          <w:szCs w:val="20"/>
          <w:color w:val="auto"/>
        </w:rPr>
      </w:pPr>
      <w:r>
        <w:rPr>
          <w:rFonts w:ascii="Courier New" w:cs="Courier New" w:eastAsia="Courier New" w:hAnsi="Courier New"/>
          <w:sz w:val="12"/>
          <w:szCs w:val="12"/>
          <w:color w:val="auto"/>
        </w:rPr>
        <w:t>Termination Date;</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4.1.2.4. the Borrower shall have entered into a purchase contract</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and/or submitted a purchase order for the Ramp-Up Equipment,</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whereby upon payment therefor, the Borrower shall own the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Ramp-Up Equipment, free and clear of all Encumbrances (other</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than Permitted Encumbrances); the Borrower shall not be in</w:t>
      </w:r>
    </w:p>
    <w:p>
      <w:pPr>
        <w:ind w:left="1060"/>
        <w:spacing w:after="0"/>
        <w:rPr>
          <w:sz w:val="20"/>
          <w:szCs w:val="20"/>
          <w:color w:val="auto"/>
        </w:rPr>
      </w:pPr>
      <w:r>
        <w:rPr>
          <w:rFonts w:ascii="Courier New" w:cs="Courier New" w:eastAsia="Courier New" w:hAnsi="Courier New"/>
          <w:sz w:val="12"/>
          <w:szCs w:val="12"/>
          <w:color w:val="auto"/>
        </w:rPr>
        <w:t>default under its purchase obligations with respect to the</w:t>
      </w:r>
    </w:p>
    <w:p>
      <w:pPr>
        <w:ind w:left="1060"/>
        <w:spacing w:after="0" w:line="237" w:lineRule="auto"/>
        <w:rPr>
          <w:sz w:val="20"/>
          <w:szCs w:val="20"/>
          <w:color w:val="auto"/>
        </w:rPr>
      </w:pPr>
      <w:r>
        <w:rPr>
          <w:rFonts w:ascii="Courier New" w:cs="Courier New" w:eastAsia="Courier New" w:hAnsi="Courier New"/>
          <w:sz w:val="12"/>
          <w:szCs w:val="12"/>
          <w:color w:val="auto"/>
        </w:rPr>
        <w:t>Ramp-Up Equipment and the Borrower shall not have</w:t>
      </w:r>
    </w:p>
    <w:p>
      <w:pPr>
        <w:ind w:left="1060"/>
        <w:spacing w:after="0"/>
        <w:rPr>
          <w:sz w:val="20"/>
          <w:szCs w:val="20"/>
          <w:color w:val="auto"/>
        </w:rPr>
      </w:pPr>
      <w:r>
        <w:rPr>
          <w:rFonts w:ascii="Courier New" w:cs="Courier New" w:eastAsia="Courier New" w:hAnsi="Courier New"/>
          <w:sz w:val="12"/>
          <w:szCs w:val="12"/>
          <w:color w:val="auto"/>
        </w:rPr>
        <w:t>voluntarily or involuntarily sold, transferred, leased or</w:t>
      </w:r>
    </w:p>
    <w:p>
      <w:pPr>
        <w:ind w:left="1060"/>
        <w:spacing w:after="0" w:line="237" w:lineRule="auto"/>
        <w:rPr>
          <w:sz w:val="20"/>
          <w:szCs w:val="20"/>
          <w:color w:val="auto"/>
        </w:rPr>
      </w:pPr>
      <w:r>
        <w:rPr>
          <w:rFonts w:ascii="Courier New" w:cs="Courier New" w:eastAsia="Courier New" w:hAnsi="Courier New"/>
          <w:sz w:val="12"/>
          <w:szCs w:val="12"/>
          <w:color w:val="auto"/>
        </w:rPr>
        <w:t>otherwise disposed of all, or any part of, or interest in,</w:t>
      </w:r>
    </w:p>
    <w:p>
      <w:pPr>
        <w:ind w:left="1060"/>
        <w:spacing w:after="0"/>
        <w:rPr>
          <w:sz w:val="20"/>
          <w:szCs w:val="20"/>
          <w:color w:val="auto"/>
        </w:rPr>
      </w:pPr>
      <w:r>
        <w:rPr>
          <w:rFonts w:ascii="Courier New" w:cs="Courier New" w:eastAsia="Courier New" w:hAnsi="Courier New"/>
          <w:sz w:val="12"/>
          <w:szCs w:val="12"/>
          <w:color w:val="auto"/>
        </w:rPr>
        <w:t>the Ramp-Up Equipment to any person;</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4.1.2.5. no Encumbrance over the Ramp-Up Equipment purchased by</w:t>
      </w:r>
    </w:p>
    <w:p>
      <w:pPr>
        <w:ind w:left="1060"/>
        <w:spacing w:after="0"/>
        <w:rPr>
          <w:sz w:val="20"/>
          <w:szCs w:val="20"/>
          <w:color w:val="auto"/>
        </w:rPr>
      </w:pPr>
      <w:r>
        <w:rPr>
          <w:rFonts w:ascii="Courier New" w:cs="Courier New" w:eastAsia="Courier New" w:hAnsi="Courier New"/>
          <w:sz w:val="12"/>
          <w:szCs w:val="12"/>
          <w:color w:val="auto"/>
        </w:rPr>
        <w:t>the Borrower as aforesaid or any part thereof shall exist</w:t>
      </w:r>
    </w:p>
    <w:p>
      <w:pPr>
        <w:ind w:left="1060"/>
        <w:spacing w:after="0" w:line="237" w:lineRule="auto"/>
        <w:rPr>
          <w:sz w:val="20"/>
          <w:szCs w:val="20"/>
          <w:color w:val="auto"/>
        </w:rPr>
      </w:pPr>
      <w:r>
        <w:rPr>
          <w:rFonts w:ascii="Courier New" w:cs="Courier New" w:eastAsia="Courier New" w:hAnsi="Courier New"/>
          <w:sz w:val="12"/>
          <w:szCs w:val="12"/>
          <w:color w:val="auto"/>
        </w:rPr>
        <w:t>(other than Permitted Encumbrances);</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4.1.2.6. no Equipment Facility Default shall have occurred and be</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continuing and no Equipment Facility Default shall occur as</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 result of the making of such Equipment Facility Credit;</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4.1.2.7. the amount of the Equipment Facility Credit requested</w:t>
      </w:r>
    </w:p>
    <w:p>
      <w:pPr>
        <w:ind w:left="1060"/>
        <w:spacing w:after="0"/>
        <w:rPr>
          <w:sz w:val="20"/>
          <w:szCs w:val="20"/>
          <w:color w:val="auto"/>
        </w:rPr>
      </w:pPr>
      <w:r>
        <w:rPr>
          <w:rFonts w:ascii="Courier New" w:cs="Courier New" w:eastAsia="Courier New" w:hAnsi="Courier New"/>
          <w:sz w:val="12"/>
          <w:szCs w:val="12"/>
          <w:color w:val="auto"/>
        </w:rPr>
        <w:t>shall not exceed the total Available Commitment as at the</w:t>
      </w:r>
    </w:p>
    <w:p>
      <w:pPr>
        <w:ind w:left="1060"/>
        <w:spacing w:after="0" w:line="237" w:lineRule="auto"/>
        <w:rPr>
          <w:sz w:val="20"/>
          <w:szCs w:val="20"/>
          <w:color w:val="auto"/>
        </w:rPr>
      </w:pPr>
      <w:r>
        <w:rPr>
          <w:rFonts w:ascii="Courier New" w:cs="Courier New" w:eastAsia="Courier New" w:hAnsi="Courier New"/>
          <w:sz w:val="12"/>
          <w:szCs w:val="12"/>
          <w:color w:val="auto"/>
        </w:rPr>
        <w:t>Drawdown Date or Issue Date, as the case may be;</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4.1.2.8. the representations and warranties given by the Borrower</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pursuant to this Agreement shall be true and accurate in all</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material respects on and as at the proposed date for the</w:t>
      </w:r>
    </w:p>
    <w:p>
      <w:pPr>
        <w:ind w:left="1060"/>
        <w:spacing w:after="0"/>
        <w:rPr>
          <w:sz w:val="20"/>
          <w:szCs w:val="20"/>
          <w:color w:val="auto"/>
        </w:rPr>
      </w:pPr>
      <w:r>
        <w:rPr>
          <w:rFonts w:ascii="Courier New" w:cs="Courier New" w:eastAsia="Courier New" w:hAnsi="Courier New"/>
          <w:sz w:val="12"/>
          <w:szCs w:val="12"/>
          <w:color w:val="auto"/>
        </w:rPr>
        <w:t>making of the Equipment Facility Credit; and</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4.1.2.9. the Available Commitment as at the Termination Date</w:t>
      </w:r>
    </w:p>
    <w:p>
      <w:pPr>
        <w:ind w:left="1060"/>
        <w:spacing w:after="0"/>
        <w:rPr>
          <w:sz w:val="20"/>
          <w:szCs w:val="20"/>
          <w:color w:val="auto"/>
        </w:rPr>
      </w:pPr>
      <w:r>
        <w:rPr>
          <w:rFonts w:ascii="Courier New" w:cs="Courier New" w:eastAsia="Courier New" w:hAnsi="Courier New"/>
          <w:sz w:val="12"/>
          <w:szCs w:val="12"/>
          <w:color w:val="auto"/>
        </w:rPr>
        <w:t>shall automatically be cancelled.</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- 10 -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4.2. EQUIPMENT LOANS</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Subject to the fulfilment of the conditions precedent, to compliance</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with the conditions set out in clause 4.1 above and to compliance with</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the following conditions, the Bank shall make an Equipment Loan under</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the Equipment Facility during the Availability Period only if:</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4.2.1. the Borrower shall have delivered to the Bank a Drawdown</w:t>
      </w:r>
    </w:p>
    <w:p>
      <w:pPr>
        <w:ind w:left="700"/>
        <w:spacing w:after="0"/>
        <w:rPr>
          <w:sz w:val="20"/>
          <w:szCs w:val="20"/>
          <w:color w:val="auto"/>
        </w:rPr>
      </w:pPr>
      <w:r>
        <w:rPr>
          <w:rFonts w:ascii="Courier New" w:cs="Courier New" w:eastAsia="Courier New" w:hAnsi="Courier New"/>
          <w:sz w:val="12"/>
          <w:szCs w:val="12"/>
          <w:color w:val="auto"/>
        </w:rPr>
        <w:t>Request for such Equipment Loan, specifying a date for making</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such Equipment Loan, being at least 7 (seven) Business Days after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date of delivery of such Drawdown Request. Any Drawdown</w:t>
      </w:r>
    </w:p>
    <w:p>
      <w:pPr>
        <w:ind w:left="700"/>
        <w:spacing w:after="0"/>
        <w:rPr>
          <w:sz w:val="20"/>
          <w:szCs w:val="20"/>
          <w:color w:val="auto"/>
        </w:rPr>
      </w:pPr>
      <w:r>
        <w:rPr>
          <w:rFonts w:ascii="Courier New" w:cs="Courier New" w:eastAsia="Courier New" w:hAnsi="Courier New"/>
          <w:sz w:val="12"/>
          <w:szCs w:val="12"/>
          <w:color w:val="auto"/>
        </w:rPr>
        <w:t>Request will upon delivery thereof be irrevocable;</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4.2.2. the minimum amount of each Equipment Loan shall be a minimum</w:t>
      </w:r>
    </w:p>
    <w:p>
      <w:pPr>
        <w:ind w:left="700"/>
        <w:spacing w:after="0"/>
        <w:rPr>
          <w:sz w:val="20"/>
          <w:szCs w:val="20"/>
          <w:color w:val="auto"/>
        </w:rPr>
      </w:pPr>
      <w:r>
        <w:rPr>
          <w:rFonts w:ascii="Courier New" w:cs="Courier New" w:eastAsia="Courier New" w:hAnsi="Courier New"/>
          <w:sz w:val="12"/>
          <w:szCs w:val="12"/>
          <w:color w:val="auto"/>
        </w:rPr>
        <w:t>amount of US $1,000,000 (one million United States Dollars) and</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an integral multiple of US $1,000,000 (one million United States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(other than (i) in the case of an Equipment Loan</w:t>
      </w:r>
    </w:p>
    <w:p>
      <w:pPr>
        <w:ind w:left="700"/>
        <w:spacing w:after="0"/>
        <w:rPr>
          <w:sz w:val="20"/>
          <w:szCs w:val="20"/>
          <w:color w:val="auto"/>
        </w:rPr>
      </w:pPr>
      <w:r>
        <w:rPr>
          <w:rFonts w:ascii="Courier New" w:cs="Courier New" w:eastAsia="Courier New" w:hAnsi="Courier New"/>
          <w:sz w:val="12"/>
          <w:szCs w:val="12"/>
          <w:color w:val="auto"/>
        </w:rPr>
        <w:t>provided in connection with an Equipment L/C which shall not be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required to be in any minimum amount or in any integral multiple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or (ii) in the case of an Equipment Loan which shall be for the</w:t>
      </w:r>
    </w:p>
    <w:p>
      <w:pPr>
        <w:ind w:left="700"/>
        <w:spacing w:after="0"/>
        <w:rPr>
          <w:sz w:val="20"/>
          <w:szCs w:val="20"/>
          <w:color w:val="auto"/>
        </w:rPr>
      </w:pPr>
      <w:r>
        <w:rPr>
          <w:rFonts w:ascii="Courier New" w:cs="Courier New" w:eastAsia="Courier New" w:hAnsi="Courier New"/>
          <w:sz w:val="12"/>
          <w:szCs w:val="12"/>
          <w:color w:val="auto"/>
        </w:rPr>
        <w:t>balance of the Available Commitment);</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4.2.3. all Equipment Loans made under this Agreement shall be in US</w:t>
      </w:r>
    </w:p>
    <w:p>
      <w:pPr>
        <w:ind w:left="700"/>
        <w:spacing w:after="0"/>
        <w:rPr>
          <w:sz w:val="20"/>
          <w:szCs w:val="20"/>
          <w:color w:val="auto"/>
        </w:rPr>
      </w:pPr>
      <w:r>
        <w:rPr>
          <w:rFonts w:ascii="Courier New" w:cs="Courier New" w:eastAsia="Courier New" w:hAnsi="Courier New"/>
          <w:sz w:val="12"/>
          <w:szCs w:val="12"/>
          <w:color w:val="auto"/>
        </w:rPr>
        <w:t>Dollars; and</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4.2.4. all Equipment Loans shall be made by the Bank by credit of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amount to be loaned by the Bank to the Charged Account.</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4.3. LETTERS OF CREDIT</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4.3.1. Subject to the fulfilment of the conditions precedent, to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compliance with the conditions set out in clause 4.1 above and to</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compliance with the following conditions (and subject to the</w:t>
      </w:r>
    </w:p>
    <w:p>
      <w:pPr>
        <w:ind w:left="700"/>
        <w:spacing w:after="0"/>
        <w:rPr>
          <w:sz w:val="20"/>
          <w:szCs w:val="20"/>
          <w:color w:val="auto"/>
        </w:rPr>
      </w:pPr>
      <w:r>
        <w:rPr>
          <w:rFonts w:ascii="Courier New" w:cs="Courier New" w:eastAsia="Courier New" w:hAnsi="Courier New"/>
          <w:sz w:val="12"/>
          <w:szCs w:val="12"/>
          <w:color w:val="auto"/>
        </w:rPr>
        <w:t>conditions that the Bank shall not be required to issue any</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Equipment L/C until: (a) the terms of the Equipment L/C have been</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agreed between the Bank and the beneficiary thereof; and (b)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Bank is satisfied that the Undertaking is in full force and</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effect), the Bank shall issue Equipment L/Cs under the Equipment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Facility during the Availability Period, if:</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4.3.1.1. the Borrower shall have delivered to the Bank an L/C</w:t>
      </w:r>
    </w:p>
    <w:p>
      <w:pPr>
        <w:ind w:left="1060"/>
        <w:spacing w:after="0"/>
        <w:rPr>
          <w:sz w:val="20"/>
          <w:szCs w:val="20"/>
          <w:color w:val="auto"/>
        </w:rPr>
      </w:pPr>
      <w:r>
        <w:rPr>
          <w:rFonts w:ascii="Courier New" w:cs="Courier New" w:eastAsia="Courier New" w:hAnsi="Courier New"/>
          <w:sz w:val="12"/>
          <w:szCs w:val="12"/>
          <w:color w:val="auto"/>
        </w:rPr>
        <w:t>Application, specifying the proposed Issue Date of such</w:t>
      </w:r>
    </w:p>
    <w:p>
      <w:pPr>
        <w:ind w:left="1060"/>
        <w:spacing w:after="0" w:line="237" w:lineRule="auto"/>
        <w:rPr>
          <w:sz w:val="20"/>
          <w:szCs w:val="20"/>
          <w:color w:val="auto"/>
        </w:rPr>
      </w:pPr>
      <w:r>
        <w:rPr>
          <w:rFonts w:ascii="Courier New" w:cs="Courier New" w:eastAsia="Courier New" w:hAnsi="Courier New"/>
          <w:sz w:val="12"/>
          <w:szCs w:val="12"/>
          <w:color w:val="auto"/>
        </w:rPr>
        <w:t>Equipment L/C, being at least 5 (five) Business Days after</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the date of delivery of such L/C Application, as well as the</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name of the beneficiary of the Equipment L/C and the details</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of the transaction in respect of which the Equipment L/C is</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to be issued;</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- 11 -</w:t>
      </w:r>
    </w:p>
    <w:p>
      <w:pPr>
        <w:spacing w:after="0" w:line="38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4.3.1.2. the Equipment L/C is denominated in US Dollars;</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4.3.1.3. the L/C Application is accompanied by a copy of the</w:t>
      </w:r>
    </w:p>
    <w:p>
      <w:pPr>
        <w:ind w:left="1060"/>
        <w:spacing w:after="0"/>
        <w:rPr>
          <w:sz w:val="20"/>
          <w:szCs w:val="20"/>
          <w:color w:val="auto"/>
        </w:rPr>
      </w:pPr>
      <w:r>
        <w:rPr>
          <w:rFonts w:ascii="Courier New" w:cs="Courier New" w:eastAsia="Courier New" w:hAnsi="Courier New"/>
          <w:sz w:val="12"/>
          <w:szCs w:val="12"/>
          <w:color w:val="auto"/>
        </w:rPr>
        <w:t>terms of the proposed Equipment L/C;</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4.3.1.4. the expiry date of the Equipment L/C is a Business Day</w:t>
      </w:r>
    </w:p>
    <w:p>
      <w:pPr>
        <w:ind w:left="1060"/>
        <w:spacing w:after="0"/>
        <w:rPr>
          <w:sz w:val="20"/>
          <w:szCs w:val="20"/>
          <w:color w:val="auto"/>
        </w:rPr>
      </w:pPr>
      <w:r>
        <w:rPr>
          <w:rFonts w:ascii="Courier New" w:cs="Courier New" w:eastAsia="Courier New" w:hAnsi="Courier New"/>
          <w:sz w:val="12"/>
          <w:szCs w:val="12"/>
          <w:color w:val="auto"/>
        </w:rPr>
        <w:t>falling no later than the Termination Date;</w:t>
      </w:r>
    </w:p>
    <w:p>
      <w:pPr>
        <w:spacing w:after="0" w:line="138"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4.3.1.5. there is a maximum limit to the stated liability of the</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Bank under the Equipment L/C; and</w:t>
      </w:r>
    </w:p>
    <w:p>
      <w:pPr>
        <w:sectPr>
          <w:pgSz w:w="11900" w:h="16838" w:orient="portrait"/>
          <w:cols w:equalWidth="0" w:num="1">
            <w:col w:w="9899"/>
          </w:cols>
          <w:pgMar w:left="560" w:top="141" w:right="1440" w:bottom="0" w:gutter="0" w:footer="0" w:header="0"/>
        </w:sectPr>
      </w:pPr>
    </w:p>
    <w:bookmarkStart w:id="80" w:name="page81"/>
    <w:bookmarkEnd w:id="80"/>
    <w:p>
      <w:pPr>
        <w:ind w:left="340"/>
        <w:spacing w:after="0"/>
        <w:rPr>
          <w:sz w:val="20"/>
          <w:szCs w:val="20"/>
          <w:color w:val="auto"/>
        </w:rPr>
      </w:pPr>
      <w:r>
        <w:rPr>
          <w:rFonts w:ascii="Courier New" w:cs="Courier New" w:eastAsia="Courier New" w:hAnsi="Courier New"/>
          <w:sz w:val="12"/>
          <w:szCs w:val="12"/>
          <w:color w:val="auto"/>
        </w:rPr>
        <w:t>4.3.1.6. the Maximum Drawing Amount of such Equipment L/C, when</w:t>
      </w:r>
    </w:p>
    <w:p>
      <w:pPr>
        <w:ind w:left="700"/>
        <w:spacing w:after="0"/>
        <w:rPr>
          <w:sz w:val="20"/>
          <w:szCs w:val="20"/>
          <w:color w:val="auto"/>
        </w:rPr>
      </w:pPr>
      <w:r>
        <w:rPr>
          <w:rFonts w:ascii="Courier New" w:cs="Courier New" w:eastAsia="Courier New" w:hAnsi="Courier New"/>
          <w:sz w:val="12"/>
          <w:szCs w:val="12"/>
          <w:color w:val="auto"/>
        </w:rPr>
        <w:t>aggregated with the Maximum Drawing Amounts of all other</w:t>
      </w:r>
    </w:p>
    <w:p>
      <w:pPr>
        <w:ind w:left="700"/>
        <w:spacing w:after="0" w:line="237" w:lineRule="auto"/>
        <w:rPr>
          <w:sz w:val="20"/>
          <w:szCs w:val="20"/>
          <w:color w:val="auto"/>
        </w:rPr>
      </w:pPr>
      <w:r>
        <w:rPr>
          <w:rFonts w:ascii="Courier New" w:cs="Courier New" w:eastAsia="Courier New" w:hAnsi="Courier New"/>
          <w:sz w:val="12"/>
          <w:szCs w:val="12"/>
          <w:color w:val="auto"/>
        </w:rPr>
        <w:t>Equipment L/Cs outstanding or to be issued on such Issue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Date and the amount of Equipment Loans outstanding or to be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drawn down pursuant to a pending Drawdown Request, shall not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exceed US $15,000,000 (fifteen million United States</w:t>
      </w:r>
    </w:p>
    <w:p>
      <w:pPr>
        <w:ind w:left="700"/>
        <w:spacing w:after="0"/>
        <w:rPr>
          <w:sz w:val="20"/>
          <w:szCs w:val="20"/>
          <w:color w:val="auto"/>
        </w:rPr>
      </w:pPr>
      <w:r>
        <w:rPr>
          <w:rFonts w:ascii="Courier New" w:cs="Courier New" w:eastAsia="Courier New" w:hAnsi="Courier New"/>
          <w:sz w:val="12"/>
          <w:szCs w:val="12"/>
          <w:color w:val="auto"/>
        </w:rPr>
        <w:t>Dollars);</w:t>
      </w:r>
    </w:p>
    <w:p>
      <w:pPr>
        <w:spacing w:after="0" w:line="138"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4.3.1.7 the Borrower shall have delivered to the Bank, at least 2</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(two) Business Days prior to the proposed issuance date of</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proposed Equipment L/C, a confirmation from TIC that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provisions of paragraph 2 of the Undertaking are fully</w:t>
      </w:r>
    </w:p>
    <w:p>
      <w:pPr>
        <w:ind w:left="700"/>
        <w:spacing w:after="0"/>
        <w:rPr>
          <w:sz w:val="20"/>
          <w:szCs w:val="20"/>
          <w:color w:val="auto"/>
        </w:rPr>
      </w:pPr>
      <w:r>
        <w:rPr>
          <w:rFonts w:ascii="Courier New" w:cs="Courier New" w:eastAsia="Courier New" w:hAnsi="Courier New"/>
          <w:sz w:val="12"/>
          <w:szCs w:val="12"/>
          <w:color w:val="auto"/>
        </w:rPr>
        <w:t>applicable to the Equipment L/C covered by such L/C</w:t>
      </w:r>
    </w:p>
    <w:p>
      <w:pPr>
        <w:ind w:left="700"/>
        <w:spacing w:after="0" w:line="237" w:lineRule="auto"/>
        <w:rPr>
          <w:sz w:val="20"/>
          <w:szCs w:val="20"/>
          <w:color w:val="auto"/>
        </w:rPr>
      </w:pPr>
      <w:r>
        <w:rPr>
          <w:rFonts w:ascii="Courier New" w:cs="Courier New" w:eastAsia="Courier New" w:hAnsi="Courier New"/>
          <w:sz w:val="12"/>
          <w:szCs w:val="12"/>
          <w:color w:val="auto"/>
        </w:rPr>
        <w:t>Application.</w:t>
      </w:r>
    </w:p>
    <w:p>
      <w:pPr>
        <w:spacing w:after="0" w:line="139" w:lineRule="exact"/>
        <w:rPr>
          <w:sz w:val="20"/>
          <w:szCs w:val="20"/>
          <w:color w:val="auto"/>
        </w:rPr>
      </w:pPr>
    </w:p>
    <w:p>
      <w:pPr>
        <w:jc w:val="both"/>
        <w:ind w:left="340" w:right="4759" w:hanging="350"/>
        <w:spacing w:after="0" w:line="236" w:lineRule="auto"/>
        <w:rPr>
          <w:sz w:val="20"/>
          <w:szCs w:val="20"/>
          <w:color w:val="auto"/>
        </w:rPr>
      </w:pPr>
      <w:r>
        <w:rPr>
          <w:rFonts w:ascii="Courier New" w:cs="Courier New" w:eastAsia="Courier New" w:hAnsi="Courier New"/>
          <w:sz w:val="12"/>
          <w:szCs w:val="12"/>
          <w:color w:val="auto"/>
        </w:rPr>
        <w:t>4.3.2. The Borrower shall pay to the Bank a commission in respect of an Equipment L/C equal to the following percentage per annum of the Maximum Drawing Amount of such Equipment L/C:</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4.3.2.1. 0.75% (nought point seven five percent) per annum; or</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4.3.2.2. in certain special cases, if so determined by the Bank,</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1% (one percent) per annum; or</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4.3.2.3. in the case where an advising, nominated or confirming</w:t>
      </w:r>
    </w:p>
    <w:p>
      <w:pPr>
        <w:ind w:left="700"/>
        <w:spacing w:after="0"/>
        <w:rPr>
          <w:sz w:val="20"/>
          <w:szCs w:val="20"/>
          <w:color w:val="auto"/>
        </w:rPr>
      </w:pPr>
      <w:r>
        <w:rPr>
          <w:rFonts w:ascii="Courier New" w:cs="Courier New" w:eastAsia="Courier New" w:hAnsi="Courier New"/>
          <w:sz w:val="12"/>
          <w:szCs w:val="12"/>
          <w:color w:val="auto"/>
        </w:rPr>
        <w:t>bank is required, the fees of such advising, nominated or</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confirming bank, in addition to the commissions set forth in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clauses 4.3.2.1 or 4.3.2.2 above, as the case may be; or</w:t>
      </w:r>
    </w:p>
    <w:p>
      <w:pPr>
        <w:spacing w:after="0" w:line="269"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- 12 -</w:t>
      </w:r>
    </w:p>
    <w:p>
      <w:pPr>
        <w:spacing w:after="0" w:line="38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4.3.2.4. in the event that the Borrower shall have placed funds</w:t>
      </w:r>
    </w:p>
    <w:p>
      <w:pPr>
        <w:ind w:left="700"/>
        <w:spacing w:after="0"/>
        <w:rPr>
          <w:sz w:val="20"/>
          <w:szCs w:val="20"/>
          <w:color w:val="auto"/>
        </w:rPr>
      </w:pPr>
      <w:r>
        <w:rPr>
          <w:rFonts w:ascii="Courier New" w:cs="Courier New" w:eastAsia="Courier New" w:hAnsi="Courier New"/>
          <w:sz w:val="12"/>
          <w:szCs w:val="12"/>
          <w:color w:val="auto"/>
        </w:rPr>
        <w:t>on deposit in the Charged Account at the Bank in an amount</w:t>
      </w:r>
    </w:p>
    <w:p>
      <w:pPr>
        <w:ind w:left="700"/>
        <w:spacing w:after="0" w:line="237" w:lineRule="auto"/>
        <w:rPr>
          <w:sz w:val="20"/>
          <w:szCs w:val="20"/>
          <w:color w:val="auto"/>
        </w:rPr>
      </w:pPr>
      <w:r>
        <w:rPr>
          <w:rFonts w:ascii="Courier New" w:cs="Courier New" w:eastAsia="Courier New" w:hAnsi="Courier New"/>
          <w:sz w:val="12"/>
          <w:szCs w:val="12"/>
          <w:color w:val="auto"/>
        </w:rPr>
        <w:t>equal at least to the Maximum Drawing Amount of the</w:t>
      </w:r>
    </w:p>
    <w:p>
      <w:pPr>
        <w:ind w:left="700"/>
        <w:spacing w:after="0"/>
        <w:rPr>
          <w:sz w:val="20"/>
          <w:szCs w:val="20"/>
          <w:color w:val="auto"/>
        </w:rPr>
      </w:pPr>
      <w:r>
        <w:rPr>
          <w:rFonts w:ascii="Courier New" w:cs="Courier New" w:eastAsia="Courier New" w:hAnsi="Courier New"/>
          <w:sz w:val="12"/>
          <w:szCs w:val="12"/>
          <w:color w:val="auto"/>
        </w:rPr>
        <w:t>Equipment L/C, which deposit is duly pledged in favour of</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Bank (or if all of the Equipment Lenders are the Banks,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favour of the Banks) by a first-ranking fixed charge in</w:t>
      </w:r>
    </w:p>
    <w:p>
      <w:pPr>
        <w:ind w:left="700"/>
        <w:spacing w:after="0"/>
        <w:rPr>
          <w:sz w:val="20"/>
          <w:szCs w:val="20"/>
          <w:color w:val="auto"/>
        </w:rPr>
      </w:pPr>
      <w:r>
        <w:rPr>
          <w:rFonts w:ascii="Courier New" w:cs="Courier New" w:eastAsia="Courier New" w:hAnsi="Courier New"/>
          <w:sz w:val="12"/>
          <w:szCs w:val="12"/>
          <w:color w:val="auto"/>
        </w:rPr>
        <w:t>form and manner acceptable to the Bank as security for the</w:t>
      </w:r>
    </w:p>
    <w:p>
      <w:pPr>
        <w:ind w:left="700"/>
        <w:spacing w:after="0" w:line="237" w:lineRule="auto"/>
        <w:rPr>
          <w:sz w:val="20"/>
          <w:szCs w:val="20"/>
          <w:color w:val="auto"/>
        </w:rPr>
      </w:pPr>
      <w:r>
        <w:rPr>
          <w:rFonts w:ascii="Courier New" w:cs="Courier New" w:eastAsia="Courier New" w:hAnsi="Courier New"/>
          <w:sz w:val="12"/>
          <w:szCs w:val="12"/>
          <w:color w:val="auto"/>
        </w:rPr>
        <w:t>Borrower's obligations to the Bank under the Finance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Documents, including this Agreement, 0.25% (nought point two</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five percent) per annum, provided that if prior to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expiry date of such Equipment L/C, any part of the amount on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deposit pledged as aforesaid is, with the consent of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Bank, released such that the amount on deposit is not equal</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to the Maximum Drawing Amount with respect to such Equipment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L/C, the commission payable in respect of such Equipment</w:t>
      </w:r>
    </w:p>
    <w:p>
      <w:pPr>
        <w:ind w:left="700"/>
        <w:spacing w:after="0"/>
        <w:rPr>
          <w:sz w:val="20"/>
          <w:szCs w:val="20"/>
          <w:color w:val="auto"/>
        </w:rPr>
      </w:pPr>
      <w:r>
        <w:rPr>
          <w:rFonts w:ascii="Courier New" w:cs="Courier New" w:eastAsia="Courier New" w:hAnsi="Courier New"/>
          <w:sz w:val="12"/>
          <w:szCs w:val="12"/>
          <w:color w:val="auto"/>
        </w:rPr>
        <w:t>L/C, as the case may be as aforesaid, shall be such</w:t>
      </w:r>
    </w:p>
    <w:p>
      <w:pPr>
        <w:ind w:left="700"/>
        <w:spacing w:after="0" w:line="237" w:lineRule="auto"/>
        <w:rPr>
          <w:sz w:val="20"/>
          <w:szCs w:val="20"/>
          <w:color w:val="auto"/>
        </w:rPr>
      </w:pPr>
      <w:r>
        <w:rPr>
          <w:rFonts w:ascii="Courier New" w:cs="Courier New" w:eastAsia="Courier New" w:hAnsi="Courier New"/>
          <w:sz w:val="12"/>
          <w:szCs w:val="12"/>
          <w:color w:val="auto"/>
        </w:rPr>
        <w:t>percentage per annum as determined pursuant to clauses</w:t>
      </w:r>
    </w:p>
    <w:p>
      <w:pPr>
        <w:ind w:left="700"/>
        <w:spacing w:after="0"/>
        <w:rPr>
          <w:sz w:val="20"/>
          <w:szCs w:val="20"/>
          <w:color w:val="auto"/>
        </w:rPr>
      </w:pPr>
      <w:r>
        <w:rPr>
          <w:rFonts w:ascii="Courier New" w:cs="Courier New" w:eastAsia="Courier New" w:hAnsi="Courier New"/>
          <w:sz w:val="12"/>
          <w:szCs w:val="12"/>
          <w:color w:val="auto"/>
        </w:rPr>
        <w:t>4.3.2.1 and 4.3.2.2 above.</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Commissions as aforesaid shall be paid in advance on the Issue</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Date for such Equipment L/C on the Maximum Drawing Amount of such</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Equipment L/C.</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4.3.3. Each L/C Application shall be effective on actual receipt by</w:t>
      </w:r>
    </w:p>
    <w:p>
      <w:pPr>
        <w:ind w:left="340"/>
        <w:spacing w:after="0"/>
        <w:rPr>
          <w:sz w:val="20"/>
          <w:szCs w:val="20"/>
          <w:color w:val="auto"/>
        </w:rPr>
      </w:pPr>
      <w:r>
        <w:rPr>
          <w:rFonts w:ascii="Courier New" w:cs="Courier New" w:eastAsia="Courier New" w:hAnsi="Courier New"/>
          <w:sz w:val="12"/>
          <w:szCs w:val="12"/>
          <w:color w:val="auto"/>
        </w:rPr>
        <w:t>the Bank and once given shall be irrevocable.</w:t>
      </w:r>
    </w:p>
    <w:p>
      <w:pPr>
        <w:spacing w:after="0" w:line="138" w:lineRule="exact"/>
        <w:rPr>
          <w:sz w:val="20"/>
          <w:szCs w:val="20"/>
          <w:color w:val="auto"/>
        </w:rPr>
      </w:pPr>
    </w:p>
    <w:p>
      <w:pPr>
        <w:ind w:left="340" w:right="4619" w:hanging="350"/>
        <w:spacing w:after="0" w:line="237" w:lineRule="auto"/>
        <w:rPr>
          <w:sz w:val="20"/>
          <w:szCs w:val="20"/>
          <w:color w:val="auto"/>
        </w:rPr>
      </w:pPr>
      <w:r>
        <w:rPr>
          <w:rFonts w:ascii="Courier New" w:cs="Courier New" w:eastAsia="Courier New" w:hAnsi="Courier New"/>
          <w:sz w:val="12"/>
          <w:szCs w:val="12"/>
          <w:color w:val="auto"/>
        </w:rPr>
        <w:t>4.3.4. The terms of the Equipment L/C must contain a clear procedure for the making of claims under such Equipment L/C satisfactory to the Bank which shall include a requirement that the beneficiary gives at least 10 (ten) Business Days' notice of payment (together with all documents required to accompany such notice, in full compliance with the terms of such Equipment L/C) under the relevant Equipment L/C.</w:t>
      </w:r>
    </w:p>
    <w:p>
      <w:pPr>
        <w:spacing w:after="0" w:line="141" w:lineRule="exact"/>
        <w:rPr>
          <w:sz w:val="20"/>
          <w:szCs w:val="20"/>
          <w:color w:val="auto"/>
        </w:rPr>
      </w:pPr>
    </w:p>
    <w:p>
      <w:pPr>
        <w:ind w:left="340" w:right="4699" w:hanging="350"/>
        <w:spacing w:after="0" w:line="266" w:lineRule="auto"/>
        <w:rPr>
          <w:sz w:val="20"/>
          <w:szCs w:val="20"/>
          <w:color w:val="auto"/>
        </w:rPr>
      </w:pPr>
      <w:r>
        <w:rPr>
          <w:rFonts w:ascii="Courier New" w:cs="Courier New" w:eastAsia="Courier New" w:hAnsi="Courier New"/>
          <w:sz w:val="11"/>
          <w:szCs w:val="11"/>
          <w:color w:val="auto"/>
        </w:rPr>
        <w:t>4.3.5. For the removal of doubt, subject only to the terms of this Agreement, each Equipment L/C shall be governed by the terms and conditions customary at the Bank with respect to such an L/C.</w:t>
      </w:r>
    </w:p>
    <w:p>
      <w:pPr>
        <w:spacing w:after="0" w:line="257"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- 13 -</w:t>
      </w:r>
    </w:p>
    <w:p>
      <w:pPr>
        <w:spacing w:after="0" w:line="391" w:lineRule="exact"/>
        <w:rPr>
          <w:sz w:val="20"/>
          <w:szCs w:val="20"/>
          <w:color w:val="auto"/>
        </w:rPr>
      </w:pPr>
    </w:p>
    <w:p>
      <w:pPr>
        <w:ind w:left="340" w:right="4619" w:hanging="350"/>
        <w:spacing w:after="0" w:line="262" w:lineRule="auto"/>
        <w:rPr>
          <w:sz w:val="20"/>
          <w:szCs w:val="20"/>
          <w:color w:val="auto"/>
        </w:rPr>
      </w:pPr>
      <w:r>
        <w:rPr>
          <w:rFonts w:ascii="Courier New" w:cs="Courier New" w:eastAsia="Courier New" w:hAnsi="Courier New"/>
          <w:sz w:val="11"/>
          <w:szCs w:val="11"/>
          <w:color w:val="auto"/>
        </w:rPr>
        <w:t>4.3.6. The Bank shall, promptly after being notified by a beneficiary under an Equipment L/C that the Bank is required to make payment under such Equipment L/C (together with all documents required to accompany such requirement in full compliance with the terms of such Equipment L/C), notify the Borrower and TIC that such payment is due, of the amount demanded and of the date for payment thereof ("THE SETTLEMENT DATE").</w:t>
      </w:r>
    </w:p>
    <w:p>
      <w:pPr>
        <w:spacing w:after="0" w:line="12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On receipt of a notice from the Bank under this clause 4.3.6, the</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Borrower shall either:</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4.3.6.1. subject to the terms and conditions of this Agreement:</w:t>
      </w:r>
    </w:p>
    <w:p>
      <w:pPr>
        <w:spacing w:after="0" w:line="4" w:lineRule="exact"/>
        <w:rPr>
          <w:sz w:val="20"/>
          <w:szCs w:val="20"/>
          <w:color w:val="auto"/>
        </w:rPr>
      </w:pPr>
    </w:p>
    <w:p>
      <w:pPr>
        <w:ind w:left="700" w:right="4619" w:hanging="3"/>
        <w:spacing w:after="0" w:line="260" w:lineRule="auto"/>
        <w:tabs>
          <w:tab w:leader="none" w:pos="981" w:val="left"/>
        </w:tabs>
        <w:numPr>
          <w:ilvl w:val="0"/>
          <w:numId w:val="110"/>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incur Permitted Subordinated TIC Debt in an amount equal to half of the relevant amount demanded through TIC's direct payment to said beneficiary, on the date such amount is to be paid by the Bank to said beneficiary under said Equipment L/C, of one-half of the payment to be made to the beneficiary of such Equipment L/C (or immediately, but no later than the second Business Day after the making of such payment, TIC's reimbursement of the Bank for one-half of the payment to such beneficiary made by the Bank); and (b) convert one-half of the relevant amount demanded into an Equipment Loan. Each Equipment Loan and Permitted Subordinated TIC Debt shall be denominated in US Dollars and shall be in an aggregate amount (in US Dollars) equal to the amount to be paid by the Bank on the Settlement Date. The Borrower shall deliver to the Bank, by no later than the close of business on the first Business Day following the date of receipt of such notice ("THE CONVERSION DATE"), a notice informing the Bank that this clause 4.3.6.1 shall apply and in accordance therewith one-half of the relevant amount demanded shall be converted into an Equipment Loan as aforesaid on the Settlement Date. For the avoidance of doubt, nothing in the aforegoing shall derogate from the condition set out in clause 4.1.2.2 above; or</w:t>
      </w:r>
    </w:p>
    <w:p>
      <w:pPr>
        <w:spacing w:after="0" w:line="273"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4.3.6.2. pay to the Bank, by no later than the close of business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on the Conversion Date, the full relevant amount demanded</w:t>
      </w:r>
    </w:p>
    <w:p>
      <w:pPr>
        <w:ind w:left="700"/>
        <w:spacing w:after="0"/>
        <w:rPr>
          <w:sz w:val="20"/>
          <w:szCs w:val="20"/>
          <w:color w:val="auto"/>
        </w:rPr>
      </w:pPr>
      <w:r>
        <w:rPr>
          <w:rFonts w:ascii="Courier New" w:cs="Courier New" w:eastAsia="Courier New" w:hAnsi="Courier New"/>
          <w:sz w:val="12"/>
          <w:szCs w:val="12"/>
          <w:color w:val="auto"/>
        </w:rPr>
        <w:t>under the Equipment L/C.</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 the event that clause 4.3.6.1 above shall be applicable, the</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Bank shall settle the amount demanded on the Settlement Date and</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Borrower shall be deemed to have received on the Settlement</w:t>
      </w:r>
    </w:p>
    <w:p>
      <w:pPr>
        <w:ind w:left="340"/>
        <w:spacing w:after="0"/>
        <w:rPr>
          <w:sz w:val="20"/>
          <w:szCs w:val="20"/>
          <w:color w:val="auto"/>
        </w:rPr>
      </w:pPr>
      <w:r>
        <w:rPr>
          <w:rFonts w:ascii="Courier New" w:cs="Courier New" w:eastAsia="Courier New" w:hAnsi="Courier New"/>
          <w:sz w:val="12"/>
          <w:szCs w:val="12"/>
          <w:color w:val="auto"/>
        </w:rPr>
        <w:t>Date an Equipment Loan from the Bank in an amount as determined</w:t>
      </w:r>
    </w:p>
    <w:p>
      <w:pPr>
        <w:ind w:left="340"/>
        <w:spacing w:after="0" w:line="237" w:lineRule="auto"/>
        <w:rPr>
          <w:sz w:val="20"/>
          <w:szCs w:val="20"/>
          <w:color w:val="auto"/>
        </w:rPr>
      </w:pPr>
      <w:r>
        <w:rPr>
          <w:rFonts w:ascii="Courier New" w:cs="Courier New" w:eastAsia="Courier New" w:hAnsi="Courier New"/>
          <w:sz w:val="12"/>
          <w:szCs w:val="12"/>
          <w:color w:val="auto"/>
        </w:rPr>
        <w:t>in accordance with clause 4.3.6.1 above.</w:t>
      </w:r>
    </w:p>
    <w:p>
      <w:pPr>
        <w:sectPr>
          <w:pgSz w:w="11900" w:h="16838" w:orient="portrait"/>
          <w:cols w:equalWidth="0" w:num="1">
            <w:col w:w="9539"/>
          </w:cols>
          <w:pgMar w:left="920" w:top="137" w:right="1440" w:bottom="0" w:gutter="0" w:footer="0" w:header="0"/>
        </w:sectPr>
      </w:pPr>
    </w:p>
    <w:bookmarkStart w:id="81" w:name="page82"/>
    <w:bookmarkEnd w:id="81"/>
    <w:p>
      <w:pPr>
        <w:spacing w:after="0" w:line="56"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- 14 -</w:t>
      </w:r>
    </w:p>
    <w:p>
      <w:pPr>
        <w:spacing w:after="0" w:line="38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 the event that clause 4.3.6.2 above shall be applicable, but</w:t>
      </w:r>
    </w:p>
    <w:p>
      <w:pPr>
        <w:ind w:left="340"/>
        <w:spacing w:after="0"/>
        <w:rPr>
          <w:sz w:val="20"/>
          <w:szCs w:val="20"/>
          <w:color w:val="auto"/>
        </w:rPr>
      </w:pPr>
      <w:r>
        <w:rPr>
          <w:rFonts w:ascii="Courier New" w:cs="Courier New" w:eastAsia="Courier New" w:hAnsi="Courier New"/>
          <w:sz w:val="12"/>
          <w:szCs w:val="12"/>
          <w:color w:val="auto"/>
        </w:rPr>
        <w:t>the Borrower shall fail to pay on the Conversion Date the full</w:t>
      </w:r>
    </w:p>
    <w:p>
      <w:pPr>
        <w:ind w:left="340"/>
        <w:spacing w:after="0" w:line="237" w:lineRule="auto"/>
        <w:rPr>
          <w:sz w:val="20"/>
          <w:szCs w:val="20"/>
          <w:color w:val="auto"/>
        </w:rPr>
      </w:pPr>
      <w:r>
        <w:rPr>
          <w:rFonts w:ascii="Courier New" w:cs="Courier New" w:eastAsia="Courier New" w:hAnsi="Courier New"/>
          <w:sz w:val="12"/>
          <w:szCs w:val="12"/>
          <w:color w:val="auto"/>
        </w:rPr>
        <w:t>relevant amount demanded on the Equipment L/C, the Bank shall</w:t>
      </w:r>
    </w:p>
    <w:p>
      <w:pPr>
        <w:ind w:left="340"/>
        <w:spacing w:after="0"/>
        <w:rPr>
          <w:sz w:val="20"/>
          <w:szCs w:val="20"/>
          <w:color w:val="auto"/>
        </w:rPr>
      </w:pPr>
      <w:r>
        <w:rPr>
          <w:rFonts w:ascii="Courier New" w:cs="Courier New" w:eastAsia="Courier New" w:hAnsi="Courier New"/>
          <w:sz w:val="12"/>
          <w:szCs w:val="12"/>
          <w:color w:val="auto"/>
        </w:rPr>
        <w:t>have the option to require TIC, pursuant to, and in accordance</w:t>
      </w:r>
    </w:p>
    <w:p>
      <w:pPr>
        <w:ind w:left="340"/>
        <w:spacing w:after="0" w:line="237" w:lineRule="auto"/>
        <w:rPr>
          <w:sz w:val="20"/>
          <w:szCs w:val="20"/>
          <w:color w:val="auto"/>
        </w:rPr>
      </w:pPr>
      <w:r>
        <w:rPr>
          <w:rFonts w:ascii="Courier New" w:cs="Courier New" w:eastAsia="Courier New" w:hAnsi="Courier New"/>
          <w:sz w:val="12"/>
          <w:szCs w:val="12"/>
          <w:color w:val="auto"/>
        </w:rPr>
        <w:t>with, the Undertaking, to pay to the Bank (such payment to be</w:t>
      </w:r>
    </w:p>
    <w:p>
      <w:pPr>
        <w:ind w:left="340"/>
        <w:spacing w:after="0"/>
        <w:rPr>
          <w:sz w:val="20"/>
          <w:szCs w:val="20"/>
          <w:color w:val="auto"/>
        </w:rPr>
      </w:pPr>
      <w:r>
        <w:rPr>
          <w:rFonts w:ascii="Courier New" w:cs="Courier New" w:eastAsia="Courier New" w:hAnsi="Courier New"/>
          <w:sz w:val="12"/>
          <w:szCs w:val="12"/>
          <w:color w:val="auto"/>
        </w:rPr>
        <w:t>Permitted Subordinated TIC Debt provided to the Borrower)</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one-half of the amount payable thereunder by the Borrower and the</w:t>
      </w:r>
    </w:p>
    <w:p>
      <w:pPr>
        <w:spacing w:after="0" w:line="10"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Borrower shall be deemed to have received on the Conversion Date</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an Equipment Loan from the Bank in the remaining amount payable</w:t>
      </w:r>
    </w:p>
    <w:p>
      <w:pPr>
        <w:ind w:left="340"/>
        <w:spacing w:after="0"/>
        <w:rPr>
          <w:sz w:val="20"/>
          <w:szCs w:val="20"/>
          <w:color w:val="auto"/>
        </w:rPr>
      </w:pPr>
      <w:r>
        <w:rPr>
          <w:rFonts w:ascii="Courier New" w:cs="Courier New" w:eastAsia="Courier New" w:hAnsi="Courier New"/>
          <w:sz w:val="12"/>
          <w:szCs w:val="12"/>
          <w:color w:val="auto"/>
        </w:rPr>
        <w:t>pursuant to clause 4.3.6.2 above and not paid either by TIC or</w:t>
      </w:r>
    </w:p>
    <w:p>
      <w:pPr>
        <w:ind w:left="340"/>
        <w:spacing w:after="0" w:line="237" w:lineRule="auto"/>
        <w:rPr>
          <w:sz w:val="20"/>
          <w:szCs w:val="20"/>
          <w:color w:val="auto"/>
        </w:rPr>
      </w:pPr>
      <w:r>
        <w:rPr>
          <w:rFonts w:ascii="Courier New" w:cs="Courier New" w:eastAsia="Courier New" w:hAnsi="Courier New"/>
          <w:sz w:val="12"/>
          <w:szCs w:val="12"/>
          <w:color w:val="auto"/>
        </w:rPr>
        <w:t>the Borrower.</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4.3.7. The Borrower unconditionally and irrevocably:</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4.3.7.1. authorises and directs the Bank to pay any demand under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in accordance with an Equipment L/C (which the Bank</w:t>
      </w:r>
    </w:p>
    <w:p>
      <w:pPr>
        <w:ind w:left="700"/>
        <w:spacing w:after="0"/>
        <w:rPr>
          <w:sz w:val="20"/>
          <w:szCs w:val="20"/>
          <w:color w:val="auto"/>
        </w:rPr>
      </w:pPr>
      <w:r>
        <w:rPr>
          <w:rFonts w:ascii="Courier New" w:cs="Courier New" w:eastAsia="Courier New" w:hAnsi="Courier New"/>
          <w:sz w:val="12"/>
          <w:szCs w:val="12"/>
          <w:color w:val="auto"/>
        </w:rPr>
        <w:t>believes, in its sole discretion, to be valid) without</w:t>
      </w:r>
    </w:p>
    <w:p>
      <w:pPr>
        <w:ind w:left="700"/>
        <w:spacing w:after="0" w:line="237" w:lineRule="auto"/>
        <w:rPr>
          <w:sz w:val="20"/>
          <w:szCs w:val="20"/>
          <w:color w:val="auto"/>
        </w:rPr>
      </w:pPr>
      <w:r>
        <w:rPr>
          <w:rFonts w:ascii="Courier New" w:cs="Courier New" w:eastAsia="Courier New" w:hAnsi="Courier New"/>
          <w:sz w:val="12"/>
          <w:szCs w:val="12"/>
          <w:color w:val="auto"/>
        </w:rPr>
        <w:t>requiring proof of the agreement of the Borrower that the</w:t>
      </w:r>
    </w:p>
    <w:p>
      <w:pPr>
        <w:ind w:left="700"/>
        <w:spacing w:after="0"/>
        <w:rPr>
          <w:sz w:val="20"/>
          <w:szCs w:val="20"/>
          <w:color w:val="auto"/>
        </w:rPr>
      </w:pPr>
      <w:r>
        <w:rPr>
          <w:rFonts w:ascii="Courier New" w:cs="Courier New" w:eastAsia="Courier New" w:hAnsi="Courier New"/>
          <w:sz w:val="12"/>
          <w:szCs w:val="12"/>
          <w:color w:val="auto"/>
        </w:rPr>
        <w:t>amounts so demanded or paid are or were due and</w:t>
      </w:r>
    </w:p>
    <w:p>
      <w:pPr>
        <w:ind w:left="700"/>
        <w:spacing w:after="0" w:line="237" w:lineRule="auto"/>
        <w:rPr>
          <w:sz w:val="20"/>
          <w:szCs w:val="20"/>
          <w:color w:val="auto"/>
        </w:rPr>
      </w:pPr>
      <w:r>
        <w:rPr>
          <w:rFonts w:ascii="Courier New" w:cs="Courier New" w:eastAsia="Courier New" w:hAnsi="Courier New"/>
          <w:sz w:val="12"/>
          <w:szCs w:val="12"/>
          <w:color w:val="auto"/>
        </w:rPr>
        <w:t>notwithstanding that the Borrower may dispute the validity</w:t>
      </w:r>
    </w:p>
    <w:p>
      <w:pPr>
        <w:ind w:left="700"/>
        <w:spacing w:after="0"/>
        <w:rPr>
          <w:sz w:val="20"/>
          <w:szCs w:val="20"/>
          <w:color w:val="auto"/>
        </w:rPr>
      </w:pPr>
      <w:r>
        <w:rPr>
          <w:rFonts w:ascii="Courier New" w:cs="Courier New" w:eastAsia="Courier New" w:hAnsi="Courier New"/>
          <w:sz w:val="12"/>
          <w:szCs w:val="12"/>
          <w:color w:val="auto"/>
        </w:rPr>
        <w:t>of any such request, demand or payment;</w:t>
      </w:r>
    </w:p>
    <w:p>
      <w:pPr>
        <w:spacing w:after="0" w:line="138"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4.3.7.2. confirms that the Bank deals in documents only and shall</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not be concerned with the legality of the claim or any other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underlying transaction or any set-off, counterclaim or</w:t>
      </w:r>
    </w:p>
    <w:p>
      <w:pPr>
        <w:ind w:left="700"/>
        <w:spacing w:after="0"/>
        <w:rPr>
          <w:sz w:val="20"/>
          <w:szCs w:val="20"/>
          <w:color w:val="auto"/>
        </w:rPr>
      </w:pPr>
      <w:r>
        <w:rPr>
          <w:rFonts w:ascii="Courier New" w:cs="Courier New" w:eastAsia="Courier New" w:hAnsi="Courier New"/>
          <w:sz w:val="12"/>
          <w:szCs w:val="12"/>
          <w:color w:val="auto"/>
        </w:rPr>
        <w:t>defence as between the Borrower and any beneficiary of an</w:t>
      </w:r>
    </w:p>
    <w:p>
      <w:pPr>
        <w:ind w:left="700"/>
        <w:spacing w:after="0" w:line="237" w:lineRule="auto"/>
        <w:rPr>
          <w:sz w:val="20"/>
          <w:szCs w:val="20"/>
          <w:color w:val="auto"/>
        </w:rPr>
      </w:pPr>
      <w:r>
        <w:rPr>
          <w:rFonts w:ascii="Courier New" w:cs="Courier New" w:eastAsia="Courier New" w:hAnsi="Courier New"/>
          <w:sz w:val="12"/>
          <w:szCs w:val="12"/>
          <w:color w:val="auto"/>
        </w:rPr>
        <w:t>Equipment L/C;</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4.3.7.3. agrees that, subject to the last sentence of this clause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4.3.7, the Bank need not have regard to the sufficiency,</w:t>
      </w:r>
    </w:p>
    <w:p>
      <w:pPr>
        <w:ind w:left="700"/>
        <w:spacing w:after="0"/>
        <w:rPr>
          <w:sz w:val="20"/>
          <w:szCs w:val="20"/>
          <w:color w:val="auto"/>
        </w:rPr>
      </w:pPr>
      <w:r>
        <w:rPr>
          <w:rFonts w:ascii="Courier New" w:cs="Courier New" w:eastAsia="Courier New" w:hAnsi="Courier New"/>
          <w:sz w:val="12"/>
          <w:szCs w:val="12"/>
          <w:color w:val="auto"/>
        </w:rPr>
        <w:t>accuracy or genuineness of any such demand or any</w:t>
      </w:r>
    </w:p>
    <w:p>
      <w:pPr>
        <w:ind w:left="700"/>
        <w:spacing w:after="0" w:line="237" w:lineRule="auto"/>
        <w:rPr>
          <w:sz w:val="20"/>
          <w:szCs w:val="20"/>
          <w:color w:val="auto"/>
        </w:rPr>
      </w:pPr>
      <w:r>
        <w:rPr>
          <w:rFonts w:ascii="Courier New" w:cs="Courier New" w:eastAsia="Courier New" w:hAnsi="Courier New"/>
          <w:sz w:val="12"/>
          <w:szCs w:val="12"/>
          <w:color w:val="auto"/>
        </w:rPr>
        <w:t>certificate or statement in connection therewith or any</w:t>
      </w:r>
    </w:p>
    <w:p>
      <w:pPr>
        <w:ind w:left="700"/>
        <w:spacing w:after="0"/>
        <w:rPr>
          <w:sz w:val="20"/>
          <w:szCs w:val="20"/>
          <w:color w:val="auto"/>
        </w:rPr>
      </w:pPr>
      <w:r>
        <w:rPr>
          <w:rFonts w:ascii="Courier New" w:cs="Courier New" w:eastAsia="Courier New" w:hAnsi="Courier New"/>
          <w:sz w:val="12"/>
          <w:szCs w:val="12"/>
          <w:color w:val="auto"/>
        </w:rPr>
        <w:t>incapacity of or limitation upon the powers of any person</w:t>
      </w:r>
    </w:p>
    <w:p>
      <w:pPr>
        <w:ind w:left="700"/>
        <w:spacing w:after="0" w:line="237" w:lineRule="auto"/>
        <w:rPr>
          <w:sz w:val="20"/>
          <w:szCs w:val="20"/>
          <w:color w:val="auto"/>
        </w:rPr>
      </w:pPr>
      <w:r>
        <w:rPr>
          <w:rFonts w:ascii="Courier New" w:cs="Courier New" w:eastAsia="Courier New" w:hAnsi="Courier New"/>
          <w:sz w:val="12"/>
          <w:szCs w:val="12"/>
          <w:color w:val="auto"/>
        </w:rPr>
        <w:t>signing or issuing such demand, certificate or statement</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which appears on its face to be in order and agrees that the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Bank shall not be obliged to enquire as to any such matters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may assume, unless notified to the contrary, that any</w:t>
      </w:r>
    </w:p>
    <w:p>
      <w:pPr>
        <w:ind w:left="700"/>
        <w:spacing w:after="0"/>
        <w:rPr>
          <w:sz w:val="20"/>
          <w:szCs w:val="20"/>
          <w:color w:val="auto"/>
        </w:rPr>
      </w:pPr>
      <w:r>
        <w:rPr>
          <w:rFonts w:ascii="Courier New" w:cs="Courier New" w:eastAsia="Courier New" w:hAnsi="Courier New"/>
          <w:sz w:val="12"/>
          <w:szCs w:val="12"/>
          <w:color w:val="auto"/>
        </w:rPr>
        <w:t>such demand, certificate or statement which appears on its</w:t>
      </w:r>
    </w:p>
    <w:p>
      <w:pPr>
        <w:ind w:left="700"/>
        <w:spacing w:after="0" w:line="237" w:lineRule="auto"/>
        <w:rPr>
          <w:sz w:val="20"/>
          <w:szCs w:val="20"/>
          <w:color w:val="auto"/>
        </w:rPr>
      </w:pPr>
      <w:r>
        <w:rPr>
          <w:rFonts w:ascii="Courier New" w:cs="Courier New" w:eastAsia="Courier New" w:hAnsi="Courier New"/>
          <w:sz w:val="12"/>
          <w:szCs w:val="12"/>
          <w:color w:val="auto"/>
        </w:rPr>
        <w:t>face to be in order is correct and properly made;</w:t>
      </w:r>
    </w:p>
    <w:p>
      <w:pPr>
        <w:spacing w:after="0" w:line="269"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- 15 -</w:t>
      </w:r>
    </w:p>
    <w:p>
      <w:pPr>
        <w:spacing w:after="0" w:line="391"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4.3.7.4. without prejudice to the preceding clauses, agrees that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subject to the last sentence of this clause 4.3.7, if the</w:t>
      </w:r>
    </w:p>
    <w:p>
      <w:pPr>
        <w:ind w:left="700"/>
        <w:spacing w:after="0"/>
        <w:rPr>
          <w:sz w:val="20"/>
          <w:szCs w:val="20"/>
          <w:color w:val="auto"/>
        </w:rPr>
      </w:pPr>
      <w:r>
        <w:rPr>
          <w:rFonts w:ascii="Courier New" w:cs="Courier New" w:eastAsia="Courier New" w:hAnsi="Courier New"/>
          <w:sz w:val="12"/>
          <w:szCs w:val="12"/>
          <w:color w:val="auto"/>
        </w:rPr>
        <w:t>Bank pays any such demand in accordance with the terms of</w:t>
      </w:r>
    </w:p>
    <w:p>
      <w:pPr>
        <w:ind w:left="700"/>
        <w:spacing w:after="0" w:line="237" w:lineRule="auto"/>
        <w:rPr>
          <w:sz w:val="20"/>
          <w:szCs w:val="20"/>
          <w:color w:val="auto"/>
        </w:rPr>
      </w:pPr>
      <w:r>
        <w:rPr>
          <w:rFonts w:ascii="Courier New" w:cs="Courier New" w:eastAsia="Courier New" w:hAnsi="Courier New"/>
          <w:sz w:val="12"/>
          <w:szCs w:val="12"/>
          <w:color w:val="auto"/>
        </w:rPr>
        <w:t>the relevant Equipment L/C which is not legally payable,</w:t>
      </w:r>
    </w:p>
    <w:p>
      <w:pPr>
        <w:ind w:left="700"/>
        <w:spacing w:after="0"/>
        <w:rPr>
          <w:sz w:val="20"/>
          <w:szCs w:val="20"/>
          <w:color w:val="auto"/>
        </w:rPr>
      </w:pPr>
      <w:r>
        <w:rPr>
          <w:rFonts w:ascii="Courier New" w:cs="Courier New" w:eastAsia="Courier New" w:hAnsi="Courier New"/>
          <w:sz w:val="12"/>
          <w:szCs w:val="12"/>
          <w:color w:val="auto"/>
        </w:rPr>
        <w:t>that amount shall nevertheless be regarded as having been</w:t>
      </w:r>
    </w:p>
    <w:p>
      <w:pPr>
        <w:ind w:left="700"/>
        <w:spacing w:after="0" w:line="237" w:lineRule="auto"/>
        <w:rPr>
          <w:sz w:val="20"/>
          <w:szCs w:val="20"/>
          <w:color w:val="auto"/>
        </w:rPr>
      </w:pPr>
      <w:r>
        <w:rPr>
          <w:rFonts w:ascii="Courier New" w:cs="Courier New" w:eastAsia="Courier New" w:hAnsi="Courier New"/>
          <w:sz w:val="12"/>
          <w:szCs w:val="12"/>
          <w:color w:val="auto"/>
        </w:rPr>
        <w:t>properly paid for the purposes of this Agreement; and</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4.3.7.5. agrees that subject to the last sentence of this clause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4.3.7, the Bank shall not be liable for any error, omission,</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interruption or delay in transmission, despatch or delivery</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of any message or advice, however transmitted, in connection</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with any Equipment L/C. The Borrower agrees that subject to</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last sentence of this clause 4.3.7, any action taken or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omitted by the Bank under or in connection with each</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Equipment L/C and the related drafts and documents, if done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in good faith, shall be binding upon the Borrower and shall</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not result in any liability on the part of the Bank to the</w:t>
      </w:r>
    </w:p>
    <w:p>
      <w:pPr>
        <w:ind w:left="700"/>
        <w:spacing w:after="0"/>
        <w:rPr>
          <w:sz w:val="20"/>
          <w:szCs w:val="20"/>
          <w:color w:val="auto"/>
        </w:rPr>
      </w:pPr>
      <w:r>
        <w:rPr>
          <w:rFonts w:ascii="Courier New" w:cs="Courier New" w:eastAsia="Courier New" w:hAnsi="Courier New"/>
          <w:sz w:val="12"/>
          <w:szCs w:val="12"/>
          <w:color w:val="auto"/>
        </w:rPr>
        <w:t>Borrower.</w:t>
      </w:r>
    </w:p>
    <w:p>
      <w:pPr>
        <w:spacing w:after="0" w:line="138"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Notwithstanding anything else herein, the Bank shall examine all</w:t>
      </w:r>
    </w:p>
    <w:p>
      <w:pPr>
        <w:spacing w:after="0" w:line="10"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documents (if any) stipulated in an Equipment L/C with reasonable</w:t>
      </w:r>
    </w:p>
    <w:p>
      <w:pPr>
        <w:spacing w:after="0" w:line="10"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care to ascertain whether or not they appear on their face to be</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 compliance with the terms and conditions of the relevant</w:t>
      </w:r>
    </w:p>
    <w:p>
      <w:pPr>
        <w:ind w:left="340"/>
        <w:spacing w:after="0"/>
        <w:rPr>
          <w:sz w:val="20"/>
          <w:szCs w:val="20"/>
          <w:color w:val="auto"/>
        </w:rPr>
      </w:pPr>
      <w:r>
        <w:rPr>
          <w:rFonts w:ascii="Courier New" w:cs="Courier New" w:eastAsia="Courier New" w:hAnsi="Courier New"/>
          <w:sz w:val="12"/>
          <w:szCs w:val="12"/>
          <w:color w:val="auto"/>
        </w:rPr>
        <w:t>Equipment L/C.</w:t>
      </w:r>
    </w:p>
    <w:p>
      <w:pPr>
        <w:spacing w:after="0" w:line="138" w:lineRule="exact"/>
        <w:rPr>
          <w:sz w:val="20"/>
          <w:szCs w:val="20"/>
          <w:color w:val="auto"/>
        </w:rPr>
      </w:pPr>
    </w:p>
    <w:p>
      <w:pPr>
        <w:ind w:left="340" w:right="4619" w:hanging="350"/>
        <w:spacing w:after="0" w:line="237" w:lineRule="auto"/>
        <w:rPr>
          <w:sz w:val="20"/>
          <w:szCs w:val="20"/>
          <w:color w:val="auto"/>
        </w:rPr>
      </w:pPr>
      <w:r>
        <w:rPr>
          <w:rFonts w:ascii="Courier New" w:cs="Courier New" w:eastAsia="Courier New" w:hAnsi="Courier New"/>
          <w:sz w:val="12"/>
          <w:szCs w:val="12"/>
          <w:color w:val="auto"/>
        </w:rPr>
        <w:t>4.3.8. The Borrower shall on demand indemnify and hold harmless the Bank from and against all liabilities, costs, losses, damages and expenses which the Bank incurs or sustains by reason of, or arising in any way whatsoever in connection with, or by reference to, the issue of any Equipment L/C or the Bank's performance of the obligations expressed to be assumed by it under or in respect of any Equipment L/C.</w:t>
      </w:r>
    </w:p>
    <w:p>
      <w:pPr>
        <w:spacing w:after="0" w:line="141" w:lineRule="exact"/>
        <w:rPr>
          <w:sz w:val="20"/>
          <w:szCs w:val="20"/>
          <w:color w:val="auto"/>
        </w:rPr>
      </w:pPr>
    </w:p>
    <w:p>
      <w:pPr>
        <w:ind w:left="340" w:right="4619" w:hanging="350"/>
        <w:spacing w:after="0" w:line="237" w:lineRule="auto"/>
        <w:rPr>
          <w:sz w:val="20"/>
          <w:szCs w:val="20"/>
          <w:color w:val="auto"/>
        </w:rPr>
      </w:pPr>
      <w:r>
        <w:rPr>
          <w:rFonts w:ascii="Courier New" w:cs="Courier New" w:eastAsia="Courier New" w:hAnsi="Courier New"/>
          <w:sz w:val="12"/>
          <w:szCs w:val="12"/>
          <w:color w:val="auto"/>
        </w:rPr>
        <w:t>4.3.9. The Borrower's obligations under clause 4.3.8 above shall, subject to the last sentence of clause 4.3.7 above, be absolute and unconditional under any and all circumstances and irrespective of the occurrence of any Equipment Facility Default or Equipment Facility Event of Default or any condition precedent whatsoever or any set-off, counterclaim or defence to payment which the Borrower may have or have had against the Bank or any beneficiary of an Equipment L/C.</w:t>
      </w:r>
    </w:p>
    <w:p>
      <w:pPr>
        <w:spacing w:after="0" w:line="273"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- 16 -</w:t>
      </w:r>
    </w:p>
    <w:p>
      <w:pPr>
        <w:spacing w:after="0" w:line="391" w:lineRule="exact"/>
        <w:rPr>
          <w:sz w:val="20"/>
          <w:szCs w:val="20"/>
          <w:color w:val="auto"/>
        </w:rPr>
      </w:pPr>
    </w:p>
    <w:p>
      <w:pPr>
        <w:ind w:left="340" w:right="4619" w:hanging="350"/>
        <w:spacing w:after="0" w:line="237" w:lineRule="auto"/>
        <w:rPr>
          <w:sz w:val="20"/>
          <w:szCs w:val="20"/>
          <w:color w:val="auto"/>
        </w:rPr>
      </w:pPr>
      <w:r>
        <w:rPr>
          <w:rFonts w:ascii="Courier New" w:cs="Courier New" w:eastAsia="Courier New" w:hAnsi="Courier New"/>
          <w:sz w:val="12"/>
          <w:szCs w:val="12"/>
          <w:color w:val="auto"/>
        </w:rPr>
        <w:t>4.3.10. The Bank shall subject to the last sentence of clause 4.3.7 above, be entitled to rely and shall be fully protected in relying upon, any Equipment L/C, draft, resolution, written notice, written consent, certificate, affidavit, letter, cablegram, telegram, telecopy, telex or teletype message, statement, Order or other document believed by it to be genuine and correct and to have been signed, sent or made by the proper person or persons, provided that any of the above may be transmitted by facsimile or electronic transmission, if permitted by the Equipment L/C.</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4.3.11. The Borrower's obligations under clause 4.3.8 above shall,</w:t>
      </w:r>
    </w:p>
    <w:p>
      <w:pPr>
        <w:ind w:left="340"/>
        <w:spacing w:after="0"/>
        <w:rPr>
          <w:sz w:val="20"/>
          <w:szCs w:val="20"/>
          <w:color w:val="auto"/>
        </w:rPr>
      </w:pPr>
      <w:r>
        <w:rPr>
          <w:rFonts w:ascii="Courier New" w:cs="Courier New" w:eastAsia="Courier New" w:hAnsi="Courier New"/>
          <w:sz w:val="12"/>
          <w:szCs w:val="12"/>
          <w:color w:val="auto"/>
        </w:rPr>
        <w:t>subject to the last sentence of clause 4.3.7 above, not be</w:t>
      </w:r>
    </w:p>
    <w:p>
      <w:pPr>
        <w:ind w:left="340"/>
        <w:spacing w:after="0" w:line="237" w:lineRule="auto"/>
        <w:rPr>
          <w:sz w:val="20"/>
          <w:szCs w:val="20"/>
          <w:color w:val="auto"/>
        </w:rPr>
      </w:pPr>
      <w:r>
        <w:rPr>
          <w:rFonts w:ascii="Courier New" w:cs="Courier New" w:eastAsia="Courier New" w:hAnsi="Courier New"/>
          <w:sz w:val="12"/>
          <w:szCs w:val="12"/>
          <w:color w:val="auto"/>
        </w:rPr>
        <w:t>affected by any act, omission, matter or thing which, but for</w:t>
      </w:r>
    </w:p>
    <w:p>
      <w:pPr>
        <w:ind w:left="340"/>
        <w:spacing w:after="0"/>
        <w:rPr>
          <w:sz w:val="20"/>
          <w:szCs w:val="20"/>
          <w:color w:val="auto"/>
        </w:rPr>
      </w:pPr>
      <w:r>
        <w:rPr>
          <w:rFonts w:ascii="Courier New" w:cs="Courier New" w:eastAsia="Courier New" w:hAnsi="Courier New"/>
          <w:sz w:val="12"/>
          <w:szCs w:val="12"/>
          <w:color w:val="auto"/>
        </w:rPr>
        <w:t>this provision, might reduce, release or prejudice any of its</w:t>
      </w:r>
    </w:p>
    <w:p>
      <w:pPr>
        <w:ind w:left="340"/>
        <w:spacing w:after="0" w:line="237" w:lineRule="auto"/>
        <w:rPr>
          <w:sz w:val="20"/>
          <w:szCs w:val="20"/>
          <w:color w:val="auto"/>
        </w:rPr>
      </w:pPr>
      <w:r>
        <w:rPr>
          <w:rFonts w:ascii="Courier New" w:cs="Courier New" w:eastAsia="Courier New" w:hAnsi="Courier New"/>
          <w:sz w:val="12"/>
          <w:szCs w:val="12"/>
          <w:color w:val="auto"/>
        </w:rPr>
        <w:t>obligations under clause 4.3.8 above in whole or in part,</w:t>
      </w:r>
    </w:p>
    <w:p>
      <w:pPr>
        <w:ind w:left="340"/>
        <w:spacing w:after="0"/>
        <w:rPr>
          <w:sz w:val="20"/>
          <w:szCs w:val="20"/>
          <w:color w:val="auto"/>
        </w:rPr>
      </w:pPr>
      <w:r>
        <w:rPr>
          <w:rFonts w:ascii="Courier New" w:cs="Courier New" w:eastAsia="Courier New" w:hAnsi="Courier New"/>
          <w:sz w:val="12"/>
          <w:szCs w:val="12"/>
          <w:color w:val="auto"/>
        </w:rPr>
        <w:t>including and whether or not known to it:</w:t>
      </w:r>
    </w:p>
    <w:p>
      <w:pPr>
        <w:spacing w:after="0" w:line="13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4.3.11.1. any time or waiver granted to or composition with the</w:t>
      </w:r>
    </w:p>
    <w:p>
      <w:pPr>
        <w:jc w:val="center"/>
        <w:ind w:right="4419"/>
        <w:spacing w:after="0"/>
        <w:rPr>
          <w:sz w:val="20"/>
          <w:szCs w:val="20"/>
          <w:color w:val="auto"/>
        </w:rPr>
      </w:pPr>
      <w:r>
        <w:rPr>
          <w:rFonts w:ascii="Courier New" w:cs="Courier New" w:eastAsia="Courier New" w:hAnsi="Courier New"/>
          <w:sz w:val="12"/>
          <w:szCs w:val="12"/>
          <w:color w:val="auto"/>
        </w:rPr>
        <w:t>beneficiary of any Equipment L/C or any other person;</w:t>
      </w:r>
    </w:p>
    <w:p>
      <w:pPr>
        <w:spacing w:after="0" w:line="138"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4.3.11.2. any taking, variation, compromise, exchange, renewal or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release of, or refusal or neglect to perfect, take up or</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enforce, any rights, remedies or securities available to any</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Bank or other person or arising under any Equipment L/C; and</w:t>
      </w:r>
    </w:p>
    <w:p>
      <w:pPr>
        <w:sectPr>
          <w:pgSz w:w="11900" w:h="16895" w:orient="portrait"/>
          <w:cols w:equalWidth="0" w:num="1">
            <w:col w:w="9539"/>
          </w:cols>
          <w:pgMar w:left="920" w:top="407" w:right="1440" w:bottom="0" w:gutter="0" w:footer="0" w:header="0"/>
        </w:sectPr>
      </w:pPr>
    </w:p>
    <w:bookmarkStart w:id="82" w:name="page83"/>
    <w:bookmarkEnd w:id="82"/>
    <w:p>
      <w:pPr>
        <w:spacing w:after="0" w:line="63"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4.3.11.3. any unenforceability, illegality or invalidity of any</w:t>
      </w:r>
    </w:p>
    <w:p>
      <w:pPr>
        <w:ind w:left="1408"/>
        <w:spacing w:after="0"/>
        <w:rPr>
          <w:sz w:val="20"/>
          <w:szCs w:val="20"/>
          <w:color w:val="auto"/>
        </w:rPr>
      </w:pPr>
      <w:r>
        <w:rPr>
          <w:rFonts w:ascii="Courier New" w:cs="Courier New" w:eastAsia="Courier New" w:hAnsi="Courier New"/>
          <w:sz w:val="12"/>
          <w:szCs w:val="12"/>
          <w:color w:val="auto"/>
        </w:rPr>
        <w:t>Equipment L/C (so that the Borrower's obligations under</w:t>
      </w:r>
    </w:p>
    <w:p>
      <w:pPr>
        <w:ind w:left="1408"/>
        <w:spacing w:after="0" w:line="237" w:lineRule="auto"/>
        <w:rPr>
          <w:sz w:val="20"/>
          <w:szCs w:val="20"/>
          <w:color w:val="auto"/>
        </w:rPr>
      </w:pPr>
      <w:r>
        <w:rPr>
          <w:rFonts w:ascii="Courier New" w:cs="Courier New" w:eastAsia="Courier New" w:hAnsi="Courier New"/>
          <w:sz w:val="12"/>
          <w:szCs w:val="12"/>
          <w:color w:val="auto"/>
        </w:rPr>
        <w:t>clause 4.3.8 above shall remain in full force and be</w:t>
      </w:r>
    </w:p>
    <w:p>
      <w:pPr>
        <w:ind w:left="1408"/>
        <w:spacing w:after="0"/>
        <w:rPr>
          <w:sz w:val="20"/>
          <w:szCs w:val="20"/>
          <w:color w:val="auto"/>
        </w:rPr>
      </w:pPr>
      <w:r>
        <w:rPr>
          <w:rFonts w:ascii="Courier New" w:cs="Courier New" w:eastAsia="Courier New" w:hAnsi="Courier New"/>
          <w:sz w:val="12"/>
          <w:szCs w:val="12"/>
          <w:color w:val="auto"/>
        </w:rPr>
        <w:t>construed as if there were not such defect).</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4.3.12. The indemnity under clause 4.3.8 above is a continuing</w:t>
      </w:r>
    </w:p>
    <w:p>
      <w:pPr>
        <w:ind w:left="1048"/>
        <w:spacing w:after="0"/>
        <w:rPr>
          <w:sz w:val="20"/>
          <w:szCs w:val="20"/>
          <w:color w:val="auto"/>
        </w:rPr>
      </w:pPr>
      <w:r>
        <w:rPr>
          <w:rFonts w:ascii="Courier New" w:cs="Courier New" w:eastAsia="Courier New" w:hAnsi="Courier New"/>
          <w:sz w:val="12"/>
          <w:szCs w:val="12"/>
          <w:color w:val="auto"/>
        </w:rPr>
        <w:t>indemnity, extends to the ultimate balance of the Borrower's</w:t>
      </w:r>
    </w:p>
    <w:p>
      <w:pPr>
        <w:ind w:left="1048"/>
        <w:spacing w:after="0" w:line="237" w:lineRule="auto"/>
        <w:rPr>
          <w:sz w:val="20"/>
          <w:szCs w:val="20"/>
          <w:color w:val="auto"/>
        </w:rPr>
      </w:pPr>
      <w:r>
        <w:rPr>
          <w:rFonts w:ascii="Courier New" w:cs="Courier New" w:eastAsia="Courier New" w:hAnsi="Courier New"/>
          <w:sz w:val="12"/>
          <w:szCs w:val="12"/>
          <w:color w:val="auto"/>
        </w:rPr>
        <w:t>obligations and liabilities under clause 4.3.8 above and shall</w:t>
      </w:r>
    </w:p>
    <w:p>
      <w:pPr>
        <w:ind w:left="1048"/>
        <w:spacing w:after="0"/>
        <w:rPr>
          <w:sz w:val="20"/>
          <w:szCs w:val="20"/>
          <w:color w:val="auto"/>
        </w:rPr>
      </w:pPr>
      <w:r>
        <w:rPr>
          <w:rFonts w:ascii="Courier New" w:cs="Courier New" w:eastAsia="Courier New" w:hAnsi="Courier New"/>
          <w:sz w:val="12"/>
          <w:szCs w:val="12"/>
          <w:color w:val="auto"/>
        </w:rPr>
        <w:t>continue in force notwithstanding any intermediate payment in</w:t>
      </w:r>
    </w:p>
    <w:p>
      <w:pPr>
        <w:ind w:left="1048"/>
        <w:spacing w:after="0" w:line="237" w:lineRule="auto"/>
        <w:rPr>
          <w:sz w:val="20"/>
          <w:szCs w:val="20"/>
          <w:color w:val="auto"/>
        </w:rPr>
      </w:pPr>
      <w:r>
        <w:rPr>
          <w:rFonts w:ascii="Courier New" w:cs="Courier New" w:eastAsia="Courier New" w:hAnsi="Courier New"/>
          <w:sz w:val="12"/>
          <w:szCs w:val="12"/>
          <w:color w:val="auto"/>
        </w:rPr>
        <w:t>whole or in part of those obligations or liabilities.</w:t>
      </w:r>
    </w:p>
    <w:p>
      <w:pPr>
        <w:spacing w:after="0" w:line="134" w:lineRule="exact"/>
        <w:rPr>
          <w:sz w:val="20"/>
          <w:szCs w:val="20"/>
          <w:color w:val="auto"/>
        </w:rPr>
      </w:pPr>
    </w:p>
    <w:p>
      <w:pPr>
        <w:ind w:left="348" w:hanging="348"/>
        <w:spacing w:after="0"/>
        <w:tabs>
          <w:tab w:leader="none" w:pos="348" w:val="left"/>
        </w:tabs>
        <w:numPr>
          <w:ilvl w:val="0"/>
          <w:numId w:val="11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REPAYMENT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5.1. REPAYMENT OF LOANS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Borrower shall repay each Equipment Loan in full upon the earlier</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(a) the Final Equipment Facility Maturity date; and (b) the</w:t>
      </w:r>
    </w:p>
    <w:p>
      <w:pPr>
        <w:ind w:left="708"/>
        <w:spacing w:after="0"/>
        <w:rPr>
          <w:sz w:val="20"/>
          <w:szCs w:val="20"/>
          <w:color w:val="auto"/>
        </w:rPr>
      </w:pPr>
      <w:r>
        <w:rPr>
          <w:rFonts w:ascii="Courier New" w:cs="Courier New" w:eastAsia="Courier New" w:hAnsi="Courier New"/>
          <w:sz w:val="12"/>
          <w:szCs w:val="12"/>
          <w:color w:val="auto"/>
        </w:rPr>
        <w:t>Business Day immediately following, the second anniversary of the</w:t>
      </w:r>
    </w:p>
    <w:p>
      <w:pPr>
        <w:ind w:left="708"/>
        <w:spacing w:after="0" w:line="237" w:lineRule="auto"/>
        <w:rPr>
          <w:sz w:val="20"/>
          <w:szCs w:val="20"/>
          <w:color w:val="auto"/>
        </w:rPr>
      </w:pPr>
      <w:r>
        <w:rPr>
          <w:rFonts w:ascii="Courier New" w:cs="Courier New" w:eastAsia="Courier New" w:hAnsi="Courier New"/>
          <w:sz w:val="12"/>
          <w:szCs w:val="12"/>
          <w:color w:val="auto"/>
        </w:rPr>
        <w:t>making of such Equipment Loan, subject to mandatory prepayment in</w:t>
      </w:r>
    </w:p>
    <w:p>
      <w:pPr>
        <w:ind w:left="708"/>
        <w:spacing w:after="0"/>
        <w:rPr>
          <w:sz w:val="20"/>
          <w:szCs w:val="20"/>
          <w:color w:val="auto"/>
        </w:rPr>
      </w:pPr>
      <w:r>
        <w:rPr>
          <w:rFonts w:ascii="Courier New" w:cs="Courier New" w:eastAsia="Courier New" w:hAnsi="Courier New"/>
          <w:sz w:val="12"/>
          <w:szCs w:val="12"/>
          <w:color w:val="auto"/>
        </w:rPr>
        <w:t>accordance with clause 6 below.</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- 17 -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5.2. PAYMENT OF ALL OTHER SUMS DUE ON THE FINAL MATURITY DATE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On the Final Equipment Facility Maturity Date, the Borrower</w:t>
      </w:r>
    </w:p>
    <w:p>
      <w:pPr>
        <w:ind w:left="708"/>
        <w:spacing w:after="0"/>
        <w:rPr>
          <w:sz w:val="20"/>
          <w:szCs w:val="20"/>
          <w:color w:val="auto"/>
        </w:rPr>
      </w:pPr>
      <w:r>
        <w:rPr>
          <w:rFonts w:ascii="Courier New" w:cs="Courier New" w:eastAsia="Courier New" w:hAnsi="Courier New"/>
          <w:sz w:val="12"/>
          <w:szCs w:val="12"/>
          <w:color w:val="auto"/>
        </w:rPr>
        <w:t>additionally shall pay to the Bank all other sums then outstanding</w:t>
      </w:r>
    </w:p>
    <w:p>
      <w:pPr>
        <w:ind w:left="708"/>
        <w:spacing w:after="0" w:line="237" w:lineRule="auto"/>
        <w:rPr>
          <w:sz w:val="20"/>
          <w:szCs w:val="20"/>
          <w:color w:val="auto"/>
        </w:rPr>
      </w:pPr>
      <w:r>
        <w:rPr>
          <w:rFonts w:ascii="Courier New" w:cs="Courier New" w:eastAsia="Courier New" w:hAnsi="Courier New"/>
          <w:sz w:val="12"/>
          <w:szCs w:val="12"/>
          <w:color w:val="auto"/>
        </w:rPr>
        <w:t>under this Agreement.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5.3. REPAYMENT IN CURRENCY OF LOAN</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For the removal of doubt, each Equipment Loan, as well as all Interest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thereon, shall be repaid in US Dollars.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5.4. REPAYMENTS (INCLUDING PREPAYMENT) TO CHARGED ACCOUNT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repayments as aforesaid and all prepayments (in accordance with</w:t>
      </w:r>
    </w:p>
    <w:p>
      <w:pPr>
        <w:ind w:left="708"/>
        <w:spacing w:after="0"/>
        <w:rPr>
          <w:sz w:val="20"/>
          <w:szCs w:val="20"/>
          <w:color w:val="auto"/>
        </w:rPr>
      </w:pPr>
      <w:r>
        <w:rPr>
          <w:rFonts w:ascii="Courier New" w:cs="Courier New" w:eastAsia="Courier New" w:hAnsi="Courier New"/>
          <w:sz w:val="12"/>
          <w:szCs w:val="12"/>
          <w:color w:val="auto"/>
        </w:rPr>
        <w:t>clause 6 below) shall be made by transfer to the Bank to the Charged</w:t>
      </w:r>
    </w:p>
    <w:p>
      <w:pPr>
        <w:ind w:left="708"/>
        <w:spacing w:after="0" w:line="237" w:lineRule="auto"/>
        <w:rPr>
          <w:sz w:val="20"/>
          <w:szCs w:val="20"/>
          <w:color w:val="auto"/>
        </w:rPr>
      </w:pPr>
      <w:r>
        <w:rPr>
          <w:rFonts w:ascii="Courier New" w:cs="Courier New" w:eastAsia="Courier New" w:hAnsi="Courier New"/>
          <w:sz w:val="12"/>
          <w:szCs w:val="12"/>
          <w:color w:val="auto"/>
        </w:rPr>
        <w:t>Account.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5.5. NO REBORROWING</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shall not be entitled to reborrow any part of an</w:t>
      </w:r>
    </w:p>
    <w:p>
      <w:pPr>
        <w:ind w:left="708"/>
        <w:spacing w:after="0"/>
        <w:rPr>
          <w:sz w:val="20"/>
          <w:szCs w:val="20"/>
          <w:color w:val="auto"/>
        </w:rPr>
      </w:pPr>
      <w:r>
        <w:rPr>
          <w:rFonts w:ascii="Courier New" w:cs="Courier New" w:eastAsia="Courier New" w:hAnsi="Courier New"/>
          <w:sz w:val="12"/>
          <w:szCs w:val="12"/>
          <w:color w:val="auto"/>
        </w:rPr>
        <w:t>Equipment Loan which is repaid. For removal of doubt: (a) the expiry</w:t>
      </w:r>
    </w:p>
    <w:p>
      <w:pPr>
        <w:ind w:left="708"/>
        <w:spacing w:after="0" w:line="237" w:lineRule="auto"/>
        <w:rPr>
          <w:sz w:val="20"/>
          <w:szCs w:val="20"/>
          <w:color w:val="auto"/>
        </w:rPr>
      </w:pPr>
      <w:r>
        <w:rPr>
          <w:rFonts w:ascii="Courier New" w:cs="Courier New" w:eastAsia="Courier New" w:hAnsi="Courier New"/>
          <w:sz w:val="12"/>
          <w:szCs w:val="12"/>
          <w:color w:val="auto"/>
        </w:rPr>
        <w:t>of an Equipment L/C (to the extent that it is not converted into an</w:t>
      </w:r>
    </w:p>
    <w:p>
      <w:pPr>
        <w:ind w:left="708"/>
        <w:spacing w:after="0"/>
        <w:rPr>
          <w:sz w:val="20"/>
          <w:szCs w:val="20"/>
          <w:color w:val="auto"/>
        </w:rPr>
      </w:pPr>
      <w:r>
        <w:rPr>
          <w:rFonts w:ascii="Courier New" w:cs="Courier New" w:eastAsia="Courier New" w:hAnsi="Courier New"/>
          <w:sz w:val="12"/>
          <w:szCs w:val="12"/>
          <w:color w:val="auto"/>
        </w:rPr>
        <w:t>Equipment Loan pursuant to clause 4.3.6 above) shall not reduce the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Commitment; and (b) the making of an Equipment Loan pursuant to clause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4.3.6 in respect of an Equipment L/C shall not constitute a</w:t>
      </w:r>
    </w:p>
    <w:p>
      <w:pPr>
        <w:ind w:left="708"/>
        <w:spacing w:after="0"/>
        <w:rPr>
          <w:sz w:val="20"/>
          <w:szCs w:val="20"/>
          <w:color w:val="auto"/>
        </w:rPr>
      </w:pPr>
      <w:r>
        <w:rPr>
          <w:rFonts w:ascii="Courier New" w:cs="Courier New" w:eastAsia="Courier New" w:hAnsi="Courier New"/>
          <w:sz w:val="12"/>
          <w:szCs w:val="12"/>
          <w:color w:val="auto"/>
        </w:rPr>
        <w:t>re-borrowing.</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5.6. CANCELLATION OF COMMITMENT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For the removal of doubt and subject to the clarifications set forth</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clause 5.5 above with respect to Equipment L/Cs, the Commitment of</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Bank shall be cancelled by any amount repaid or prepaid under this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Agreement.</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- 18 -</w:t>
      </w:r>
    </w:p>
    <w:p>
      <w:pPr>
        <w:spacing w:after="0" w:line="386" w:lineRule="exact"/>
        <w:rPr>
          <w:sz w:val="20"/>
          <w:szCs w:val="20"/>
          <w:color w:val="auto"/>
        </w:rPr>
      </w:pPr>
    </w:p>
    <w:p>
      <w:pPr>
        <w:ind w:left="348" w:hanging="348"/>
        <w:spacing w:after="0"/>
        <w:tabs>
          <w:tab w:leader="none" w:pos="348" w:val="left"/>
        </w:tabs>
        <w:numPr>
          <w:ilvl w:val="0"/>
          <w:numId w:val="11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PREPAYMENT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6.1. VOLUNTARY PREPAYMENT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provisions of clause 7 ("VOLUNTARY PREPAYMENTS") of the Facility</w:t>
      </w:r>
    </w:p>
    <w:p>
      <w:pPr>
        <w:ind w:left="708"/>
        <w:spacing w:after="0"/>
        <w:rPr>
          <w:sz w:val="20"/>
          <w:szCs w:val="20"/>
          <w:color w:val="auto"/>
        </w:rPr>
      </w:pPr>
      <w:r>
        <w:rPr>
          <w:rFonts w:ascii="Courier New" w:cs="Courier New" w:eastAsia="Courier New" w:hAnsi="Courier New"/>
          <w:sz w:val="12"/>
          <w:szCs w:val="12"/>
          <w:color w:val="auto"/>
        </w:rPr>
        <w:t>Agreement are hereby incorporated by reference and shall apply,</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MUTATIS MUTANDIS, as if all references therein to the "Banks" and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"Loans" were references to the "Bank" and "Equipment Loans",</w:t>
      </w:r>
    </w:p>
    <w:p>
      <w:pPr>
        <w:ind w:left="708"/>
        <w:spacing w:after="0"/>
        <w:rPr>
          <w:sz w:val="20"/>
          <w:szCs w:val="20"/>
          <w:color w:val="auto"/>
        </w:rPr>
      </w:pPr>
      <w:r>
        <w:rPr>
          <w:rFonts w:ascii="Courier New" w:cs="Courier New" w:eastAsia="Courier New" w:hAnsi="Courier New"/>
          <w:sz w:val="12"/>
          <w:szCs w:val="12"/>
          <w:color w:val="auto"/>
        </w:rPr>
        <w:t>respectively, each reference to a "Proportion" of a Loan shall be</w:t>
      </w:r>
    </w:p>
    <w:p>
      <w:pPr>
        <w:ind w:left="708"/>
        <w:spacing w:after="0" w:line="237" w:lineRule="auto"/>
        <w:rPr>
          <w:sz w:val="20"/>
          <w:szCs w:val="20"/>
          <w:color w:val="auto"/>
        </w:rPr>
      </w:pPr>
      <w:r>
        <w:rPr>
          <w:rFonts w:ascii="Courier New" w:cs="Courier New" w:eastAsia="Courier New" w:hAnsi="Courier New"/>
          <w:sz w:val="12"/>
          <w:szCs w:val="12"/>
          <w:color w:val="auto"/>
        </w:rPr>
        <w:t>deemed to refer to all of the Equipment Loans provided by the Bank,</w:t>
      </w:r>
    </w:p>
    <w:p>
      <w:pPr>
        <w:ind w:left="708"/>
        <w:spacing w:after="0"/>
        <w:rPr>
          <w:sz w:val="20"/>
          <w:szCs w:val="20"/>
          <w:color w:val="auto"/>
        </w:rPr>
      </w:pPr>
      <w:r>
        <w:rPr>
          <w:rFonts w:ascii="Courier New" w:cs="Courier New" w:eastAsia="Courier New" w:hAnsi="Courier New"/>
          <w:sz w:val="12"/>
          <w:szCs w:val="12"/>
          <w:color w:val="auto"/>
        </w:rPr>
        <w:t>and the reference in clause 7.1 of the Facility Agreement to "US</w:t>
      </w:r>
    </w:p>
    <w:p>
      <w:pPr>
        <w:ind w:left="708"/>
        <w:spacing w:after="0" w:line="237" w:lineRule="auto"/>
        <w:rPr>
          <w:sz w:val="20"/>
          <w:szCs w:val="20"/>
          <w:color w:val="auto"/>
        </w:rPr>
      </w:pPr>
      <w:r>
        <w:rPr>
          <w:rFonts w:ascii="Courier New" w:cs="Courier New" w:eastAsia="Courier New" w:hAnsi="Courier New"/>
          <w:sz w:val="12"/>
          <w:szCs w:val="12"/>
          <w:color w:val="auto"/>
        </w:rPr>
        <w:t>$10,000,000 (ten million United States Dollars)" shall be replaced</w:t>
      </w:r>
    </w:p>
    <w:p>
      <w:pPr>
        <w:ind w:left="708"/>
        <w:spacing w:after="0"/>
        <w:rPr>
          <w:sz w:val="20"/>
          <w:szCs w:val="20"/>
          <w:color w:val="auto"/>
        </w:rPr>
      </w:pPr>
      <w:r>
        <w:rPr>
          <w:rFonts w:ascii="Courier New" w:cs="Courier New" w:eastAsia="Courier New" w:hAnsi="Courier New"/>
          <w:sz w:val="12"/>
          <w:szCs w:val="12"/>
          <w:color w:val="auto"/>
        </w:rPr>
        <w:t>with "US $1,000,000 (one million United States Dollars)". For the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avoidance of doubt, the term "Total Outstanding" in clause 7.5 of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Facility Agreement refers only to the Loans under the Facility</w:t>
      </w:r>
    </w:p>
    <w:p>
      <w:pPr>
        <w:ind w:left="708"/>
        <w:spacing w:after="0"/>
        <w:rPr>
          <w:sz w:val="20"/>
          <w:szCs w:val="20"/>
          <w:color w:val="auto"/>
        </w:rPr>
      </w:pPr>
      <w:r>
        <w:rPr>
          <w:rFonts w:ascii="Courier New" w:cs="Courier New" w:eastAsia="Courier New" w:hAnsi="Courier New"/>
          <w:sz w:val="12"/>
          <w:szCs w:val="12"/>
          <w:color w:val="auto"/>
        </w:rPr>
        <w:t>Agreement and not to the Equipment Loans that may be made hereunder.</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6.2. MANDATORY PREPAYMENT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6.2.1. Upon the occurrence of a Triggering Quarter, the Borrower</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shall, immediately and on a PRO RATA basis, prepay the Equipment</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Loans and/or deposit funds in the Charged Account with respect to</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outstanding Equipment L/C's issued by the Bank at a rate of</w:t>
      </w:r>
    </w:p>
    <w:p>
      <w:pPr>
        <w:ind w:left="1048"/>
        <w:spacing w:after="0"/>
        <w:rPr>
          <w:sz w:val="20"/>
          <w:szCs w:val="20"/>
          <w:color w:val="auto"/>
        </w:rPr>
      </w:pPr>
      <w:r>
        <w:rPr>
          <w:rFonts w:ascii="Courier New" w:cs="Courier New" w:eastAsia="Courier New" w:hAnsi="Courier New"/>
          <w:sz w:val="12"/>
          <w:szCs w:val="12"/>
          <w:color w:val="auto"/>
        </w:rPr>
        <w:t>US $3,750,000 (three million seven hundred and fifty thousand</w:t>
      </w:r>
    </w:p>
    <w:p>
      <w:pPr>
        <w:ind w:left="1048"/>
        <w:spacing w:after="0" w:line="237" w:lineRule="auto"/>
        <w:rPr>
          <w:sz w:val="20"/>
          <w:szCs w:val="20"/>
          <w:color w:val="auto"/>
        </w:rPr>
      </w:pPr>
      <w:r>
        <w:rPr>
          <w:rFonts w:ascii="Courier New" w:cs="Courier New" w:eastAsia="Courier New" w:hAnsi="Courier New"/>
          <w:sz w:val="12"/>
          <w:szCs w:val="12"/>
          <w:color w:val="auto"/>
        </w:rPr>
        <w:t>United States Dollars) per Quarter, commencing on the last</w:t>
      </w:r>
    </w:p>
    <w:p>
      <w:pPr>
        <w:ind w:left="1048"/>
        <w:spacing w:after="0"/>
        <w:rPr>
          <w:sz w:val="20"/>
          <w:szCs w:val="20"/>
          <w:color w:val="auto"/>
        </w:rPr>
      </w:pPr>
      <w:r>
        <w:rPr>
          <w:rFonts w:ascii="Courier New" w:cs="Courier New" w:eastAsia="Courier New" w:hAnsi="Courier New"/>
          <w:sz w:val="12"/>
          <w:szCs w:val="12"/>
          <w:color w:val="auto"/>
        </w:rPr>
        <w:t>Business Day of each Quarter following the Triggering Quarter</w:t>
      </w:r>
    </w:p>
    <w:p>
      <w:pPr>
        <w:ind w:left="1048"/>
        <w:spacing w:after="0" w:line="237" w:lineRule="auto"/>
        <w:rPr>
          <w:sz w:val="20"/>
          <w:szCs w:val="20"/>
          <w:color w:val="auto"/>
        </w:rPr>
      </w:pPr>
      <w:r>
        <w:rPr>
          <w:rFonts w:ascii="Courier New" w:cs="Courier New" w:eastAsia="Courier New" w:hAnsi="Courier New"/>
          <w:sz w:val="12"/>
          <w:szCs w:val="12"/>
          <w:color w:val="auto"/>
        </w:rPr>
        <w:t>until the Equipment Loans are fully paid and until there shall</w:t>
      </w:r>
    </w:p>
    <w:p>
      <w:pPr>
        <w:ind w:left="1048"/>
        <w:spacing w:after="0"/>
        <w:rPr>
          <w:sz w:val="20"/>
          <w:szCs w:val="20"/>
          <w:color w:val="auto"/>
        </w:rPr>
      </w:pPr>
      <w:r>
        <w:rPr>
          <w:rFonts w:ascii="Courier New" w:cs="Courier New" w:eastAsia="Courier New" w:hAnsi="Courier New"/>
          <w:sz w:val="12"/>
          <w:szCs w:val="12"/>
          <w:color w:val="auto"/>
        </w:rPr>
        <w:t>have been deposited in the Charged Account and duly pledged in</w:t>
      </w:r>
    </w:p>
    <w:p>
      <w:pPr>
        <w:ind w:left="1048"/>
        <w:spacing w:after="0" w:line="237" w:lineRule="auto"/>
        <w:rPr>
          <w:sz w:val="20"/>
          <w:szCs w:val="20"/>
          <w:color w:val="auto"/>
        </w:rPr>
      </w:pPr>
      <w:r>
        <w:rPr>
          <w:rFonts w:ascii="Courier New" w:cs="Courier New" w:eastAsia="Courier New" w:hAnsi="Courier New"/>
          <w:sz w:val="12"/>
          <w:szCs w:val="12"/>
          <w:color w:val="auto"/>
        </w:rPr>
        <w:t>accordance with clause 4.3.2.4 above, an amount equal to the</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Maximum Drawing Amounts of all outstanding Equipment L/C's issued</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by the Bank.</w:t>
      </w:r>
    </w:p>
    <w:p>
      <w:pPr>
        <w:spacing w:after="0" w:line="134"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For the avoidance of doubt and by way of illustration only, if</w:t>
      </w:r>
    </w:p>
    <w:p>
      <w:pPr>
        <w:ind w:left="1048"/>
        <w:spacing w:after="0"/>
        <w:rPr>
          <w:sz w:val="20"/>
          <w:szCs w:val="20"/>
          <w:color w:val="auto"/>
        </w:rPr>
      </w:pPr>
      <w:r>
        <w:rPr>
          <w:rFonts w:ascii="Courier New" w:cs="Courier New" w:eastAsia="Courier New" w:hAnsi="Courier New"/>
          <w:sz w:val="12"/>
          <w:szCs w:val="12"/>
          <w:color w:val="auto"/>
        </w:rPr>
        <w:t>the Triggering Quarter is the Quarter ended March 31, 2008 and</w:t>
      </w:r>
    </w:p>
    <w:p>
      <w:pPr>
        <w:ind w:left="1048"/>
        <w:spacing w:after="0" w:line="237" w:lineRule="auto"/>
        <w:rPr>
          <w:sz w:val="20"/>
          <w:szCs w:val="20"/>
          <w:color w:val="auto"/>
        </w:rPr>
      </w:pPr>
      <w:r>
        <w:rPr>
          <w:rFonts w:ascii="Courier New" w:cs="Courier New" w:eastAsia="Courier New" w:hAnsi="Courier New"/>
          <w:sz w:val="12"/>
          <w:szCs w:val="12"/>
          <w:color w:val="auto"/>
        </w:rPr>
        <w:t>the then outstanding Equipment Facility Credits aggregate US</w:t>
      </w:r>
    </w:p>
    <w:p>
      <w:pPr>
        <w:ind w:left="1048"/>
        <w:spacing w:after="0"/>
        <w:rPr>
          <w:sz w:val="20"/>
          <w:szCs w:val="20"/>
          <w:color w:val="auto"/>
        </w:rPr>
      </w:pPr>
      <w:r>
        <w:rPr>
          <w:rFonts w:ascii="Courier New" w:cs="Courier New" w:eastAsia="Courier New" w:hAnsi="Courier New"/>
          <w:sz w:val="12"/>
          <w:szCs w:val="12"/>
          <w:color w:val="auto"/>
        </w:rPr>
        <w:t>$15,000,000 (fifteen million United States Dollars), consisting</w:t>
      </w:r>
    </w:p>
    <w:p>
      <w:pPr>
        <w:ind w:left="1048"/>
        <w:spacing w:after="0" w:line="237" w:lineRule="auto"/>
        <w:rPr>
          <w:sz w:val="20"/>
          <w:szCs w:val="20"/>
          <w:color w:val="auto"/>
        </w:rPr>
      </w:pPr>
      <w:r>
        <w:rPr>
          <w:rFonts w:ascii="Courier New" w:cs="Courier New" w:eastAsia="Courier New" w:hAnsi="Courier New"/>
          <w:sz w:val="12"/>
          <w:szCs w:val="12"/>
          <w:color w:val="auto"/>
        </w:rPr>
        <w:t>of US $10,000,000 (ten million United States Dollars) in</w:t>
      </w:r>
    </w:p>
    <w:p>
      <w:pPr>
        <w:ind w:left="1048"/>
        <w:spacing w:after="0"/>
        <w:rPr>
          <w:sz w:val="20"/>
          <w:szCs w:val="20"/>
          <w:color w:val="auto"/>
        </w:rPr>
      </w:pPr>
      <w:r>
        <w:rPr>
          <w:rFonts w:ascii="Courier New" w:cs="Courier New" w:eastAsia="Courier New" w:hAnsi="Courier New"/>
          <w:sz w:val="12"/>
          <w:szCs w:val="12"/>
          <w:color w:val="auto"/>
        </w:rPr>
        <w:t>Equipment loans and US $5,000,000 (five million United States</w:t>
      </w:r>
    </w:p>
    <w:p>
      <w:pPr>
        <w:ind w:left="1048"/>
        <w:spacing w:after="0" w:line="237" w:lineRule="auto"/>
        <w:rPr>
          <w:sz w:val="20"/>
          <w:szCs w:val="20"/>
          <w:color w:val="auto"/>
        </w:rPr>
      </w:pPr>
      <w:r>
        <w:rPr>
          <w:rFonts w:ascii="Courier New" w:cs="Courier New" w:eastAsia="Courier New" w:hAnsi="Courier New"/>
          <w:sz w:val="12"/>
          <w:szCs w:val="12"/>
          <w:color w:val="auto"/>
        </w:rPr>
        <w:t>Dollars) in Equipment L/C's, the Borrower shall prepay US</w:t>
      </w:r>
    </w:p>
    <w:p>
      <w:pPr>
        <w:ind w:left="1048"/>
        <w:spacing w:after="0"/>
        <w:rPr>
          <w:sz w:val="20"/>
          <w:szCs w:val="20"/>
          <w:color w:val="auto"/>
        </w:rPr>
      </w:pPr>
      <w:r>
        <w:rPr>
          <w:rFonts w:ascii="Courier New" w:cs="Courier New" w:eastAsia="Courier New" w:hAnsi="Courier New"/>
          <w:sz w:val="12"/>
          <w:szCs w:val="12"/>
          <w:color w:val="auto"/>
        </w:rPr>
        <w:t>$2,500,000 (two million five hundred thousand United States</w:t>
      </w:r>
    </w:p>
    <w:p>
      <w:pPr>
        <w:ind w:left="1048"/>
        <w:spacing w:after="0" w:line="237" w:lineRule="auto"/>
        <w:rPr>
          <w:sz w:val="20"/>
          <w:szCs w:val="20"/>
          <w:color w:val="auto"/>
        </w:rPr>
      </w:pPr>
      <w:r>
        <w:rPr>
          <w:rFonts w:ascii="Courier New" w:cs="Courier New" w:eastAsia="Courier New" w:hAnsi="Courier New"/>
          <w:sz w:val="12"/>
          <w:szCs w:val="12"/>
          <w:color w:val="auto"/>
        </w:rPr>
        <w:t>Dollars) of Equipment Loans and deposit US $1,250,000 (one</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million two hundred and fifty thousand United States Dollars) in</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Charged Account, duly pledged in accordance with clause</w:t>
      </w:r>
    </w:p>
    <w:p>
      <w:pPr>
        <w:ind w:left="1048"/>
        <w:spacing w:after="0"/>
        <w:rPr>
          <w:sz w:val="20"/>
          <w:szCs w:val="20"/>
          <w:color w:val="auto"/>
        </w:rPr>
      </w:pPr>
      <w:r>
        <w:rPr>
          <w:rFonts w:ascii="Courier New" w:cs="Courier New" w:eastAsia="Courier New" w:hAnsi="Courier New"/>
          <w:sz w:val="12"/>
          <w:szCs w:val="12"/>
          <w:color w:val="auto"/>
        </w:rPr>
        <w:t>4.3.2.4 above, on the last Business Day of each of the Quarters</w:t>
      </w:r>
    </w:p>
    <w:p>
      <w:pPr>
        <w:ind w:left="1048"/>
        <w:spacing w:after="0" w:line="237" w:lineRule="auto"/>
        <w:rPr>
          <w:sz w:val="20"/>
          <w:szCs w:val="20"/>
          <w:color w:val="auto"/>
        </w:rPr>
      </w:pPr>
      <w:r>
        <w:rPr>
          <w:rFonts w:ascii="Courier New" w:cs="Courier New" w:eastAsia="Courier New" w:hAnsi="Courier New"/>
          <w:sz w:val="12"/>
          <w:szCs w:val="12"/>
          <w:color w:val="auto"/>
        </w:rPr>
        <w:t>ended in June, September and December, 2008 and March, 2009.</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- 19 -</w:t>
      </w:r>
    </w:p>
    <w:p>
      <w:pPr>
        <w:spacing w:after="0" w:line="38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6.2.2. Upon the occurrence of an Accelerated Trigger Quarter, the</w:t>
      </w:r>
    </w:p>
    <w:p>
      <w:pPr>
        <w:ind w:left="1048"/>
        <w:spacing w:after="0"/>
        <w:rPr>
          <w:sz w:val="20"/>
          <w:szCs w:val="20"/>
          <w:color w:val="auto"/>
        </w:rPr>
      </w:pPr>
      <w:r>
        <w:rPr>
          <w:rFonts w:ascii="Courier New" w:cs="Courier New" w:eastAsia="Courier New" w:hAnsi="Courier New"/>
          <w:sz w:val="12"/>
          <w:szCs w:val="12"/>
          <w:color w:val="auto"/>
        </w:rPr>
        <w:t>Borrower shall, immediately and on a PRO RATA basis, prepay the</w:t>
      </w:r>
    </w:p>
    <w:p>
      <w:pPr>
        <w:ind w:left="1048"/>
        <w:spacing w:after="0" w:line="237" w:lineRule="auto"/>
        <w:rPr>
          <w:sz w:val="20"/>
          <w:szCs w:val="20"/>
          <w:color w:val="auto"/>
        </w:rPr>
      </w:pPr>
      <w:r>
        <w:rPr>
          <w:rFonts w:ascii="Courier New" w:cs="Courier New" w:eastAsia="Courier New" w:hAnsi="Courier New"/>
          <w:sz w:val="12"/>
          <w:szCs w:val="12"/>
          <w:color w:val="auto"/>
        </w:rPr>
        <w:t>Equipment Loans to the Bank and/or deposit funds in the Charged</w:t>
      </w:r>
    </w:p>
    <w:p>
      <w:pPr>
        <w:ind w:left="1048"/>
        <w:spacing w:after="0"/>
        <w:rPr>
          <w:sz w:val="20"/>
          <w:szCs w:val="20"/>
          <w:color w:val="auto"/>
        </w:rPr>
      </w:pPr>
      <w:r>
        <w:rPr>
          <w:rFonts w:ascii="Courier New" w:cs="Courier New" w:eastAsia="Courier New" w:hAnsi="Courier New"/>
          <w:sz w:val="12"/>
          <w:szCs w:val="12"/>
          <w:color w:val="auto"/>
        </w:rPr>
        <w:t>Account with respect to Equipment L/C's issued by the Bank at a</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rate of US $6,250,000 (six million two hundred and fifty thousand</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United States Dollars) per Quarter, commencing on the last</w:t>
      </w:r>
    </w:p>
    <w:p>
      <w:pPr>
        <w:sectPr>
          <w:pgSz w:w="11900" w:h="16902" w:orient="portrait"/>
          <w:cols w:equalWidth="0" w:num="1">
            <w:col w:w="10247"/>
          </w:cols>
          <w:pgMar w:left="212" w:top="272" w:right="1440" w:bottom="0" w:gutter="0" w:footer="0" w:header="0"/>
        </w:sectPr>
      </w:pPr>
    </w:p>
    <w:bookmarkStart w:id="83" w:name="page84"/>
    <w:bookmarkEnd w:id="83"/>
    <w:p>
      <w:pPr>
        <w:ind w:left="1048"/>
        <w:spacing w:after="0"/>
        <w:rPr>
          <w:sz w:val="20"/>
          <w:szCs w:val="20"/>
          <w:color w:val="auto"/>
        </w:rPr>
      </w:pPr>
      <w:r>
        <w:rPr>
          <w:rFonts w:ascii="Courier New" w:cs="Courier New" w:eastAsia="Courier New" w:hAnsi="Courier New"/>
          <w:sz w:val="12"/>
          <w:szCs w:val="12"/>
          <w:color w:val="auto"/>
        </w:rPr>
        <w:t>Business Day of each Quarter following the Accelerated Trigger</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Quarter until the Equipment Loans are fully paid and until there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shall have been deposited in the Charged Account with the Bank</w:t>
      </w:r>
    </w:p>
    <w:p>
      <w:pPr>
        <w:ind w:left="1048"/>
        <w:spacing w:after="0"/>
        <w:rPr>
          <w:sz w:val="20"/>
          <w:szCs w:val="20"/>
          <w:color w:val="auto"/>
        </w:rPr>
      </w:pPr>
      <w:r>
        <w:rPr>
          <w:rFonts w:ascii="Courier New" w:cs="Courier New" w:eastAsia="Courier New" w:hAnsi="Courier New"/>
          <w:sz w:val="12"/>
          <w:szCs w:val="12"/>
          <w:color w:val="auto"/>
        </w:rPr>
        <w:t>and duly pledged in accordance with clause 4.3.2.4 above, an</w:t>
      </w:r>
    </w:p>
    <w:p>
      <w:pPr>
        <w:ind w:left="1048"/>
        <w:spacing w:after="0" w:line="237" w:lineRule="auto"/>
        <w:rPr>
          <w:sz w:val="20"/>
          <w:szCs w:val="20"/>
          <w:color w:val="auto"/>
        </w:rPr>
      </w:pPr>
      <w:r>
        <w:rPr>
          <w:rFonts w:ascii="Courier New" w:cs="Courier New" w:eastAsia="Courier New" w:hAnsi="Courier New"/>
          <w:sz w:val="12"/>
          <w:szCs w:val="12"/>
          <w:color w:val="auto"/>
        </w:rPr>
        <w:t>amount equal to Maximum Drawing Amounts of all outstanding</w:t>
      </w:r>
    </w:p>
    <w:p>
      <w:pPr>
        <w:ind w:left="1048"/>
        <w:spacing w:after="0"/>
        <w:rPr>
          <w:sz w:val="20"/>
          <w:szCs w:val="20"/>
          <w:color w:val="auto"/>
        </w:rPr>
      </w:pPr>
      <w:r>
        <w:rPr>
          <w:rFonts w:ascii="Courier New" w:cs="Courier New" w:eastAsia="Courier New" w:hAnsi="Courier New"/>
          <w:sz w:val="12"/>
          <w:szCs w:val="12"/>
          <w:color w:val="auto"/>
        </w:rPr>
        <w:t>Equipment L/C's issued by the Bank.</w:t>
      </w:r>
    </w:p>
    <w:p>
      <w:pPr>
        <w:spacing w:after="0" w:line="133"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For the avoidance of doubt and by way of illustration only, if</w:t>
      </w:r>
    </w:p>
    <w:p>
      <w:pPr>
        <w:ind w:left="1048"/>
        <w:spacing w:after="0"/>
        <w:rPr>
          <w:sz w:val="20"/>
          <w:szCs w:val="20"/>
          <w:color w:val="auto"/>
        </w:rPr>
      </w:pPr>
      <w:r>
        <w:rPr>
          <w:rFonts w:ascii="Courier New" w:cs="Courier New" w:eastAsia="Courier New" w:hAnsi="Courier New"/>
          <w:sz w:val="12"/>
          <w:szCs w:val="12"/>
          <w:color w:val="auto"/>
        </w:rPr>
        <w:t>the Accelerated Trigger Quarter is the Quarter ended March 31,</w:t>
      </w:r>
    </w:p>
    <w:p>
      <w:pPr>
        <w:ind w:left="1048"/>
        <w:spacing w:after="0" w:line="237" w:lineRule="auto"/>
        <w:rPr>
          <w:sz w:val="20"/>
          <w:szCs w:val="20"/>
          <w:color w:val="auto"/>
        </w:rPr>
      </w:pPr>
      <w:r>
        <w:rPr>
          <w:rFonts w:ascii="Courier New" w:cs="Courier New" w:eastAsia="Courier New" w:hAnsi="Courier New"/>
          <w:sz w:val="12"/>
          <w:szCs w:val="12"/>
          <w:color w:val="auto"/>
        </w:rPr>
        <w:t>2008 and the then outstanding Equipment Facility Credits</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aggregate US $15,000,000 (fifteen million United States Dollars),</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consisting of US $12,000,000 (twelve million United States</w:t>
      </w:r>
    </w:p>
    <w:p>
      <w:pPr>
        <w:ind w:left="1048"/>
        <w:spacing w:after="0"/>
        <w:rPr>
          <w:sz w:val="20"/>
          <w:szCs w:val="20"/>
          <w:color w:val="auto"/>
        </w:rPr>
      </w:pPr>
      <w:r>
        <w:rPr>
          <w:rFonts w:ascii="Courier New" w:cs="Courier New" w:eastAsia="Courier New" w:hAnsi="Courier New"/>
          <w:sz w:val="12"/>
          <w:szCs w:val="12"/>
          <w:color w:val="auto"/>
        </w:rPr>
        <w:t>Dollars) of Equipment Loans and US $3,000,000 (three million</w:t>
      </w:r>
    </w:p>
    <w:p>
      <w:pPr>
        <w:ind w:left="1048"/>
        <w:spacing w:after="0" w:line="237" w:lineRule="auto"/>
        <w:rPr>
          <w:sz w:val="20"/>
          <w:szCs w:val="20"/>
          <w:color w:val="auto"/>
        </w:rPr>
      </w:pPr>
      <w:r>
        <w:rPr>
          <w:rFonts w:ascii="Courier New" w:cs="Courier New" w:eastAsia="Courier New" w:hAnsi="Courier New"/>
          <w:sz w:val="12"/>
          <w:szCs w:val="12"/>
          <w:color w:val="auto"/>
        </w:rPr>
        <w:t>United States Dollars) in Equipment L/C's, the Borrower shall</w:t>
      </w:r>
    </w:p>
    <w:p>
      <w:pPr>
        <w:ind w:left="1048"/>
        <w:spacing w:after="0"/>
        <w:rPr>
          <w:sz w:val="20"/>
          <w:szCs w:val="20"/>
          <w:color w:val="auto"/>
        </w:rPr>
      </w:pPr>
      <w:r>
        <w:rPr>
          <w:rFonts w:ascii="Courier New" w:cs="Courier New" w:eastAsia="Courier New" w:hAnsi="Courier New"/>
          <w:sz w:val="12"/>
          <w:szCs w:val="12"/>
          <w:color w:val="auto"/>
        </w:rPr>
        <w:t>prepay approximately US $5,000,000 (five million United States</w:t>
      </w:r>
    </w:p>
    <w:p>
      <w:pPr>
        <w:ind w:left="1048"/>
        <w:spacing w:after="0" w:line="237" w:lineRule="auto"/>
        <w:rPr>
          <w:sz w:val="20"/>
          <w:szCs w:val="20"/>
          <w:color w:val="auto"/>
        </w:rPr>
      </w:pPr>
      <w:r>
        <w:rPr>
          <w:rFonts w:ascii="Courier New" w:cs="Courier New" w:eastAsia="Courier New" w:hAnsi="Courier New"/>
          <w:sz w:val="12"/>
          <w:szCs w:val="12"/>
          <w:color w:val="auto"/>
        </w:rPr>
        <w:t>Dollars) in Equipment Loans and deposit approximately US</w:t>
      </w:r>
    </w:p>
    <w:p>
      <w:pPr>
        <w:ind w:left="1048"/>
        <w:spacing w:after="0"/>
        <w:rPr>
          <w:sz w:val="20"/>
          <w:szCs w:val="20"/>
          <w:color w:val="auto"/>
        </w:rPr>
      </w:pPr>
      <w:r>
        <w:rPr>
          <w:rFonts w:ascii="Courier New" w:cs="Courier New" w:eastAsia="Courier New" w:hAnsi="Courier New"/>
          <w:sz w:val="12"/>
          <w:szCs w:val="12"/>
          <w:color w:val="auto"/>
        </w:rPr>
        <w:t>$1,250,000 (one million two hundred and fifty thousand United</w:t>
      </w:r>
    </w:p>
    <w:p>
      <w:pPr>
        <w:ind w:left="1048"/>
        <w:spacing w:after="0" w:line="237" w:lineRule="auto"/>
        <w:rPr>
          <w:sz w:val="20"/>
          <w:szCs w:val="20"/>
          <w:color w:val="auto"/>
        </w:rPr>
      </w:pPr>
      <w:r>
        <w:rPr>
          <w:rFonts w:ascii="Courier New" w:cs="Courier New" w:eastAsia="Courier New" w:hAnsi="Courier New"/>
          <w:sz w:val="12"/>
          <w:szCs w:val="12"/>
          <w:color w:val="auto"/>
        </w:rPr>
        <w:t>States Dollars) in the Charged Account, duly pledged in</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accordance with clause 4.3.2.4 above, on the last Business Day of</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each of the Quarters ended in June, September and December, 2008.</w:t>
      </w:r>
    </w:p>
    <w:p>
      <w:pPr>
        <w:spacing w:after="0" w:line="141"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6.2.3. If and to the extent the Equipment L/C's in respect of which</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deposits have been made pursuant to clauses 6.2.1 and 6.2.2 above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expire without any drawdown by the beneficiary thereof or any</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other liability thereunder to the Bank and no Equipment Facility</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Event of Default shall have occurred and be continuing, such</w:t>
      </w:r>
    </w:p>
    <w:p>
      <w:pPr>
        <w:ind w:left="1048"/>
        <w:spacing w:after="0"/>
        <w:rPr>
          <w:sz w:val="20"/>
          <w:szCs w:val="20"/>
          <w:color w:val="auto"/>
        </w:rPr>
      </w:pPr>
      <w:r>
        <w:rPr>
          <w:rFonts w:ascii="Courier New" w:cs="Courier New" w:eastAsia="Courier New" w:hAnsi="Courier New"/>
          <w:sz w:val="12"/>
          <w:szCs w:val="12"/>
          <w:color w:val="auto"/>
        </w:rPr>
        <w:t>deposits shall be released to the Borrower.</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6.2.4. Should the Borrower wish to make a voluntary prepayment with</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respect to any Equipment Facility Credits to any other Equipment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Lender, the Borrower shall, simultaneously with such voluntary</w:t>
      </w:r>
    </w:p>
    <w:p>
      <w:pPr>
        <w:ind w:left="1048"/>
        <w:spacing w:after="0"/>
        <w:rPr>
          <w:sz w:val="20"/>
          <w:szCs w:val="20"/>
          <w:color w:val="auto"/>
        </w:rPr>
      </w:pPr>
      <w:r>
        <w:rPr>
          <w:rFonts w:ascii="Courier New" w:cs="Courier New" w:eastAsia="Courier New" w:hAnsi="Courier New"/>
          <w:sz w:val="12"/>
          <w:szCs w:val="12"/>
          <w:color w:val="auto"/>
        </w:rPr>
        <w:t>prepayment, pay an amount equal to the amount of any such</w:t>
      </w:r>
    </w:p>
    <w:p>
      <w:pPr>
        <w:ind w:left="1048"/>
        <w:spacing w:after="0" w:line="237" w:lineRule="auto"/>
        <w:rPr>
          <w:sz w:val="20"/>
          <w:szCs w:val="20"/>
          <w:color w:val="auto"/>
        </w:rPr>
      </w:pPr>
      <w:r>
        <w:rPr>
          <w:rFonts w:ascii="Courier New" w:cs="Courier New" w:eastAsia="Courier New" w:hAnsi="Courier New"/>
          <w:sz w:val="12"/>
          <w:szCs w:val="12"/>
          <w:color w:val="auto"/>
        </w:rPr>
        <w:t>voluntary prepayment to the Bank.</w:t>
      </w:r>
    </w:p>
    <w:p>
      <w:pPr>
        <w:spacing w:after="0" w:line="139" w:lineRule="exact"/>
        <w:rPr>
          <w:sz w:val="20"/>
          <w:szCs w:val="20"/>
          <w:color w:val="auto"/>
        </w:rPr>
      </w:pPr>
    </w:p>
    <w:p>
      <w:pPr>
        <w:ind w:left="708" w:right="4619" w:hanging="350"/>
        <w:spacing w:after="0" w:line="237" w:lineRule="auto"/>
        <w:rPr>
          <w:sz w:val="20"/>
          <w:szCs w:val="20"/>
          <w:color w:val="auto"/>
        </w:rPr>
      </w:pPr>
      <w:r>
        <w:rPr>
          <w:rFonts w:ascii="Courier New" w:cs="Courier New" w:eastAsia="Courier New" w:hAnsi="Courier New"/>
          <w:sz w:val="12"/>
          <w:szCs w:val="12"/>
          <w:color w:val="auto"/>
        </w:rPr>
        <w:t>6.3. The provisions of clauses 8.2 ("NO REBORROWING OF MANDATORY PREPAYMENT"), 8.4 ("MANDATORY PREPAYMENT TOGETHER WITH INTEREST AND OTHER SUMS OWED"), 8.5 ("CURRENCY FOR MANDATORY PREPAYMENT") and 8.6 ("SCHEDULE FOR MANDATORY PREPAYMENT") of the Facility Agreement are hereby incorporated by reference and shall apply, mutatis mutandis, as if all references to "Loans" were to "Equipment Loans".</w:t>
      </w:r>
    </w:p>
    <w:p>
      <w:pPr>
        <w:spacing w:after="0" w:line="271"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- 20 -</w:t>
      </w:r>
    </w:p>
    <w:p>
      <w:pPr>
        <w:spacing w:after="0" w:line="386" w:lineRule="exact"/>
        <w:rPr>
          <w:sz w:val="20"/>
          <w:szCs w:val="20"/>
          <w:color w:val="auto"/>
        </w:rPr>
      </w:pPr>
    </w:p>
    <w:p>
      <w:pPr>
        <w:ind w:left="348" w:hanging="348"/>
        <w:spacing w:after="0"/>
        <w:tabs>
          <w:tab w:leader="none" w:pos="348" w:val="left"/>
        </w:tabs>
        <w:numPr>
          <w:ilvl w:val="0"/>
          <w:numId w:val="11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7.1. INTEREST RATE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rate of Interest applicable to the Equipment Loans in respect of</w:t>
      </w:r>
    </w:p>
    <w:p>
      <w:pPr>
        <w:ind w:left="708"/>
        <w:spacing w:after="0"/>
        <w:rPr>
          <w:sz w:val="20"/>
          <w:szCs w:val="20"/>
          <w:color w:val="auto"/>
        </w:rPr>
      </w:pPr>
      <w:r>
        <w:rPr>
          <w:rFonts w:ascii="Courier New" w:cs="Courier New" w:eastAsia="Courier New" w:hAnsi="Courier New"/>
          <w:sz w:val="12"/>
          <w:szCs w:val="12"/>
          <w:color w:val="auto"/>
        </w:rPr>
        <w:t>each Interest Period (provided that the first Interest Period in</w:t>
      </w:r>
    </w:p>
    <w:p>
      <w:pPr>
        <w:ind w:left="708"/>
        <w:spacing w:after="0" w:line="237" w:lineRule="auto"/>
        <w:rPr>
          <w:sz w:val="20"/>
          <w:szCs w:val="20"/>
          <w:color w:val="auto"/>
        </w:rPr>
      </w:pPr>
      <w:r>
        <w:rPr>
          <w:rFonts w:ascii="Courier New" w:cs="Courier New" w:eastAsia="Courier New" w:hAnsi="Courier New"/>
          <w:sz w:val="12"/>
          <w:szCs w:val="12"/>
          <w:color w:val="auto"/>
        </w:rPr>
        <w:t>respect of any Equipment Loan made other than on the first day of a</w:t>
      </w:r>
    </w:p>
    <w:p>
      <w:pPr>
        <w:ind w:left="708"/>
        <w:spacing w:after="0"/>
        <w:rPr>
          <w:sz w:val="20"/>
          <w:szCs w:val="20"/>
          <w:color w:val="auto"/>
        </w:rPr>
      </w:pPr>
      <w:r>
        <w:rPr>
          <w:rFonts w:ascii="Courier New" w:cs="Courier New" w:eastAsia="Courier New" w:hAnsi="Courier New"/>
          <w:sz w:val="12"/>
          <w:szCs w:val="12"/>
          <w:color w:val="auto"/>
        </w:rPr>
        <w:t>Quarter, shall commence on the date of the making of such Equipment</w:t>
      </w:r>
    </w:p>
    <w:p>
      <w:pPr>
        <w:ind w:left="708"/>
        <w:spacing w:after="0" w:line="237" w:lineRule="auto"/>
        <w:rPr>
          <w:sz w:val="20"/>
          <w:szCs w:val="20"/>
          <w:color w:val="auto"/>
        </w:rPr>
      </w:pPr>
      <w:r>
        <w:rPr>
          <w:rFonts w:ascii="Courier New" w:cs="Courier New" w:eastAsia="Courier New" w:hAnsi="Courier New"/>
          <w:sz w:val="12"/>
          <w:szCs w:val="12"/>
          <w:color w:val="auto"/>
        </w:rPr>
        <w:t>Loan and end on the last Business Day of the Quarter in which such</w:t>
      </w:r>
    </w:p>
    <w:p>
      <w:pPr>
        <w:ind w:left="708"/>
        <w:spacing w:after="0"/>
        <w:rPr>
          <w:sz w:val="20"/>
          <w:szCs w:val="20"/>
          <w:color w:val="auto"/>
        </w:rPr>
      </w:pPr>
      <w:r>
        <w:rPr>
          <w:rFonts w:ascii="Courier New" w:cs="Courier New" w:eastAsia="Courier New" w:hAnsi="Courier New"/>
          <w:sz w:val="12"/>
          <w:szCs w:val="12"/>
          <w:color w:val="auto"/>
        </w:rPr>
        <w:t>Equipment Loan is made) shall be the sum of: (a) the rate per annum</w:t>
      </w:r>
    </w:p>
    <w:p>
      <w:pPr>
        <w:ind w:left="708"/>
        <w:spacing w:after="0" w:line="237" w:lineRule="auto"/>
        <w:rPr>
          <w:sz w:val="20"/>
          <w:szCs w:val="20"/>
          <w:color w:val="auto"/>
        </w:rPr>
      </w:pPr>
      <w:r>
        <w:rPr>
          <w:rFonts w:ascii="Courier New" w:cs="Courier New" w:eastAsia="Courier New" w:hAnsi="Courier New"/>
          <w:sz w:val="12"/>
          <w:szCs w:val="12"/>
          <w:color w:val="auto"/>
        </w:rPr>
        <w:t>determined to be LIBOR in accordance with clause 1.1.94 of the</w:t>
      </w:r>
    </w:p>
    <w:p>
      <w:pPr>
        <w:ind w:left="708"/>
        <w:spacing w:after="0"/>
        <w:rPr>
          <w:sz w:val="20"/>
          <w:szCs w:val="20"/>
          <w:color w:val="auto"/>
        </w:rPr>
      </w:pPr>
      <w:r>
        <w:rPr>
          <w:rFonts w:ascii="Courier New" w:cs="Courier New" w:eastAsia="Courier New" w:hAnsi="Courier New"/>
          <w:sz w:val="12"/>
          <w:szCs w:val="12"/>
          <w:color w:val="auto"/>
        </w:rPr>
        <w:t>Facility Agreement on the Interest Determination Date for such</w:t>
      </w:r>
    </w:p>
    <w:p>
      <w:pPr>
        <w:ind w:left="708"/>
        <w:spacing w:after="0" w:line="237" w:lineRule="auto"/>
        <w:rPr>
          <w:sz w:val="20"/>
          <w:szCs w:val="20"/>
          <w:color w:val="auto"/>
        </w:rPr>
      </w:pPr>
      <w:r>
        <w:rPr>
          <w:rFonts w:ascii="Courier New" w:cs="Courier New" w:eastAsia="Courier New" w:hAnsi="Courier New"/>
          <w:sz w:val="12"/>
          <w:szCs w:val="12"/>
          <w:color w:val="auto"/>
        </w:rPr>
        <w:t>Interest Period; and (b) 3% (three percent) per annum.</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7.2. ACCRUAL OF INTEREST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Interest as aforesaid in clause 7.1 above in respect of the Equipment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Loans shall accrue from day to day and shall be calculated on the</w:t>
      </w:r>
    </w:p>
    <w:p>
      <w:pPr>
        <w:ind w:left="708"/>
        <w:spacing w:after="0"/>
        <w:rPr>
          <w:sz w:val="20"/>
          <w:szCs w:val="20"/>
          <w:color w:val="auto"/>
        </w:rPr>
      </w:pPr>
      <w:r>
        <w:rPr>
          <w:rFonts w:ascii="Courier New" w:cs="Courier New" w:eastAsia="Courier New" w:hAnsi="Courier New"/>
          <w:sz w:val="12"/>
          <w:szCs w:val="12"/>
          <w:color w:val="auto"/>
        </w:rPr>
        <w:t>basis of the actual number of days elapsed and a 360 (three hundred</w:t>
      </w:r>
    </w:p>
    <w:p>
      <w:pPr>
        <w:ind w:left="708"/>
        <w:spacing w:after="0" w:line="237" w:lineRule="auto"/>
        <w:rPr>
          <w:sz w:val="20"/>
          <w:szCs w:val="20"/>
          <w:color w:val="auto"/>
        </w:rPr>
      </w:pPr>
      <w:r>
        <w:rPr>
          <w:rFonts w:ascii="Courier New" w:cs="Courier New" w:eastAsia="Courier New" w:hAnsi="Courier New"/>
          <w:sz w:val="12"/>
          <w:szCs w:val="12"/>
          <w:color w:val="auto"/>
        </w:rPr>
        <w:t>and sixty) day year.</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7.3. PAYMENT OF INTEREST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All Interest accrued as aforesaid in clause 7.2 above on the Equipment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Loans shall be paid on each Interest Payment Date and on the Final</w:t>
      </w:r>
    </w:p>
    <w:p>
      <w:pPr>
        <w:ind w:left="708"/>
        <w:spacing w:after="0"/>
        <w:rPr>
          <w:sz w:val="20"/>
          <w:szCs w:val="20"/>
          <w:color w:val="auto"/>
        </w:rPr>
      </w:pPr>
      <w:r>
        <w:rPr>
          <w:rFonts w:ascii="Courier New" w:cs="Courier New" w:eastAsia="Courier New" w:hAnsi="Courier New"/>
          <w:sz w:val="12"/>
          <w:szCs w:val="12"/>
          <w:color w:val="auto"/>
        </w:rPr>
        <w:t>Equipment Facility Maturity Date. The Borrower shall pay to the Bank</w:t>
      </w:r>
    </w:p>
    <w:p>
      <w:pPr>
        <w:ind w:left="708"/>
        <w:spacing w:after="0" w:line="237" w:lineRule="auto"/>
        <w:rPr>
          <w:sz w:val="20"/>
          <w:szCs w:val="20"/>
          <w:color w:val="auto"/>
        </w:rPr>
      </w:pPr>
      <w:r>
        <w:rPr>
          <w:rFonts w:ascii="Courier New" w:cs="Courier New" w:eastAsia="Courier New" w:hAnsi="Courier New"/>
          <w:sz w:val="12"/>
          <w:szCs w:val="12"/>
          <w:color w:val="auto"/>
        </w:rPr>
        <w:t>all Interest payable as aforesaid into the Charged Account.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7.4. SUBSTITUTE INTEREST RATES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provisions of clause 10 ("SUBSTITUTE INTEREST RATES") of the</w:t>
      </w:r>
    </w:p>
    <w:p>
      <w:pPr>
        <w:ind w:left="708"/>
        <w:spacing w:after="0"/>
        <w:rPr>
          <w:sz w:val="20"/>
          <w:szCs w:val="20"/>
          <w:color w:val="auto"/>
        </w:rPr>
      </w:pPr>
      <w:r>
        <w:rPr>
          <w:rFonts w:ascii="Courier New" w:cs="Courier New" w:eastAsia="Courier New" w:hAnsi="Courier New"/>
          <w:sz w:val="12"/>
          <w:szCs w:val="12"/>
          <w:color w:val="auto"/>
        </w:rPr>
        <w:t>Facility Agreement are hereby incorporated by reference and shall</w:t>
      </w:r>
    </w:p>
    <w:p>
      <w:pPr>
        <w:ind w:left="708"/>
        <w:spacing w:after="0" w:line="237" w:lineRule="auto"/>
        <w:rPr>
          <w:sz w:val="20"/>
          <w:szCs w:val="20"/>
          <w:color w:val="auto"/>
        </w:rPr>
      </w:pPr>
      <w:r>
        <w:rPr>
          <w:rFonts w:ascii="Courier New" w:cs="Courier New" w:eastAsia="Courier New" w:hAnsi="Courier New"/>
          <w:sz w:val="12"/>
          <w:szCs w:val="12"/>
          <w:color w:val="auto"/>
        </w:rPr>
        <w:t>apply, MUTATIS MUTANDIS, to this Agreement as if all references</w:t>
      </w:r>
    </w:p>
    <w:p>
      <w:pPr>
        <w:ind w:left="708"/>
        <w:spacing w:after="0"/>
        <w:rPr>
          <w:sz w:val="20"/>
          <w:szCs w:val="20"/>
          <w:color w:val="auto"/>
        </w:rPr>
      </w:pPr>
      <w:r>
        <w:rPr>
          <w:rFonts w:ascii="Courier New" w:cs="Courier New" w:eastAsia="Courier New" w:hAnsi="Courier New"/>
          <w:sz w:val="12"/>
          <w:szCs w:val="12"/>
          <w:color w:val="auto"/>
        </w:rPr>
        <w:t>therein to the "Banks" and the "Loans" were references to the "Bank"</w:t>
      </w:r>
    </w:p>
    <w:p>
      <w:pPr>
        <w:ind w:left="708"/>
        <w:spacing w:after="0" w:line="237" w:lineRule="auto"/>
        <w:rPr>
          <w:sz w:val="20"/>
          <w:szCs w:val="20"/>
          <w:color w:val="auto"/>
        </w:rPr>
      </w:pPr>
      <w:r>
        <w:rPr>
          <w:rFonts w:ascii="Courier New" w:cs="Courier New" w:eastAsia="Courier New" w:hAnsi="Courier New"/>
          <w:sz w:val="12"/>
          <w:szCs w:val="12"/>
          <w:color w:val="auto"/>
        </w:rPr>
        <w:t>and the "Equipment Loans".</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- 21 -</w:t>
      </w:r>
    </w:p>
    <w:p>
      <w:pPr>
        <w:spacing w:after="0" w:line="386" w:lineRule="exact"/>
        <w:rPr>
          <w:sz w:val="20"/>
          <w:szCs w:val="20"/>
          <w:color w:val="auto"/>
        </w:rPr>
      </w:pPr>
    </w:p>
    <w:p>
      <w:pPr>
        <w:ind w:left="348" w:hanging="348"/>
        <w:spacing w:after="0"/>
        <w:tabs>
          <w:tab w:leader="none" w:pos="348" w:val="left"/>
        </w:tabs>
        <w:numPr>
          <w:ilvl w:val="0"/>
          <w:numId w:val="11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COMMISSIONS, FEES AND EXPENSES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8.1. COMMITMENT COMMISSION</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Borrower shall, in respect of the Availability Period, pay to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Bank a Commitment commission at the rate per annum of 0.25% (nought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point two five percent) on the Available Loan Commitment from time to</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time as from the date of signature of this Agreement until the last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day of the Availability Period. Such fee shall accrue from day to day</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and shall be calculated on the basis of the actual number of days</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elapsed and a 360 (three hundred and sixty) day year and shall be paid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 arrears on each Interest Payment Date during the Availability</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Period and on the Termination Date. "AVAILABLE LOAN COMMITMENT" means,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at any time, the Commitment at such time, less: (a) all Equipment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Loans outstanding at such time; and (b) the Maximum Drawing Amount of</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Equipment L/Cs outstanding at such time.</w:t>
      </w:r>
    </w:p>
    <w:p>
      <w:pPr>
        <w:spacing w:after="0" w:line="139" w:lineRule="exact"/>
        <w:rPr>
          <w:sz w:val="20"/>
          <w:szCs w:val="20"/>
          <w:color w:val="auto"/>
        </w:rPr>
      </w:pPr>
    </w:p>
    <w:p>
      <w:pPr>
        <w:ind w:left="708" w:right="4619" w:hanging="350"/>
        <w:spacing w:after="0" w:line="237" w:lineRule="auto"/>
        <w:rPr>
          <w:sz w:val="20"/>
          <w:szCs w:val="20"/>
          <w:color w:val="auto"/>
        </w:rPr>
      </w:pPr>
      <w:r>
        <w:rPr>
          <w:rFonts w:ascii="Courier New" w:cs="Courier New" w:eastAsia="Courier New" w:hAnsi="Courier New"/>
          <w:sz w:val="12"/>
          <w:szCs w:val="12"/>
          <w:color w:val="auto"/>
        </w:rPr>
        <w:t>8.2. The provisions of clauses 11.3 ("LEGAL AND OTHER COSTS"), 11.5 ("STAMP DUTIES AND LIKE TAXES"), 11.6 ("OTHER COMMISSIONS, FEES AND EXPENSES"), 11.7 ("CURRENCY FOR PAYMENT") and 11.8 ("VAT") of the Facility Agreement are hereby incorporated by reference and shall apply, MUTATIS MUTANDIS, to this Agreement as if all references therein to the "Banks" and the "Facility" were references to the "Bank" and the "Equipment Facility".</w:t>
      </w:r>
    </w:p>
    <w:p>
      <w:pPr>
        <w:spacing w:after="0" w:line="137" w:lineRule="exact"/>
        <w:rPr>
          <w:sz w:val="20"/>
          <w:szCs w:val="20"/>
          <w:color w:val="auto"/>
        </w:rPr>
      </w:pPr>
    </w:p>
    <w:p>
      <w:pPr>
        <w:ind w:left="348" w:hanging="348"/>
        <w:spacing w:after="0"/>
        <w:tabs>
          <w:tab w:leader="none" w:pos="348"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TAXES; INCREASED COSTS; ILLEGALITY</w:t>
      </w:r>
    </w:p>
    <w:p>
      <w:pPr>
        <w:spacing w:after="0" w:line="138" w:lineRule="exact"/>
        <w:rPr>
          <w:rFonts w:ascii="Courier New" w:cs="Courier New" w:eastAsia="Courier New" w:hAnsi="Courier New"/>
          <w:sz w:val="12"/>
          <w:szCs w:val="12"/>
          <w:color w:val="auto"/>
        </w:rPr>
      </w:pPr>
    </w:p>
    <w:p>
      <w:pPr>
        <w:ind w:left="348"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provisions of clauses 12 ("TAXES"), 13 ("INCREASED COSTS") and 14 ("ILLEGALITY") of the Facility Agreement are hereby incorporated by reference and shall apply, MUTATIS MUTANDIS, to this Agreement as if all references to the "Banks", the "Loans" and the "Total Outstandings" therein were references to the "Bank", the "Equipment Loans" and the "sum in Dollars of the outstanding Equipment Loans at such time", respectively.</w:t>
      </w:r>
    </w:p>
    <w:p>
      <w:pPr>
        <w:spacing w:after="0" w:line="125"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1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w:t>
      </w:r>
    </w:p>
    <w:p>
      <w:pPr>
        <w:sectPr>
          <w:pgSz w:w="11900" w:h="16838" w:orient="portrait"/>
          <w:cols w:equalWidth="0" w:num="1">
            <w:col w:w="10247"/>
          </w:cols>
          <w:pgMar w:left="212" w:top="137" w:right="1440" w:bottom="0" w:gutter="0" w:footer="0" w:header="0"/>
        </w:sectPr>
      </w:pPr>
    </w:p>
    <w:bookmarkStart w:id="84" w:name="page85"/>
    <w:bookmarkEnd w:id="84"/>
    <w:p>
      <w:pPr>
        <w:spacing w:after="0" w:line="64" w:lineRule="exact"/>
        <w:rPr>
          <w:sz w:val="20"/>
          <w:szCs w:val="20"/>
          <w:color w:val="auto"/>
        </w:rPr>
      </w:pPr>
    </w:p>
    <w:p>
      <w:pPr>
        <w:ind w:left="708" w:right="4699" w:hanging="350"/>
        <w:spacing w:after="0" w:line="264" w:lineRule="auto"/>
        <w:rPr>
          <w:sz w:val="20"/>
          <w:szCs w:val="20"/>
          <w:color w:val="auto"/>
        </w:rPr>
      </w:pPr>
      <w:r>
        <w:rPr>
          <w:rFonts w:ascii="Courier New" w:cs="Courier New" w:eastAsia="Courier New" w:hAnsi="Courier New"/>
          <w:sz w:val="11"/>
          <w:szCs w:val="11"/>
          <w:color w:val="auto"/>
        </w:rPr>
        <w:t>10.1. The provisions of clause 15 of the Facility Agreement, as amended by Amendment No. 1, dated September 10, 2007, are hereby incorporated by reference and shall apply, MUTATIS MUTANDIS, to this Agreement as if all references to the "Banks" therein were references to the "Bank".</w:t>
      </w:r>
    </w:p>
    <w:p>
      <w:pPr>
        <w:spacing w:after="0" w:line="123"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2"/>
          <w:szCs w:val="12"/>
          <w:color w:val="auto"/>
        </w:rPr>
        <w:t>10.2. The Borrower confirms that this Agreement is a "Finance Document" as</w:t>
      </w:r>
    </w:p>
    <w:p>
      <w:pPr>
        <w:ind w:left="708"/>
        <w:spacing w:after="0"/>
        <w:rPr>
          <w:sz w:val="20"/>
          <w:szCs w:val="20"/>
          <w:color w:val="auto"/>
        </w:rPr>
      </w:pPr>
      <w:r>
        <w:rPr>
          <w:rFonts w:ascii="Courier New" w:cs="Courier New" w:eastAsia="Courier New" w:hAnsi="Courier New"/>
          <w:sz w:val="12"/>
          <w:szCs w:val="12"/>
          <w:color w:val="auto"/>
        </w:rPr>
        <w:t>defined in the Facility Agreement and that, for the avoidance of</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doubt, all references to a Finance Document in the Facility Agreement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are, INTER ALIA, references to this Agreement.</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- 22 -</w:t>
      </w:r>
    </w:p>
    <w:p>
      <w:pPr>
        <w:spacing w:after="0" w:line="386" w:lineRule="exact"/>
        <w:rPr>
          <w:sz w:val="20"/>
          <w:szCs w:val="20"/>
          <w:color w:val="auto"/>
        </w:rPr>
      </w:pPr>
    </w:p>
    <w:p>
      <w:pPr>
        <w:ind w:left="348" w:hanging="348"/>
        <w:spacing w:after="0"/>
        <w:tabs>
          <w:tab w:leader="none" w:pos="348" w:val="left"/>
        </w:tabs>
        <w:numPr>
          <w:ilvl w:val="0"/>
          <w:numId w:val="116"/>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UNDERTAKINGS</w:t>
      </w:r>
    </w:p>
    <w:p>
      <w:pPr>
        <w:spacing w:after="0" w:line="138" w:lineRule="exact"/>
        <w:rPr>
          <w:rFonts w:ascii="Courier New" w:cs="Courier New" w:eastAsia="Courier New" w:hAnsi="Courier New"/>
          <w:sz w:val="12"/>
          <w:szCs w:val="12"/>
          <w:color w:val="auto"/>
        </w:rPr>
      </w:pPr>
    </w:p>
    <w:p>
      <w:pPr>
        <w:ind w:left="348"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Without derogating from the Borrower's obligations under the Finance Documents, including the Facility Agreement and the Debenture, the Borrower undertakes to the Bank that, so long as any sum remains payable by the Borrower under this Agreement or the Bank is under any obligation to provide any Financial Indebtedness to the Borrower:</w:t>
      </w:r>
    </w:p>
    <w:p>
      <w:pPr>
        <w:spacing w:after="0" w:line="135"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11.1. NEGATIVE PLEDGE</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Borrower shall not create or permit to subsist any Encumbrance on</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whole or any part of the Ramp-Up Equipment or the Charged Account,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save for Permitted Encumbrances.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11.2. DISPOSAL OF RAMP-UP EQUIPMENT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will not and will procure that none of its Subsidiaries</w:t>
      </w:r>
    </w:p>
    <w:p>
      <w:pPr>
        <w:ind w:left="708"/>
        <w:spacing w:after="0"/>
        <w:rPr>
          <w:sz w:val="20"/>
          <w:szCs w:val="20"/>
          <w:color w:val="auto"/>
        </w:rPr>
      </w:pPr>
      <w:r>
        <w:rPr>
          <w:rFonts w:ascii="Courier New" w:cs="Courier New" w:eastAsia="Courier New" w:hAnsi="Courier New"/>
          <w:sz w:val="12"/>
          <w:szCs w:val="12"/>
          <w:color w:val="auto"/>
        </w:rPr>
        <w:t>will, either in a single transaction or in a series of transactions,</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whether related or not and whether voluntarily or involuntarily, sell,</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transfer, lease or otherwise dispose of all or any part of or interest</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the Ramp-Up Equipment to any person, except with the prior written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consent of the Bank.</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11.3. INSUFFICIENCY IN CHARGED ACCOUNT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acknowledges that neither any insufficiency of funds in</w:t>
      </w:r>
    </w:p>
    <w:p>
      <w:pPr>
        <w:ind w:left="708"/>
        <w:spacing w:after="0"/>
        <w:rPr>
          <w:sz w:val="20"/>
          <w:szCs w:val="20"/>
          <w:color w:val="auto"/>
        </w:rPr>
      </w:pPr>
      <w:r>
        <w:rPr>
          <w:rFonts w:ascii="Courier New" w:cs="Courier New" w:eastAsia="Courier New" w:hAnsi="Courier New"/>
          <w:sz w:val="12"/>
          <w:szCs w:val="12"/>
          <w:color w:val="auto"/>
        </w:rPr>
        <w:t>the Charged Account, nor any inability to apply any fund in the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Charged Account against any or all amounts owing under this Agreement,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shall at any time limit, reduce or otherwise affect the Borrower's</w:t>
      </w:r>
    </w:p>
    <w:p>
      <w:pPr>
        <w:ind w:left="708"/>
        <w:spacing w:after="0"/>
        <w:rPr>
          <w:sz w:val="20"/>
          <w:szCs w:val="20"/>
          <w:color w:val="auto"/>
        </w:rPr>
      </w:pPr>
      <w:r>
        <w:rPr>
          <w:rFonts w:ascii="Courier New" w:cs="Courier New" w:eastAsia="Courier New" w:hAnsi="Courier New"/>
          <w:sz w:val="12"/>
          <w:szCs w:val="12"/>
          <w:color w:val="auto"/>
        </w:rPr>
        <w:t>payment obligations under this Agreement.</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11.4. FURTHER CHARGES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Without derogating from the Borrower's obligations under the Facility</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Agreement and Debenture, the Borrower undertakes that it shall, from</w:t>
      </w:r>
    </w:p>
    <w:p>
      <w:pPr>
        <w:ind w:left="708"/>
        <w:spacing w:after="0"/>
        <w:rPr>
          <w:sz w:val="20"/>
          <w:szCs w:val="20"/>
          <w:color w:val="auto"/>
        </w:rPr>
      </w:pPr>
      <w:r>
        <w:rPr>
          <w:rFonts w:ascii="Courier New" w:cs="Courier New" w:eastAsia="Courier New" w:hAnsi="Courier New"/>
          <w:sz w:val="12"/>
          <w:szCs w:val="12"/>
          <w:color w:val="auto"/>
        </w:rPr>
        <w:t>time to time as requested by the Bank, execute:</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11.4.1. a Supplement to the Debenture relating, INTER ALIA, to the</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Ramp-Up Equipment and other assets and rights required under the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Debenture to be pledged by way of first-ranking fixed charge in</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favour of the Banks, but not as yet specifically included in the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Debenture and shall cause such Supplement to be perfected and</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duly registered with the Registrar of Companies and the Registrar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of Pledges and the Borrower shall deliver all documents as</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referred to in clause 3.2 of the Debenture (MUTATIS MUTANDIS) and</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shall sign all other documents and forms required for the</w:t>
      </w:r>
    </w:p>
    <w:p>
      <w:pPr>
        <w:ind w:left="1048"/>
        <w:spacing w:after="0"/>
        <w:rPr>
          <w:sz w:val="20"/>
          <w:szCs w:val="20"/>
          <w:color w:val="auto"/>
        </w:rPr>
      </w:pPr>
      <w:r>
        <w:rPr>
          <w:rFonts w:ascii="Courier New" w:cs="Courier New" w:eastAsia="Courier New" w:hAnsi="Courier New"/>
          <w:sz w:val="12"/>
          <w:szCs w:val="12"/>
          <w:color w:val="auto"/>
        </w:rPr>
        <w:t>purposes of the aforegoing; provided that, if any Equipment</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Lender is not a Bank, the Borrower undertakes promptly to execute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such further documents evidencing the pledge of the Ramp-Up</w:t>
      </w:r>
    </w:p>
    <w:p>
      <w:pPr>
        <w:ind w:left="1048"/>
        <w:spacing w:after="0"/>
        <w:rPr>
          <w:sz w:val="20"/>
          <w:szCs w:val="20"/>
          <w:color w:val="auto"/>
        </w:rPr>
      </w:pPr>
      <w:r>
        <w:rPr>
          <w:rFonts w:ascii="Courier New" w:cs="Courier New" w:eastAsia="Courier New" w:hAnsi="Courier New"/>
          <w:sz w:val="12"/>
          <w:szCs w:val="12"/>
          <w:color w:val="auto"/>
        </w:rPr>
        <w:t>Equipment by way of first-ranking fixed charge in favour of the</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Bank in such forms as shall be requested by the Bank from time to</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time;</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- 23 -</w:t>
      </w:r>
    </w:p>
    <w:p>
      <w:pPr>
        <w:spacing w:after="0" w:line="38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11.4.2. notices of assignment by way of charge of all Material</w:t>
      </w:r>
    </w:p>
    <w:p>
      <w:pPr>
        <w:ind w:left="1048"/>
        <w:spacing w:after="0"/>
        <w:rPr>
          <w:sz w:val="20"/>
          <w:szCs w:val="20"/>
          <w:color w:val="auto"/>
        </w:rPr>
      </w:pPr>
      <w:r>
        <w:rPr>
          <w:rFonts w:ascii="Courier New" w:cs="Courier New" w:eastAsia="Courier New" w:hAnsi="Courier New"/>
          <w:sz w:val="12"/>
          <w:szCs w:val="12"/>
          <w:color w:val="auto"/>
        </w:rPr>
        <w:t>Contracts relating to the Ramp-Up Equipment (other than those</w:t>
      </w:r>
    </w:p>
    <w:p>
      <w:pPr>
        <w:ind w:left="1048"/>
        <w:spacing w:after="0" w:line="237" w:lineRule="auto"/>
        <w:rPr>
          <w:sz w:val="20"/>
          <w:szCs w:val="20"/>
          <w:color w:val="auto"/>
        </w:rPr>
      </w:pPr>
      <w:r>
        <w:rPr>
          <w:rFonts w:ascii="Courier New" w:cs="Courier New" w:eastAsia="Courier New" w:hAnsi="Courier New"/>
          <w:sz w:val="12"/>
          <w:szCs w:val="12"/>
          <w:color w:val="auto"/>
        </w:rPr>
        <w:t>referred to in clauses 1.1.36(c)(i) and (ii) of the Facility</w:t>
      </w:r>
    </w:p>
    <w:p>
      <w:pPr>
        <w:ind w:left="1048"/>
        <w:spacing w:after="0"/>
        <w:rPr>
          <w:sz w:val="20"/>
          <w:szCs w:val="20"/>
          <w:color w:val="auto"/>
        </w:rPr>
      </w:pPr>
      <w:r>
        <w:rPr>
          <w:rFonts w:ascii="Courier New" w:cs="Courier New" w:eastAsia="Courier New" w:hAnsi="Courier New"/>
          <w:sz w:val="12"/>
          <w:szCs w:val="12"/>
          <w:color w:val="auto"/>
        </w:rPr>
        <w:t>Agreement); and</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11.4.3. notices to insurers and acknowledgements of such notices, as</w:t>
      </w:r>
    </w:p>
    <w:p>
      <w:pPr>
        <w:ind w:left="1048"/>
        <w:spacing w:after="0"/>
        <w:rPr>
          <w:sz w:val="20"/>
          <w:szCs w:val="20"/>
          <w:color w:val="auto"/>
        </w:rPr>
      </w:pPr>
      <w:r>
        <w:rPr>
          <w:rFonts w:ascii="Courier New" w:cs="Courier New" w:eastAsia="Courier New" w:hAnsi="Courier New"/>
          <w:sz w:val="12"/>
          <w:szCs w:val="12"/>
          <w:color w:val="auto"/>
        </w:rPr>
        <w:t>referred to in clause 3.2 of the Debenture with respect to the</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Ramp-Up Equipment (other than under Insurance Policies in respect</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of liability of the Borrower to third parties or of liability of</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Borrower for damage to property of third parties or of the</w:t>
      </w:r>
    </w:p>
    <w:p>
      <w:pPr>
        <w:ind w:left="1048"/>
        <w:spacing w:after="0"/>
        <w:rPr>
          <w:sz w:val="20"/>
          <w:szCs w:val="20"/>
          <w:color w:val="auto"/>
        </w:rPr>
      </w:pPr>
      <w:r>
        <w:rPr>
          <w:rFonts w:ascii="Courier New" w:cs="Courier New" w:eastAsia="Courier New" w:hAnsi="Courier New"/>
          <w:sz w:val="12"/>
          <w:szCs w:val="12"/>
          <w:color w:val="auto"/>
        </w:rPr>
        <w:t>type listed in Schedule 16.10.6(d) to the Facility Agreement).</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11.5. EQUIPMENT L/CS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Upon the issuance of each Equipment L/C, the Borrower shall promptly</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give TIC written notice of the terms and conditions thereof, including</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amount to be paid thereunder and the expiry date thereof, which</w:t>
      </w:r>
    </w:p>
    <w:p>
      <w:pPr>
        <w:ind w:left="708"/>
        <w:spacing w:after="0"/>
        <w:rPr>
          <w:sz w:val="20"/>
          <w:szCs w:val="20"/>
          <w:color w:val="auto"/>
        </w:rPr>
      </w:pPr>
      <w:r>
        <w:rPr>
          <w:rFonts w:ascii="Courier New" w:cs="Courier New" w:eastAsia="Courier New" w:hAnsi="Courier New"/>
          <w:sz w:val="12"/>
          <w:szCs w:val="12"/>
          <w:color w:val="auto"/>
        </w:rPr>
        <w:t>notification shall include a reference to the Undertaking and TIC's</w:t>
      </w:r>
    </w:p>
    <w:p>
      <w:pPr>
        <w:ind w:left="708"/>
        <w:spacing w:after="0" w:line="237" w:lineRule="auto"/>
        <w:rPr>
          <w:sz w:val="20"/>
          <w:szCs w:val="20"/>
          <w:color w:val="auto"/>
        </w:rPr>
      </w:pPr>
      <w:r>
        <w:rPr>
          <w:rFonts w:ascii="Courier New" w:cs="Courier New" w:eastAsia="Courier New" w:hAnsi="Courier New"/>
          <w:sz w:val="12"/>
          <w:szCs w:val="12"/>
          <w:color w:val="auto"/>
        </w:rPr>
        <w:t>responsibility to provide Permitted Subordinated TIC Debt in</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connection therewith. The Borrower shall, at the same time as it gives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such notice to TIC, provide the Bank with a copy thereof.</w:t>
      </w:r>
    </w:p>
    <w:p>
      <w:pPr>
        <w:spacing w:after="0" w:line="134" w:lineRule="exact"/>
        <w:rPr>
          <w:sz w:val="20"/>
          <w:szCs w:val="20"/>
          <w:color w:val="auto"/>
        </w:rPr>
      </w:pPr>
    </w:p>
    <w:p>
      <w:pPr>
        <w:ind w:left="348" w:hanging="348"/>
        <w:spacing w:after="0"/>
        <w:tabs>
          <w:tab w:leader="none" w:pos="348" w:val="left"/>
        </w:tabs>
        <w:numPr>
          <w:ilvl w:val="0"/>
          <w:numId w:val="11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DEFAULT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12.1. EVENTS OF DEFAULT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Each of the events set out in clause 12.2 to clause 12.9 is an event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of default ("AN EQUIPMENT FACILITY EVENT OF DEFAULT") (whether or not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caused by any reason outside the control of the Borrower or of any</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other person). Promptly after the occurrence of an Equipment Facility</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Event of Default, the Borrower will notify the Bank that such</w:t>
      </w:r>
    </w:p>
    <w:p>
      <w:pPr>
        <w:ind w:left="708"/>
        <w:spacing w:after="0"/>
        <w:rPr>
          <w:sz w:val="20"/>
          <w:szCs w:val="20"/>
          <w:color w:val="auto"/>
        </w:rPr>
      </w:pPr>
      <w:r>
        <w:rPr>
          <w:rFonts w:ascii="Courier New" w:cs="Courier New" w:eastAsia="Courier New" w:hAnsi="Courier New"/>
          <w:sz w:val="12"/>
          <w:szCs w:val="12"/>
          <w:color w:val="auto"/>
        </w:rPr>
        <w:t>Equipment Facility Event of Default has occurred.</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- 24 -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12.2. NON-PAYMENT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does not pay any amount payable by it under this</w:t>
      </w:r>
    </w:p>
    <w:p>
      <w:pPr>
        <w:ind w:left="708"/>
        <w:spacing w:after="0"/>
        <w:rPr>
          <w:sz w:val="20"/>
          <w:szCs w:val="20"/>
          <w:color w:val="auto"/>
        </w:rPr>
      </w:pPr>
      <w:r>
        <w:rPr>
          <w:rFonts w:ascii="Courier New" w:cs="Courier New" w:eastAsia="Courier New" w:hAnsi="Courier New"/>
          <w:sz w:val="12"/>
          <w:szCs w:val="12"/>
          <w:color w:val="auto"/>
        </w:rPr>
        <w:t>Agreement at the place and in the funds expressed to be payable,</w:t>
      </w:r>
    </w:p>
    <w:p>
      <w:pPr>
        <w:ind w:left="708"/>
        <w:spacing w:after="0" w:line="237" w:lineRule="auto"/>
        <w:rPr>
          <w:sz w:val="20"/>
          <w:szCs w:val="20"/>
          <w:color w:val="auto"/>
        </w:rPr>
      </w:pPr>
      <w:r>
        <w:rPr>
          <w:rFonts w:ascii="Courier New" w:cs="Courier New" w:eastAsia="Courier New" w:hAnsi="Courier New"/>
          <w:sz w:val="12"/>
          <w:szCs w:val="12"/>
          <w:color w:val="auto"/>
        </w:rPr>
        <w:t>within the earlier of: (a) 7 (seven) Business Days; or (b) 10 (ten)</w:t>
      </w:r>
    </w:p>
    <w:p>
      <w:pPr>
        <w:ind w:left="708"/>
        <w:spacing w:after="0"/>
        <w:rPr>
          <w:sz w:val="20"/>
          <w:szCs w:val="20"/>
          <w:color w:val="auto"/>
        </w:rPr>
      </w:pPr>
      <w:r>
        <w:rPr>
          <w:rFonts w:ascii="Courier New" w:cs="Courier New" w:eastAsia="Courier New" w:hAnsi="Courier New"/>
          <w:sz w:val="12"/>
          <w:szCs w:val="12"/>
          <w:color w:val="auto"/>
        </w:rPr>
        <w:t>days, of the due date for payment.</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12.3. BREACH OF OBLIGATIONS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There is any breach of any undertaking by the Borrower in this</w:t>
      </w:r>
    </w:p>
    <w:p>
      <w:pPr>
        <w:ind w:left="708"/>
        <w:spacing w:after="0"/>
        <w:rPr>
          <w:sz w:val="20"/>
          <w:szCs w:val="20"/>
          <w:color w:val="auto"/>
        </w:rPr>
      </w:pPr>
      <w:r>
        <w:rPr>
          <w:rFonts w:ascii="Courier New" w:cs="Courier New" w:eastAsia="Courier New" w:hAnsi="Courier New"/>
          <w:sz w:val="12"/>
          <w:szCs w:val="12"/>
          <w:color w:val="auto"/>
        </w:rPr>
        <w:t>Agreement and, if such default is capable of remedy within such</w:t>
      </w:r>
    </w:p>
    <w:p>
      <w:pPr>
        <w:sectPr>
          <w:pgSz w:w="11900" w:h="16903" w:orient="portrait"/>
          <w:cols w:equalWidth="0" w:num="1">
            <w:col w:w="10247"/>
          </w:cols>
          <w:pgMar w:left="212" w:top="276" w:right="1440" w:bottom="0" w:gutter="0" w:footer="0" w:header="0"/>
        </w:sectPr>
      </w:pPr>
    </w:p>
    <w:bookmarkStart w:id="85" w:name="page86"/>
    <w:bookmarkEnd w:id="85"/>
    <w:p>
      <w:pPr>
        <w:ind w:left="360"/>
        <w:spacing w:after="0"/>
        <w:rPr>
          <w:sz w:val="20"/>
          <w:szCs w:val="20"/>
          <w:color w:val="auto"/>
        </w:rPr>
      </w:pPr>
      <w:r>
        <w:rPr>
          <w:rFonts w:ascii="Courier New" w:cs="Courier New" w:eastAsia="Courier New" w:hAnsi="Courier New"/>
          <w:sz w:val="11"/>
          <w:szCs w:val="11"/>
          <w:color w:val="auto"/>
        </w:rPr>
        <w:t>period, within 7 (seven) days after receipt by the Borrower of written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notice from the Banks requiring the failure to be remedied, the</w:t>
      </w:r>
    </w:p>
    <w:p>
      <w:pPr>
        <w:ind w:left="360"/>
        <w:spacing w:after="0"/>
        <w:rPr>
          <w:sz w:val="20"/>
          <w:szCs w:val="20"/>
          <w:color w:val="auto"/>
        </w:rPr>
      </w:pPr>
      <w:r>
        <w:rPr>
          <w:rFonts w:ascii="Courier New" w:cs="Courier New" w:eastAsia="Courier New" w:hAnsi="Courier New"/>
          <w:sz w:val="12"/>
          <w:szCs w:val="12"/>
          <w:color w:val="auto"/>
        </w:rPr>
        <w:t>Borrower shall have failed to cure such default.</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12.4. MISREPRESENTATION/BREACH OF WARRANTIES</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Any representation or warranty made or repeated by or on behalf of the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Borrower in this Agreement (including through incorporation by</w:t>
      </w:r>
    </w:p>
    <w:p>
      <w:pPr>
        <w:ind w:left="360"/>
        <w:spacing w:after="0"/>
        <w:rPr>
          <w:sz w:val="20"/>
          <w:szCs w:val="20"/>
          <w:color w:val="auto"/>
        </w:rPr>
      </w:pPr>
      <w:r>
        <w:rPr>
          <w:rFonts w:ascii="Courier New" w:cs="Courier New" w:eastAsia="Courier New" w:hAnsi="Courier New"/>
          <w:sz w:val="12"/>
          <w:szCs w:val="12"/>
          <w:color w:val="auto"/>
        </w:rPr>
        <w:t>reference into this Agreement), or in any certificate or statement</w:t>
      </w:r>
    </w:p>
    <w:p>
      <w:pPr>
        <w:ind w:left="360"/>
        <w:spacing w:after="0" w:line="237" w:lineRule="auto"/>
        <w:rPr>
          <w:sz w:val="20"/>
          <w:szCs w:val="20"/>
          <w:color w:val="auto"/>
        </w:rPr>
      </w:pPr>
      <w:r>
        <w:rPr>
          <w:rFonts w:ascii="Courier New" w:cs="Courier New" w:eastAsia="Courier New" w:hAnsi="Courier New"/>
          <w:sz w:val="12"/>
          <w:szCs w:val="12"/>
          <w:color w:val="auto"/>
        </w:rPr>
        <w:t>delivered by or on behalf of the Borrower or under this Agreement is</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incorrect or misleading in any material respect when made or deemed to</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be made or repeated.</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12.5. INVALIDITY</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This Agreement shall cease to be in full force and effect in any</w:t>
      </w:r>
    </w:p>
    <w:p>
      <w:pPr>
        <w:ind w:left="360"/>
        <w:spacing w:after="0"/>
        <w:rPr>
          <w:sz w:val="20"/>
          <w:szCs w:val="20"/>
          <w:color w:val="auto"/>
        </w:rPr>
      </w:pPr>
      <w:r>
        <w:rPr>
          <w:rFonts w:ascii="Courier New" w:cs="Courier New" w:eastAsia="Courier New" w:hAnsi="Courier New"/>
          <w:sz w:val="12"/>
          <w:szCs w:val="12"/>
          <w:color w:val="auto"/>
        </w:rPr>
        <w:t>respect or shall cease to constitute the legal, valid, binding and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enforceable obligation of the Borrower or in the case of any Security</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Document, fail to provide effective perfected security in favour of</w:t>
      </w:r>
    </w:p>
    <w:p>
      <w:pPr>
        <w:ind w:left="360"/>
        <w:spacing w:after="0"/>
        <w:rPr>
          <w:sz w:val="20"/>
          <w:szCs w:val="20"/>
          <w:color w:val="auto"/>
        </w:rPr>
      </w:pPr>
      <w:r>
        <w:rPr>
          <w:rFonts w:ascii="Courier New" w:cs="Courier New" w:eastAsia="Courier New" w:hAnsi="Courier New"/>
          <w:sz w:val="12"/>
          <w:szCs w:val="12"/>
          <w:color w:val="auto"/>
        </w:rPr>
        <w:t>the Bank over the Ramp-Up Equipment.</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12.6. DEFAULT UNDER THE FACILITY AGREEMENT</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A Default or Event of Default has occurred and is continuing. For the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avoidance of doubt, default under or a breach of the terms and</w:t>
      </w:r>
    </w:p>
    <w:p>
      <w:pPr>
        <w:ind w:left="360"/>
        <w:spacing w:after="0"/>
        <w:rPr>
          <w:sz w:val="20"/>
          <w:szCs w:val="20"/>
          <w:color w:val="auto"/>
        </w:rPr>
      </w:pPr>
      <w:r>
        <w:rPr>
          <w:rFonts w:ascii="Courier New" w:cs="Courier New" w:eastAsia="Courier New" w:hAnsi="Courier New"/>
          <w:sz w:val="12"/>
          <w:szCs w:val="12"/>
          <w:color w:val="auto"/>
        </w:rPr>
        <w:t>conditions of Permitted Subordinated Debt (including the Permitted</w:t>
      </w:r>
    </w:p>
    <w:p>
      <w:pPr>
        <w:ind w:left="360"/>
        <w:spacing w:after="0" w:line="237" w:lineRule="auto"/>
        <w:rPr>
          <w:sz w:val="20"/>
          <w:szCs w:val="20"/>
          <w:color w:val="auto"/>
        </w:rPr>
      </w:pPr>
      <w:r>
        <w:rPr>
          <w:rFonts w:ascii="Courier New" w:cs="Courier New" w:eastAsia="Courier New" w:hAnsi="Courier New"/>
          <w:sz w:val="12"/>
          <w:szCs w:val="12"/>
          <w:color w:val="auto"/>
        </w:rPr>
        <w:t>Subordinated TIC Debt) constitutes an Event of Default under clause</w:t>
      </w:r>
    </w:p>
    <w:p>
      <w:pPr>
        <w:ind w:left="360"/>
        <w:spacing w:after="0"/>
        <w:rPr>
          <w:sz w:val="20"/>
          <w:szCs w:val="20"/>
          <w:color w:val="auto"/>
        </w:rPr>
      </w:pPr>
      <w:r>
        <w:rPr>
          <w:rFonts w:ascii="Courier New" w:cs="Courier New" w:eastAsia="Courier New" w:hAnsi="Courier New"/>
          <w:sz w:val="12"/>
          <w:szCs w:val="12"/>
          <w:color w:val="auto"/>
        </w:rPr>
        <w:t>17.6.5 of the Facility Agreement.</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12.7. NO ENCUMBRANCE</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There shall exist no Encumbrance over the Ramp-Up Equipment other than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Permitted Encumbrances.</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- 25 -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12.8. EXECUTION OR OTHER PROCESS</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Any execution, attachment, sequestration or other process arising out</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of any claim by any third party against the Borrower, save where: (a)</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the Borrower is in good faith on reasonable grounds, contesting the</w:t>
      </w:r>
    </w:p>
    <w:p>
      <w:pPr>
        <w:ind w:left="360"/>
        <w:spacing w:after="0"/>
        <w:rPr>
          <w:sz w:val="20"/>
          <w:szCs w:val="20"/>
          <w:color w:val="auto"/>
        </w:rPr>
      </w:pPr>
      <w:r>
        <w:rPr>
          <w:rFonts w:ascii="Courier New" w:cs="Courier New" w:eastAsia="Courier New" w:hAnsi="Courier New"/>
          <w:sz w:val="12"/>
          <w:szCs w:val="12"/>
          <w:color w:val="auto"/>
        </w:rPr>
        <w:t>execution, attachment, sequestration or other process by appropriate</w:t>
      </w:r>
    </w:p>
    <w:p>
      <w:pPr>
        <w:ind w:left="360"/>
        <w:spacing w:after="0" w:line="237" w:lineRule="auto"/>
        <w:rPr>
          <w:sz w:val="20"/>
          <w:szCs w:val="20"/>
          <w:color w:val="auto"/>
        </w:rPr>
      </w:pPr>
      <w:r>
        <w:rPr>
          <w:rFonts w:ascii="Courier New" w:cs="Courier New" w:eastAsia="Courier New" w:hAnsi="Courier New"/>
          <w:sz w:val="12"/>
          <w:szCs w:val="12"/>
          <w:color w:val="auto"/>
        </w:rPr>
        <w:t>Proceedings diligently pursued; (b) the Bank is satisfied that the</w:t>
      </w:r>
    </w:p>
    <w:p>
      <w:pPr>
        <w:ind w:left="360"/>
        <w:spacing w:after="0"/>
        <w:rPr>
          <w:sz w:val="20"/>
          <w:szCs w:val="20"/>
          <w:color w:val="auto"/>
        </w:rPr>
      </w:pPr>
      <w:r>
        <w:rPr>
          <w:rFonts w:ascii="Courier New" w:cs="Courier New" w:eastAsia="Courier New" w:hAnsi="Courier New"/>
          <w:sz w:val="12"/>
          <w:szCs w:val="12"/>
          <w:color w:val="auto"/>
        </w:rPr>
        <w:t>ability of the Borrower to comply with its respective obligations</w:t>
      </w:r>
    </w:p>
    <w:p>
      <w:pPr>
        <w:ind w:left="360"/>
        <w:spacing w:after="0" w:line="237" w:lineRule="auto"/>
        <w:rPr>
          <w:sz w:val="20"/>
          <w:szCs w:val="20"/>
          <w:color w:val="auto"/>
        </w:rPr>
      </w:pPr>
      <w:r>
        <w:rPr>
          <w:rFonts w:ascii="Courier New" w:cs="Courier New" w:eastAsia="Courier New" w:hAnsi="Courier New"/>
          <w:sz w:val="12"/>
          <w:szCs w:val="12"/>
          <w:color w:val="auto"/>
        </w:rPr>
        <w:t>under this Agreement will not be adversely affected whilst such</w:t>
      </w:r>
    </w:p>
    <w:p>
      <w:pPr>
        <w:ind w:left="360"/>
        <w:spacing w:after="0"/>
        <w:rPr>
          <w:sz w:val="20"/>
          <w:szCs w:val="20"/>
          <w:color w:val="auto"/>
        </w:rPr>
      </w:pPr>
      <w:r>
        <w:rPr>
          <w:rFonts w:ascii="Courier New" w:cs="Courier New" w:eastAsia="Courier New" w:hAnsi="Courier New"/>
          <w:sz w:val="12"/>
          <w:szCs w:val="12"/>
          <w:color w:val="auto"/>
        </w:rPr>
        <w:t>distress, execution, attachment, diligence or other process is being</w:t>
      </w:r>
    </w:p>
    <w:p>
      <w:pPr>
        <w:ind w:left="360"/>
        <w:spacing w:after="0" w:line="237" w:lineRule="auto"/>
        <w:rPr>
          <w:sz w:val="20"/>
          <w:szCs w:val="20"/>
          <w:color w:val="auto"/>
        </w:rPr>
      </w:pPr>
      <w:r>
        <w:rPr>
          <w:rFonts w:ascii="Courier New" w:cs="Courier New" w:eastAsia="Courier New" w:hAnsi="Courier New"/>
          <w:sz w:val="12"/>
          <w:szCs w:val="12"/>
          <w:color w:val="auto"/>
        </w:rPr>
        <w:t>so contested; and (c) such process as aforesaid is cancelled or</w:t>
      </w:r>
    </w:p>
    <w:p>
      <w:pPr>
        <w:ind w:left="360"/>
        <w:spacing w:after="0"/>
        <w:rPr>
          <w:sz w:val="20"/>
          <w:szCs w:val="20"/>
          <w:color w:val="auto"/>
        </w:rPr>
      </w:pPr>
      <w:r>
        <w:rPr>
          <w:rFonts w:ascii="Courier New" w:cs="Courier New" w:eastAsia="Courier New" w:hAnsi="Courier New"/>
          <w:sz w:val="12"/>
          <w:szCs w:val="12"/>
          <w:color w:val="auto"/>
        </w:rPr>
        <w:t>withdrawn not later than 45 (forty-five) days after the institution</w:t>
      </w:r>
    </w:p>
    <w:p>
      <w:pPr>
        <w:ind w:left="360"/>
        <w:spacing w:after="0" w:line="237" w:lineRule="auto"/>
        <w:rPr>
          <w:sz w:val="20"/>
          <w:szCs w:val="20"/>
          <w:color w:val="auto"/>
        </w:rPr>
      </w:pPr>
      <w:r>
        <w:rPr>
          <w:rFonts w:ascii="Courier New" w:cs="Courier New" w:eastAsia="Courier New" w:hAnsi="Courier New"/>
          <w:sz w:val="12"/>
          <w:szCs w:val="12"/>
          <w:color w:val="auto"/>
        </w:rPr>
        <w:t>thereof.</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12.9. TIC UNDERTAKING</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12.9.1. Any of the representations and warranties by TIC in the</w:t>
      </w:r>
    </w:p>
    <w:p>
      <w:pPr>
        <w:ind w:left="700"/>
        <w:spacing w:after="0"/>
        <w:rPr>
          <w:sz w:val="20"/>
          <w:szCs w:val="20"/>
          <w:color w:val="auto"/>
        </w:rPr>
      </w:pPr>
      <w:r>
        <w:rPr>
          <w:rFonts w:ascii="Courier New" w:cs="Courier New" w:eastAsia="Courier New" w:hAnsi="Courier New"/>
          <w:sz w:val="12"/>
          <w:szCs w:val="12"/>
          <w:color w:val="auto"/>
        </w:rPr>
        <w:t>Undertaking are incorrect or misleading in any material respect</w:t>
      </w:r>
    </w:p>
    <w:p>
      <w:pPr>
        <w:ind w:left="700"/>
        <w:spacing w:after="0" w:line="237" w:lineRule="auto"/>
        <w:rPr>
          <w:sz w:val="20"/>
          <w:szCs w:val="20"/>
          <w:color w:val="auto"/>
        </w:rPr>
      </w:pPr>
      <w:r>
        <w:rPr>
          <w:rFonts w:ascii="Courier New" w:cs="Courier New" w:eastAsia="Courier New" w:hAnsi="Courier New"/>
          <w:sz w:val="12"/>
          <w:szCs w:val="12"/>
          <w:color w:val="auto"/>
        </w:rPr>
        <w:t>when made or deemed to be made or repeated.</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12.9.2. TIC fails to comply with any undertaking or obligation</w:t>
      </w:r>
    </w:p>
    <w:p>
      <w:pPr>
        <w:ind w:left="700"/>
        <w:spacing w:after="0"/>
        <w:rPr>
          <w:sz w:val="20"/>
          <w:szCs w:val="20"/>
          <w:color w:val="auto"/>
        </w:rPr>
      </w:pPr>
      <w:r>
        <w:rPr>
          <w:rFonts w:ascii="Courier New" w:cs="Courier New" w:eastAsia="Courier New" w:hAnsi="Courier New"/>
          <w:sz w:val="12"/>
          <w:szCs w:val="12"/>
          <w:color w:val="auto"/>
        </w:rPr>
        <w:t>contained in the Undertaking and, if such default is capable of</w:t>
      </w:r>
    </w:p>
    <w:p>
      <w:pPr>
        <w:ind w:left="700"/>
        <w:spacing w:after="0" w:line="237" w:lineRule="auto"/>
        <w:rPr>
          <w:sz w:val="20"/>
          <w:szCs w:val="20"/>
          <w:color w:val="auto"/>
        </w:rPr>
      </w:pPr>
      <w:r>
        <w:rPr>
          <w:rFonts w:ascii="Courier New" w:cs="Courier New" w:eastAsia="Courier New" w:hAnsi="Courier New"/>
          <w:sz w:val="12"/>
          <w:szCs w:val="12"/>
          <w:color w:val="auto"/>
        </w:rPr>
        <w:t>remedy within such period, within 7 (seven) days after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earlier of TIC becoming aware of such default and receipt by TIC</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of written notice from the Bank requiring the failure to be</w:t>
      </w:r>
    </w:p>
    <w:p>
      <w:pPr>
        <w:ind w:left="700"/>
        <w:spacing w:after="0"/>
        <w:rPr>
          <w:sz w:val="20"/>
          <w:szCs w:val="20"/>
          <w:color w:val="auto"/>
        </w:rPr>
      </w:pPr>
      <w:r>
        <w:rPr>
          <w:rFonts w:ascii="Courier New" w:cs="Courier New" w:eastAsia="Courier New" w:hAnsi="Courier New"/>
          <w:sz w:val="12"/>
          <w:szCs w:val="12"/>
          <w:color w:val="auto"/>
        </w:rPr>
        <w:t>remedied, that TIC shall have failed to cure such default.</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12.9.3. The Undertaking shall cease to be in full force and effect in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any material respect or shall cease to constitute the legal,</w:t>
      </w:r>
    </w:p>
    <w:p>
      <w:pPr>
        <w:ind w:left="700"/>
        <w:spacing w:after="0"/>
        <w:rPr>
          <w:sz w:val="20"/>
          <w:szCs w:val="20"/>
          <w:color w:val="auto"/>
        </w:rPr>
      </w:pPr>
      <w:r>
        <w:rPr>
          <w:rFonts w:ascii="Courier New" w:cs="Courier New" w:eastAsia="Courier New" w:hAnsi="Courier New"/>
          <w:sz w:val="12"/>
          <w:szCs w:val="12"/>
          <w:color w:val="auto"/>
        </w:rPr>
        <w:t>valid, binding and enforceable obligation of TIC or it shall be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unlawful for TIC to perform any of its material obligations under</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Undertaking, unless it expires in accordance with its terms.</w:t>
      </w:r>
    </w:p>
    <w:p>
      <w:pPr>
        <w:spacing w:after="0" w:line="141"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12.9.4. TIC repudiates the Undertaking.</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12.10. ACCELERATION</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Upon the occurrence of an Equipment Event of Default and at any time</w:t>
      </w:r>
    </w:p>
    <w:p>
      <w:pPr>
        <w:ind w:left="360"/>
        <w:spacing w:after="0"/>
        <w:rPr>
          <w:sz w:val="20"/>
          <w:szCs w:val="20"/>
          <w:color w:val="auto"/>
        </w:rPr>
      </w:pPr>
      <w:r>
        <w:rPr>
          <w:rFonts w:ascii="Courier New" w:cs="Courier New" w:eastAsia="Courier New" w:hAnsi="Courier New"/>
          <w:sz w:val="12"/>
          <w:szCs w:val="12"/>
          <w:color w:val="auto"/>
        </w:rPr>
        <w:t>thereafter while the same is continuing, the Bank may, by notice to</w:t>
      </w:r>
    </w:p>
    <w:p>
      <w:pPr>
        <w:ind w:left="360"/>
        <w:spacing w:after="0" w:line="237" w:lineRule="auto"/>
        <w:rPr>
          <w:sz w:val="20"/>
          <w:szCs w:val="20"/>
          <w:color w:val="auto"/>
        </w:rPr>
      </w:pPr>
      <w:r>
        <w:rPr>
          <w:rFonts w:ascii="Courier New" w:cs="Courier New" w:eastAsia="Courier New" w:hAnsi="Courier New"/>
          <w:sz w:val="12"/>
          <w:szCs w:val="12"/>
          <w:color w:val="auto"/>
        </w:rPr>
        <w:t>the Borrower:</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12.10.1. declare that an Equipment Facility Event of Default has</w:t>
      </w:r>
    </w:p>
    <w:p>
      <w:pPr>
        <w:ind w:left="700"/>
        <w:spacing w:after="0"/>
        <w:rPr>
          <w:sz w:val="20"/>
          <w:szCs w:val="20"/>
          <w:color w:val="auto"/>
        </w:rPr>
      </w:pPr>
      <w:r>
        <w:rPr>
          <w:rFonts w:ascii="Courier New" w:cs="Courier New" w:eastAsia="Courier New" w:hAnsi="Courier New"/>
          <w:sz w:val="12"/>
          <w:szCs w:val="12"/>
          <w:color w:val="auto"/>
        </w:rPr>
        <w:t>occurred; and/or</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- 26 -</w:t>
      </w:r>
    </w:p>
    <w:p>
      <w:pPr>
        <w:spacing w:after="0" w:line="38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12.10.2. declare that the Equipment Loans together with all Interest</w:t>
      </w:r>
    </w:p>
    <w:p>
      <w:pPr>
        <w:ind w:left="700"/>
        <w:spacing w:after="0"/>
        <w:rPr>
          <w:sz w:val="20"/>
          <w:szCs w:val="20"/>
          <w:color w:val="auto"/>
        </w:rPr>
      </w:pPr>
      <w:r>
        <w:rPr>
          <w:rFonts w:ascii="Courier New" w:cs="Courier New" w:eastAsia="Courier New" w:hAnsi="Courier New"/>
          <w:sz w:val="12"/>
          <w:szCs w:val="12"/>
          <w:color w:val="auto"/>
        </w:rPr>
        <w:t>accrued on all Equipment Loans and all other amounts (including</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amounts due under clause 14, to the extent applicable) payable by</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Borrower under this Agreement from time to time, shall</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thenceforth be repayable on demand being made by the Bank (and in</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event of any such demand, the Equipment Loans, such Interest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such other amounts shall be immediately due and payable);</w:t>
      </w:r>
    </w:p>
    <w:p>
      <w:pPr>
        <w:ind w:left="700"/>
        <w:spacing w:after="0"/>
        <w:rPr>
          <w:sz w:val="20"/>
          <w:szCs w:val="20"/>
          <w:color w:val="auto"/>
        </w:rPr>
      </w:pPr>
      <w:r>
        <w:rPr>
          <w:rFonts w:ascii="Courier New" w:cs="Courier New" w:eastAsia="Courier New" w:hAnsi="Courier New"/>
          <w:sz w:val="12"/>
          <w:szCs w:val="12"/>
          <w:color w:val="auto"/>
        </w:rPr>
        <w:t>and/or</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12.10.3. declare the Equipment Loans immediately due and payable,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whereupon they shall become immediately due and payable, together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with all Interest accrued on the Equipment Loans and all other</w:t>
      </w:r>
    </w:p>
    <w:p>
      <w:pPr>
        <w:ind w:left="700"/>
        <w:spacing w:after="0"/>
        <w:rPr>
          <w:sz w:val="20"/>
          <w:szCs w:val="20"/>
          <w:color w:val="auto"/>
        </w:rPr>
      </w:pPr>
      <w:r>
        <w:rPr>
          <w:rFonts w:ascii="Courier New" w:cs="Courier New" w:eastAsia="Courier New" w:hAnsi="Courier New"/>
          <w:sz w:val="12"/>
          <w:szCs w:val="12"/>
          <w:color w:val="auto"/>
        </w:rPr>
        <w:t>amounts payable by the Borrower (including, amounts due under</w:t>
      </w:r>
    </w:p>
    <w:p>
      <w:pPr>
        <w:ind w:left="700"/>
        <w:spacing w:after="0" w:line="237" w:lineRule="auto"/>
        <w:rPr>
          <w:sz w:val="20"/>
          <w:szCs w:val="20"/>
          <w:color w:val="auto"/>
        </w:rPr>
      </w:pPr>
      <w:r>
        <w:rPr>
          <w:rFonts w:ascii="Courier New" w:cs="Courier New" w:eastAsia="Courier New" w:hAnsi="Courier New"/>
          <w:sz w:val="12"/>
          <w:szCs w:val="12"/>
          <w:color w:val="auto"/>
        </w:rPr>
        <w:t>clause 14, to the extent applicable); and/or</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12.10.4. declare that the following amounts shall be payable on</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demand, or demand that the Borrower immediately place on deposit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the Charged Account, such deposit to be duly charged, by way</w:t>
      </w:r>
    </w:p>
    <w:p>
      <w:pPr>
        <w:ind w:left="700"/>
        <w:spacing w:after="0"/>
        <w:rPr>
          <w:sz w:val="20"/>
          <w:szCs w:val="20"/>
          <w:color w:val="auto"/>
        </w:rPr>
      </w:pPr>
      <w:r>
        <w:rPr>
          <w:rFonts w:ascii="Courier New" w:cs="Courier New" w:eastAsia="Courier New" w:hAnsi="Courier New"/>
          <w:sz w:val="12"/>
          <w:szCs w:val="12"/>
          <w:color w:val="auto"/>
        </w:rPr>
        <w:t>of a first-ranking fixed pledge and charge, to the satisfaction</w:t>
      </w:r>
    </w:p>
    <w:p>
      <w:pPr>
        <w:ind w:left="700"/>
        <w:spacing w:after="0" w:line="237" w:lineRule="auto"/>
        <w:rPr>
          <w:sz w:val="20"/>
          <w:szCs w:val="20"/>
          <w:color w:val="auto"/>
        </w:rPr>
      </w:pPr>
      <w:r>
        <w:rPr>
          <w:rFonts w:ascii="Courier New" w:cs="Courier New" w:eastAsia="Courier New" w:hAnsi="Courier New"/>
          <w:sz w:val="12"/>
          <w:szCs w:val="12"/>
          <w:color w:val="auto"/>
        </w:rPr>
        <w:t>of the Bank, an aggregate amount equal to the aggregate Maximum</w:t>
      </w:r>
    </w:p>
    <w:p>
      <w:pPr>
        <w:ind w:left="700"/>
        <w:spacing w:after="0"/>
        <w:rPr>
          <w:sz w:val="20"/>
          <w:szCs w:val="20"/>
          <w:color w:val="auto"/>
        </w:rPr>
      </w:pPr>
      <w:r>
        <w:rPr>
          <w:rFonts w:ascii="Courier New" w:cs="Courier New" w:eastAsia="Courier New" w:hAnsi="Courier New"/>
          <w:sz w:val="12"/>
          <w:szCs w:val="12"/>
          <w:color w:val="auto"/>
        </w:rPr>
        <w:t>Drawing Amounts of all Equipment L/Cs issued by the Bank.</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12.11. EQUIPMENT LOANS DUE ON DEMAND</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If, pursuant to clause 12.10.2 above the Bank declares the Equipment</w:t>
      </w:r>
    </w:p>
    <w:p>
      <w:pPr>
        <w:ind w:left="360"/>
        <w:spacing w:after="0"/>
        <w:rPr>
          <w:sz w:val="20"/>
          <w:szCs w:val="20"/>
          <w:color w:val="auto"/>
        </w:rPr>
      </w:pPr>
      <w:r>
        <w:rPr>
          <w:rFonts w:ascii="Courier New" w:cs="Courier New" w:eastAsia="Courier New" w:hAnsi="Courier New"/>
          <w:sz w:val="12"/>
          <w:szCs w:val="12"/>
          <w:color w:val="auto"/>
        </w:rPr>
        <w:t>Loans to be due and payable on demand, then and at any time</w:t>
      </w:r>
    </w:p>
    <w:p>
      <w:pPr>
        <w:ind w:left="360"/>
        <w:spacing w:after="0" w:line="237" w:lineRule="auto"/>
        <w:rPr>
          <w:sz w:val="20"/>
          <w:szCs w:val="20"/>
          <w:color w:val="auto"/>
        </w:rPr>
      </w:pPr>
      <w:r>
        <w:rPr>
          <w:rFonts w:ascii="Courier New" w:cs="Courier New" w:eastAsia="Courier New" w:hAnsi="Courier New"/>
          <w:sz w:val="12"/>
          <w:szCs w:val="12"/>
          <w:color w:val="auto"/>
        </w:rPr>
        <w:t>thereafter, so long as any Equipment Facility Event of Default is</w:t>
      </w:r>
    </w:p>
    <w:p>
      <w:pPr>
        <w:ind w:left="360"/>
        <w:spacing w:after="0"/>
        <w:rPr>
          <w:sz w:val="20"/>
          <w:szCs w:val="20"/>
          <w:color w:val="auto"/>
        </w:rPr>
      </w:pPr>
      <w:r>
        <w:rPr>
          <w:rFonts w:ascii="Courier New" w:cs="Courier New" w:eastAsia="Courier New" w:hAnsi="Courier New"/>
          <w:sz w:val="12"/>
          <w:szCs w:val="12"/>
          <w:color w:val="auto"/>
        </w:rPr>
        <w:t>continuing or has not been waived, the Bank may by written notice to</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the Borrower require repayment of the Equipment Loans on such date as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the Bank may specify in such notice (whereupon the same shall become</w:t>
      </w:r>
    </w:p>
    <w:p>
      <w:pPr>
        <w:ind w:left="360"/>
        <w:spacing w:after="0"/>
        <w:rPr>
          <w:sz w:val="20"/>
          <w:szCs w:val="20"/>
          <w:color w:val="auto"/>
        </w:rPr>
      </w:pPr>
      <w:r>
        <w:rPr>
          <w:rFonts w:ascii="Courier New" w:cs="Courier New" w:eastAsia="Courier New" w:hAnsi="Courier New"/>
          <w:sz w:val="12"/>
          <w:szCs w:val="12"/>
          <w:color w:val="auto"/>
        </w:rPr>
        <w:t>due and payable on such date together with accrued Interest thereon</w:t>
      </w:r>
    </w:p>
    <w:p>
      <w:pPr>
        <w:ind w:left="360"/>
        <w:spacing w:after="0" w:line="237" w:lineRule="auto"/>
        <w:rPr>
          <w:sz w:val="20"/>
          <w:szCs w:val="20"/>
          <w:color w:val="auto"/>
        </w:rPr>
      </w:pPr>
      <w:r>
        <w:rPr>
          <w:rFonts w:ascii="Courier New" w:cs="Courier New" w:eastAsia="Courier New" w:hAnsi="Courier New"/>
          <w:sz w:val="12"/>
          <w:szCs w:val="12"/>
          <w:color w:val="auto"/>
        </w:rPr>
        <w:t>and any other sums then owed by the Borrower hereunder) or withdraw</w:t>
      </w:r>
    </w:p>
    <w:p>
      <w:pPr>
        <w:ind w:left="360"/>
        <w:spacing w:after="0"/>
        <w:rPr>
          <w:sz w:val="20"/>
          <w:szCs w:val="20"/>
          <w:color w:val="auto"/>
        </w:rPr>
      </w:pPr>
      <w:r>
        <w:rPr>
          <w:rFonts w:ascii="Courier New" w:cs="Courier New" w:eastAsia="Courier New" w:hAnsi="Courier New"/>
          <w:sz w:val="12"/>
          <w:szCs w:val="12"/>
          <w:color w:val="auto"/>
        </w:rPr>
        <w:t>such declaration with effect from such date as they may specify in</w:t>
      </w:r>
    </w:p>
    <w:p>
      <w:pPr>
        <w:ind w:left="360"/>
        <w:spacing w:after="0" w:line="237" w:lineRule="auto"/>
        <w:rPr>
          <w:sz w:val="20"/>
          <w:szCs w:val="20"/>
          <w:color w:val="auto"/>
        </w:rPr>
      </w:pPr>
      <w:r>
        <w:rPr>
          <w:rFonts w:ascii="Courier New" w:cs="Courier New" w:eastAsia="Courier New" w:hAnsi="Courier New"/>
          <w:sz w:val="12"/>
          <w:szCs w:val="12"/>
          <w:color w:val="auto"/>
        </w:rPr>
        <w:t>such notice.</w:t>
      </w:r>
    </w:p>
    <w:p>
      <w:pPr>
        <w:sectPr>
          <w:pgSz w:w="11900" w:h="16838" w:orient="portrait"/>
          <w:cols w:equalWidth="0" w:num="1">
            <w:col w:w="9899"/>
          </w:cols>
          <w:pgMar w:left="560" w:top="141" w:right="1440" w:bottom="0" w:gutter="0" w:footer="0" w:header="0"/>
        </w:sectPr>
      </w:pPr>
    </w:p>
    <w:bookmarkStart w:id="86" w:name="page87"/>
    <w:bookmarkEnd w:id="86"/>
    <w:p>
      <w:pPr>
        <w:spacing w:after="0" w:line="6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12.12. COLLECTION</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the event of acceleration of the Equipment Loans pursuant to clause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12.10.3 above or of a written notice under clause 12.11 above, then,</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without derogating from any other remedies or relief available to the</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Bank under law or under this Agreement, the Bank shall be entitled to</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take all steps as it deems fit in order to collect all sums owed by</w:t>
      </w:r>
    </w:p>
    <w:p>
      <w:pPr>
        <w:ind w:left="708"/>
        <w:spacing w:after="0"/>
        <w:rPr>
          <w:sz w:val="20"/>
          <w:szCs w:val="20"/>
          <w:color w:val="auto"/>
        </w:rPr>
      </w:pPr>
      <w:r>
        <w:rPr>
          <w:rFonts w:ascii="Courier New" w:cs="Courier New" w:eastAsia="Courier New" w:hAnsi="Courier New"/>
          <w:sz w:val="12"/>
          <w:szCs w:val="12"/>
          <w:color w:val="auto"/>
        </w:rPr>
        <w:t>the Borrower to the Bank under or in connection with this Agreement</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(including all sums referred to in clause 12.10 above), including, to</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realise all or any of the assets secured under the Security Documents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with respect to the Equipment Loans, all at the expense of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Borrower and to utilise the sums received to repay in part or in full</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amounts owed by the Borrower hereunder.</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- 27 -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12.13. INDEMNITY</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shall indemnify the Bank against any losses, charges or</w:t>
      </w:r>
    </w:p>
    <w:p>
      <w:pPr>
        <w:ind w:left="708"/>
        <w:spacing w:after="0"/>
        <w:rPr>
          <w:sz w:val="20"/>
          <w:szCs w:val="20"/>
          <w:color w:val="auto"/>
        </w:rPr>
      </w:pPr>
      <w:r>
        <w:rPr>
          <w:rFonts w:ascii="Courier New" w:cs="Courier New" w:eastAsia="Courier New" w:hAnsi="Courier New"/>
          <w:sz w:val="12"/>
          <w:szCs w:val="12"/>
          <w:color w:val="auto"/>
        </w:rPr>
        <w:t>expenses which the Bank may sustain or incur as a consequence of:</w:t>
      </w:r>
    </w:p>
    <w:p>
      <w:pPr>
        <w:spacing w:after="0" w:line="138"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12.13.1. the occurrence of any Equipment Facility Event of Default or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Equipment Facility Default; or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12.13.2. the operation of clauses 12.10, 12.11 or 12.12,</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including, any losses, charges or expenses on account of funds</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acquired, contracted for or utilised to fund any amount payable under</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this Agreement or any amount repaid or prepaid. A certificate of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Bank as to the amount of any such loss or expense shall be PRIMA FACIE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evidence in the absence of manifest error.</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12.14. TERMINATION OF COMMITMENT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the event of the operation of clause 12.10 above, the Bank shall be</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entitled to terminate its Commitments. For the removal of doubt, such</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termination shall not derogate from any obligations of the Borrower to</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Bank under this Agreement.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12.15. NO DEROGATION OF RIGHTS UNDER FACILITY AGREEMENT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For the avoidance of doubt, nothing in this Agreement shall derogate</w:t>
      </w:r>
    </w:p>
    <w:p>
      <w:pPr>
        <w:ind w:left="708"/>
        <w:spacing w:after="0"/>
        <w:rPr>
          <w:sz w:val="20"/>
          <w:szCs w:val="20"/>
          <w:color w:val="auto"/>
        </w:rPr>
      </w:pPr>
      <w:r>
        <w:rPr>
          <w:rFonts w:ascii="Courier New" w:cs="Courier New" w:eastAsia="Courier New" w:hAnsi="Courier New"/>
          <w:sz w:val="12"/>
          <w:szCs w:val="12"/>
          <w:color w:val="auto"/>
        </w:rPr>
        <w:t>from the rights of the Banks to declare, upon the occurrence of an</w:t>
      </w:r>
    </w:p>
    <w:p>
      <w:pPr>
        <w:ind w:left="708"/>
        <w:spacing w:after="0" w:line="237" w:lineRule="auto"/>
        <w:rPr>
          <w:sz w:val="20"/>
          <w:szCs w:val="20"/>
          <w:color w:val="auto"/>
        </w:rPr>
      </w:pPr>
      <w:r>
        <w:rPr>
          <w:rFonts w:ascii="Courier New" w:cs="Courier New" w:eastAsia="Courier New" w:hAnsi="Courier New"/>
          <w:sz w:val="12"/>
          <w:szCs w:val="12"/>
          <w:color w:val="auto"/>
        </w:rPr>
        <w:t>Equipment Facility Event of Default, that an Event of Default under</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Facility Agreement has occurred and to exercise any and all rights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the Banks in connection therewith, including, INTER ALIA, to</w:t>
      </w:r>
    </w:p>
    <w:p>
      <w:pPr>
        <w:ind w:left="708"/>
        <w:spacing w:after="0"/>
        <w:rPr>
          <w:sz w:val="20"/>
          <w:szCs w:val="20"/>
          <w:color w:val="auto"/>
        </w:rPr>
      </w:pPr>
      <w:r>
        <w:rPr>
          <w:rFonts w:ascii="Courier New" w:cs="Courier New" w:eastAsia="Courier New" w:hAnsi="Courier New"/>
          <w:sz w:val="12"/>
          <w:szCs w:val="12"/>
          <w:color w:val="auto"/>
        </w:rPr>
        <w:t>declare all of the Loans under the Facility Agreement to be</w:t>
      </w:r>
    </w:p>
    <w:p>
      <w:pPr>
        <w:ind w:left="708"/>
        <w:spacing w:after="0" w:line="237" w:lineRule="auto"/>
        <w:rPr>
          <w:sz w:val="20"/>
          <w:szCs w:val="20"/>
          <w:color w:val="auto"/>
        </w:rPr>
      </w:pPr>
      <w:r>
        <w:rPr>
          <w:rFonts w:ascii="Courier New" w:cs="Courier New" w:eastAsia="Courier New" w:hAnsi="Courier New"/>
          <w:sz w:val="12"/>
          <w:szCs w:val="12"/>
          <w:color w:val="auto"/>
        </w:rPr>
        <w:t>immediately due and payable.</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- 28 -</w:t>
      </w:r>
    </w:p>
    <w:p>
      <w:pPr>
        <w:spacing w:after="0" w:line="386" w:lineRule="exact"/>
        <w:rPr>
          <w:sz w:val="20"/>
          <w:szCs w:val="20"/>
          <w:color w:val="auto"/>
        </w:rPr>
      </w:pPr>
    </w:p>
    <w:p>
      <w:pPr>
        <w:ind w:left="348" w:hanging="348"/>
        <w:spacing w:after="0"/>
        <w:tabs>
          <w:tab w:leader="none" w:pos="348" w:val="left"/>
        </w:tabs>
        <w:numPr>
          <w:ilvl w:val="0"/>
          <w:numId w:val="11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DEFAULT INTEREST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13.1. DEFAULT RATE PERIODS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If any sum due and payable by the Borrower hereunder is not paid (or,</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the case of the sums referred to in clause 12.10.4 above, not paid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or deposited) on the due date therefor in accordance with the</w:t>
      </w:r>
    </w:p>
    <w:p>
      <w:pPr>
        <w:ind w:left="708"/>
        <w:spacing w:after="0"/>
        <w:rPr>
          <w:sz w:val="20"/>
          <w:szCs w:val="20"/>
          <w:color w:val="auto"/>
        </w:rPr>
      </w:pPr>
      <w:r>
        <w:rPr>
          <w:rFonts w:ascii="Courier New" w:cs="Courier New" w:eastAsia="Courier New" w:hAnsi="Courier New"/>
          <w:sz w:val="12"/>
          <w:szCs w:val="12"/>
          <w:color w:val="auto"/>
        </w:rPr>
        <w:t>provisions of this Agreement ("UNPAID SUM"), the period beginning on</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such due date and ending on the date upon which the obligation of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Borrower to pay the Unpaid Sum is discharged, shall be divided into</w:t>
      </w:r>
    </w:p>
    <w:p>
      <w:pPr>
        <w:ind w:left="708"/>
        <w:spacing w:after="0"/>
        <w:rPr>
          <w:sz w:val="20"/>
          <w:szCs w:val="20"/>
          <w:color w:val="auto"/>
        </w:rPr>
      </w:pPr>
      <w:r>
        <w:rPr>
          <w:rFonts w:ascii="Courier New" w:cs="Courier New" w:eastAsia="Courier New" w:hAnsi="Courier New"/>
          <w:sz w:val="12"/>
          <w:szCs w:val="12"/>
          <w:color w:val="auto"/>
        </w:rPr>
        <w:t>successive periods, each of which (other than the first) shall start</w:t>
      </w:r>
    </w:p>
    <w:p>
      <w:pPr>
        <w:ind w:left="708"/>
        <w:spacing w:after="0" w:line="237" w:lineRule="auto"/>
        <w:rPr>
          <w:sz w:val="20"/>
          <w:szCs w:val="20"/>
          <w:color w:val="auto"/>
        </w:rPr>
      </w:pPr>
      <w:r>
        <w:rPr>
          <w:rFonts w:ascii="Courier New" w:cs="Courier New" w:eastAsia="Courier New" w:hAnsi="Courier New"/>
          <w:sz w:val="12"/>
          <w:szCs w:val="12"/>
          <w:color w:val="auto"/>
        </w:rPr>
        <w:t>on the last day of such preceding period and the duration of each of</w:t>
      </w:r>
    </w:p>
    <w:p>
      <w:pPr>
        <w:ind w:left="708"/>
        <w:spacing w:after="0"/>
        <w:rPr>
          <w:sz w:val="20"/>
          <w:szCs w:val="20"/>
          <w:color w:val="auto"/>
        </w:rPr>
      </w:pPr>
      <w:r>
        <w:rPr>
          <w:rFonts w:ascii="Courier New" w:cs="Courier New" w:eastAsia="Courier New" w:hAnsi="Courier New"/>
          <w:sz w:val="12"/>
          <w:szCs w:val="12"/>
          <w:color w:val="auto"/>
        </w:rPr>
        <w:t>which shall (except as otherwise provided in this clause 13) be</w:t>
      </w:r>
    </w:p>
    <w:p>
      <w:pPr>
        <w:ind w:left="708"/>
        <w:spacing w:after="0" w:line="237" w:lineRule="auto"/>
        <w:rPr>
          <w:sz w:val="20"/>
          <w:szCs w:val="20"/>
          <w:color w:val="auto"/>
        </w:rPr>
      </w:pPr>
      <w:r>
        <w:rPr>
          <w:rFonts w:ascii="Courier New" w:cs="Courier New" w:eastAsia="Courier New" w:hAnsi="Courier New"/>
          <w:sz w:val="12"/>
          <w:szCs w:val="12"/>
          <w:color w:val="auto"/>
        </w:rPr>
        <w:t>selected by the Bank (such periods selected as aforesaid "INTEREST</w:t>
      </w:r>
    </w:p>
    <w:p>
      <w:pPr>
        <w:ind w:left="708"/>
        <w:spacing w:after="0"/>
        <w:rPr>
          <w:sz w:val="20"/>
          <w:szCs w:val="20"/>
          <w:color w:val="auto"/>
        </w:rPr>
      </w:pPr>
      <w:r>
        <w:rPr>
          <w:rFonts w:ascii="Courier New" w:cs="Courier New" w:eastAsia="Courier New" w:hAnsi="Courier New"/>
          <w:sz w:val="12"/>
          <w:szCs w:val="12"/>
          <w:color w:val="auto"/>
        </w:rPr>
        <w:t>PERIODS").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13.2. DEFAULT INTEREST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During each such Interest Period as is mentioned in clause 13.1 above,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 Unpaid Sum shall bear Interest at the rate per annum which is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sum from time to time of: (a) 3% (three percent); and (b) the Interest</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rate in respect of such Interest Period as would have been determined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 accordance with clause 7.1 above (provided that, if, for any such</w:t>
      </w:r>
    </w:p>
    <w:p>
      <w:pPr>
        <w:ind w:left="708"/>
        <w:spacing w:after="0"/>
        <w:rPr>
          <w:sz w:val="20"/>
          <w:szCs w:val="20"/>
          <w:color w:val="auto"/>
        </w:rPr>
      </w:pPr>
      <w:r>
        <w:rPr>
          <w:rFonts w:ascii="Courier New" w:cs="Courier New" w:eastAsia="Courier New" w:hAnsi="Courier New"/>
          <w:sz w:val="12"/>
          <w:szCs w:val="12"/>
          <w:color w:val="auto"/>
        </w:rPr>
        <w:t>Interest Period LIBOR cannot be determined, the rate of Interest</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applicable to such Unpaid Sum shall be the rate per annum which is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sum of: (i) 3% (three percent); and (ii) 3% (three percent) plus a</w:t>
      </w:r>
    </w:p>
    <w:p>
      <w:pPr>
        <w:ind w:left="708"/>
        <w:spacing w:after="0"/>
        <w:rPr>
          <w:sz w:val="20"/>
          <w:szCs w:val="20"/>
          <w:color w:val="auto"/>
        </w:rPr>
      </w:pPr>
      <w:r>
        <w:rPr>
          <w:rFonts w:ascii="Courier New" w:cs="Courier New" w:eastAsia="Courier New" w:hAnsi="Courier New"/>
          <w:sz w:val="12"/>
          <w:szCs w:val="12"/>
          <w:color w:val="auto"/>
        </w:rPr>
        <w:t>rate as certified by the Bank in accordance with clause 7.4 above.</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13.3. PAYMENT OF DEFAULT INTEREST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Any Interest which shall have accrued under clause 13.2 above in</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respect of an Unpaid Sum shall be due and payable and shall be paid by</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Borrower at the end of each Interest Period by reference to which</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it is calculated or on such other dates as the Bank may specify by</w:t>
      </w:r>
    </w:p>
    <w:p>
      <w:pPr>
        <w:ind w:left="708"/>
        <w:spacing w:after="0"/>
        <w:rPr>
          <w:sz w:val="20"/>
          <w:szCs w:val="20"/>
          <w:color w:val="auto"/>
        </w:rPr>
      </w:pPr>
      <w:r>
        <w:rPr>
          <w:rFonts w:ascii="Courier New" w:cs="Courier New" w:eastAsia="Courier New" w:hAnsi="Courier New"/>
          <w:sz w:val="12"/>
          <w:szCs w:val="12"/>
          <w:color w:val="auto"/>
        </w:rPr>
        <w:t>written notice to the Borrower.</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- 29 -</w:t>
      </w:r>
    </w:p>
    <w:p>
      <w:pPr>
        <w:spacing w:after="0" w:line="391" w:lineRule="exact"/>
        <w:rPr>
          <w:sz w:val="20"/>
          <w:szCs w:val="20"/>
          <w:color w:val="auto"/>
        </w:rPr>
      </w:pPr>
    </w:p>
    <w:p>
      <w:pPr>
        <w:ind w:left="348" w:right="8219" w:hanging="348"/>
        <w:spacing w:after="0" w:line="520" w:lineRule="auto"/>
        <w:tabs>
          <w:tab w:leader="none" w:pos="348" w:val="left"/>
        </w:tabs>
        <w:numPr>
          <w:ilvl w:val="0"/>
          <w:numId w:val="119"/>
        </w:numPr>
        <w:rPr>
          <w:rFonts w:ascii="Courier New" w:cs="Courier New" w:eastAsia="Courier New" w:hAnsi="Courier New"/>
          <w:sz w:val="11"/>
          <w:szCs w:val="11"/>
          <w:color w:val="auto"/>
        </w:rPr>
      </w:pPr>
      <w:r>
        <w:rPr>
          <w:rFonts w:ascii="Courier New" w:cs="Courier New" w:eastAsia="Courier New" w:hAnsi="Courier New"/>
          <w:sz w:val="11"/>
          <w:szCs w:val="11"/>
          <w:color w:val="auto"/>
        </w:rPr>
        <w:t>BROKEN FUNDING INDEMNITY 14.1. BROKEN FUNDING</w:t>
      </w:r>
    </w:p>
    <w:p>
      <w:pPr>
        <w:ind w:left="708"/>
        <w:spacing w:after="0"/>
        <w:rPr>
          <w:sz w:val="20"/>
          <w:szCs w:val="20"/>
          <w:color w:val="auto"/>
        </w:rPr>
      </w:pPr>
      <w:r>
        <w:rPr>
          <w:rFonts w:ascii="Courier New" w:cs="Courier New" w:eastAsia="Courier New" w:hAnsi="Courier New"/>
          <w:sz w:val="11"/>
          <w:szCs w:val="11"/>
          <w:color w:val="auto"/>
        </w:rPr>
        <w:t>If the Bank receives or recovers all or any part of any Equipment Loan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otherwise than on the scheduled date of repayment of such amount</w:t>
      </w:r>
    </w:p>
    <w:p>
      <w:pPr>
        <w:ind w:left="708"/>
        <w:spacing w:after="0"/>
        <w:rPr>
          <w:sz w:val="20"/>
          <w:szCs w:val="20"/>
          <w:color w:val="auto"/>
        </w:rPr>
      </w:pPr>
      <w:r>
        <w:rPr>
          <w:rFonts w:ascii="Courier New" w:cs="Courier New" w:eastAsia="Courier New" w:hAnsi="Courier New"/>
          <w:sz w:val="12"/>
          <w:szCs w:val="12"/>
          <w:color w:val="auto"/>
        </w:rPr>
        <w:t>relating to such Equipment Loan, the Borrower shall on the first</w:t>
      </w:r>
    </w:p>
    <w:p>
      <w:pPr>
        <w:ind w:left="708"/>
        <w:spacing w:after="0" w:line="237" w:lineRule="auto"/>
        <w:rPr>
          <w:sz w:val="20"/>
          <w:szCs w:val="20"/>
          <w:color w:val="auto"/>
        </w:rPr>
      </w:pPr>
      <w:r>
        <w:rPr>
          <w:rFonts w:ascii="Courier New" w:cs="Courier New" w:eastAsia="Courier New" w:hAnsi="Courier New"/>
          <w:sz w:val="12"/>
          <w:szCs w:val="12"/>
          <w:color w:val="auto"/>
        </w:rPr>
        <w:t>Interest Payment Date following such repayment on demand pay to the</w:t>
      </w:r>
    </w:p>
    <w:p>
      <w:pPr>
        <w:ind w:left="708"/>
        <w:spacing w:after="0"/>
        <w:rPr>
          <w:sz w:val="20"/>
          <w:szCs w:val="20"/>
          <w:color w:val="auto"/>
        </w:rPr>
      </w:pPr>
      <w:r>
        <w:rPr>
          <w:rFonts w:ascii="Courier New" w:cs="Courier New" w:eastAsia="Courier New" w:hAnsi="Courier New"/>
          <w:sz w:val="12"/>
          <w:szCs w:val="12"/>
          <w:color w:val="auto"/>
        </w:rPr>
        <w:t>Bank an amount equal to the amount (if any) by which: (a) the</w:t>
      </w:r>
    </w:p>
    <w:p>
      <w:pPr>
        <w:ind w:left="708"/>
        <w:spacing w:after="0" w:line="237" w:lineRule="auto"/>
        <w:rPr>
          <w:sz w:val="20"/>
          <w:szCs w:val="20"/>
          <w:color w:val="auto"/>
        </w:rPr>
      </w:pPr>
      <w:r>
        <w:rPr>
          <w:rFonts w:ascii="Courier New" w:cs="Courier New" w:eastAsia="Courier New" w:hAnsi="Courier New"/>
          <w:sz w:val="12"/>
          <w:szCs w:val="12"/>
          <w:color w:val="auto"/>
        </w:rPr>
        <w:t>additional amount of Interest which would, in accordance with the</w:t>
      </w:r>
    </w:p>
    <w:p>
      <w:pPr>
        <w:ind w:left="708"/>
        <w:spacing w:after="0"/>
        <w:rPr>
          <w:sz w:val="20"/>
          <w:szCs w:val="20"/>
          <w:color w:val="auto"/>
        </w:rPr>
      </w:pPr>
      <w:r>
        <w:rPr>
          <w:rFonts w:ascii="Courier New" w:cs="Courier New" w:eastAsia="Courier New" w:hAnsi="Courier New"/>
          <w:sz w:val="12"/>
          <w:szCs w:val="12"/>
          <w:color w:val="auto"/>
        </w:rPr>
        <w:t>terms of this Agreement, have been payable on the amount so received</w:t>
      </w:r>
    </w:p>
    <w:p>
      <w:pPr>
        <w:ind w:left="708"/>
        <w:spacing w:after="0" w:line="237" w:lineRule="auto"/>
        <w:rPr>
          <w:sz w:val="20"/>
          <w:szCs w:val="20"/>
          <w:color w:val="auto"/>
        </w:rPr>
      </w:pPr>
      <w:r>
        <w:rPr>
          <w:rFonts w:ascii="Courier New" w:cs="Courier New" w:eastAsia="Courier New" w:hAnsi="Courier New"/>
          <w:sz w:val="12"/>
          <w:szCs w:val="12"/>
          <w:color w:val="auto"/>
        </w:rPr>
        <w:t>or recovered had it been received or recovered on the following</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Interest Payment Date exceeds (b) the amount of Interest which, in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opinion of the Bank, would have been payable to the Bank on the last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day of such Interest Period in respect of a deposit in the currency of</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relevant Loan, of an amount equal to the amount so received or</w:t>
      </w:r>
    </w:p>
    <w:p>
      <w:pPr>
        <w:ind w:left="708"/>
        <w:spacing w:after="0"/>
        <w:rPr>
          <w:sz w:val="20"/>
          <w:szCs w:val="20"/>
          <w:color w:val="auto"/>
        </w:rPr>
      </w:pPr>
      <w:r>
        <w:rPr>
          <w:rFonts w:ascii="Courier New" w:cs="Courier New" w:eastAsia="Courier New" w:hAnsi="Courier New"/>
          <w:sz w:val="12"/>
          <w:szCs w:val="12"/>
          <w:color w:val="auto"/>
        </w:rPr>
        <w:t>recovered, had such an amount been placed by it with a prime bank in</w:t>
      </w:r>
    </w:p>
    <w:p>
      <w:pPr>
        <w:ind w:left="708"/>
        <w:spacing w:after="0" w:line="237" w:lineRule="auto"/>
        <w:rPr>
          <w:sz w:val="20"/>
          <w:szCs w:val="20"/>
          <w:color w:val="auto"/>
        </w:rPr>
      </w:pPr>
      <w:r>
        <w:rPr>
          <w:rFonts w:ascii="Courier New" w:cs="Courier New" w:eastAsia="Courier New" w:hAnsi="Courier New"/>
          <w:sz w:val="12"/>
          <w:szCs w:val="12"/>
          <w:color w:val="auto"/>
        </w:rPr>
        <w:t>London for a period starting on the date of such receipt or recovery</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and ending on the following Interest Payment Date. For the removal of</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doubt: (i) with respect to all or any part of any Equipment Loan</w:t>
      </w:r>
    </w:p>
    <w:p>
      <w:pPr>
        <w:ind w:left="708"/>
        <w:spacing w:after="0"/>
        <w:rPr>
          <w:sz w:val="20"/>
          <w:szCs w:val="20"/>
          <w:color w:val="auto"/>
        </w:rPr>
      </w:pPr>
      <w:r>
        <w:rPr>
          <w:rFonts w:ascii="Courier New" w:cs="Courier New" w:eastAsia="Courier New" w:hAnsi="Courier New"/>
          <w:sz w:val="12"/>
          <w:szCs w:val="12"/>
          <w:color w:val="auto"/>
        </w:rPr>
        <w:t>received or recovered otherwise than on the scheduled date of</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repayment of such amount relating to such Equipment Loan, the payment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set forth above shall only be made once; and (ii) voluntary or</w:t>
      </w:r>
    </w:p>
    <w:p>
      <w:pPr>
        <w:ind w:left="708"/>
        <w:spacing w:after="0"/>
        <w:rPr>
          <w:sz w:val="20"/>
          <w:szCs w:val="20"/>
          <w:color w:val="auto"/>
        </w:rPr>
      </w:pPr>
      <w:r>
        <w:rPr>
          <w:rFonts w:ascii="Courier New" w:cs="Courier New" w:eastAsia="Courier New" w:hAnsi="Courier New"/>
          <w:sz w:val="12"/>
          <w:szCs w:val="12"/>
          <w:color w:val="auto"/>
        </w:rPr>
        <w:t>mandatory prepayments made in accordance with clause 6 above on an</w:t>
      </w:r>
    </w:p>
    <w:p>
      <w:pPr>
        <w:sectPr>
          <w:pgSz w:w="11900" w:h="16903" w:orient="portrait"/>
          <w:cols w:equalWidth="0" w:num="1">
            <w:col w:w="10247"/>
          </w:cols>
          <w:pgMar w:left="212" w:top="272" w:right="1440" w:bottom="0" w:gutter="0" w:footer="0" w:header="0"/>
        </w:sectPr>
      </w:pPr>
    </w:p>
    <w:bookmarkStart w:id="87" w:name="page88"/>
    <w:bookmarkEnd w:id="87"/>
    <w:p>
      <w:pPr>
        <w:ind w:left="708"/>
        <w:spacing w:after="0"/>
        <w:rPr>
          <w:sz w:val="20"/>
          <w:szCs w:val="20"/>
          <w:color w:val="auto"/>
        </w:rPr>
      </w:pPr>
      <w:r>
        <w:rPr>
          <w:rFonts w:ascii="Courier New" w:cs="Courier New" w:eastAsia="Courier New" w:hAnsi="Courier New"/>
          <w:sz w:val="12"/>
          <w:szCs w:val="12"/>
          <w:color w:val="auto"/>
        </w:rPr>
        <w:t>Interest Payment Date shall not be subject to a payment of broken</w:t>
      </w:r>
    </w:p>
    <w:p>
      <w:pPr>
        <w:ind w:left="708"/>
        <w:spacing w:after="0"/>
        <w:rPr>
          <w:sz w:val="20"/>
          <w:szCs w:val="20"/>
          <w:color w:val="auto"/>
        </w:rPr>
      </w:pPr>
      <w:r>
        <w:rPr>
          <w:rFonts w:ascii="Courier New" w:cs="Courier New" w:eastAsia="Courier New" w:hAnsi="Courier New"/>
          <w:sz w:val="12"/>
          <w:szCs w:val="12"/>
          <w:color w:val="auto"/>
        </w:rPr>
        <w:t>funding in accordance with this clause 14.1.</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14.2. FAILURE TO DRAW AN EQUIPMENT LOAN</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 the event that the Borrower shall make any Drawdown Request, but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shall not be entitled to receive the relevant Equipment Loan by reason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not having fulfilled all of the conditions therefor listed in</w:t>
      </w:r>
    </w:p>
    <w:p>
      <w:pPr>
        <w:ind w:left="708"/>
        <w:spacing w:after="0"/>
        <w:rPr>
          <w:sz w:val="20"/>
          <w:szCs w:val="20"/>
          <w:color w:val="auto"/>
        </w:rPr>
      </w:pPr>
      <w:r>
        <w:rPr>
          <w:rFonts w:ascii="Courier New" w:cs="Courier New" w:eastAsia="Courier New" w:hAnsi="Courier New"/>
          <w:sz w:val="12"/>
          <w:szCs w:val="12"/>
          <w:color w:val="auto"/>
        </w:rPr>
        <w:t>clauses 4.1 or 4.2 above, then, without derogating from any other</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right of the Bank hereunder and under any applicable law, the Borrower</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shall indemnify and compensate the Bank for any and all of the Bank's</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costs and expenses in financing the amount requested by the Borrower,</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liquidation of any such funds and including loss of profit of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Bank by reason of any such event.</w:t>
      </w:r>
    </w:p>
    <w:p>
      <w:pPr>
        <w:spacing w:after="0" w:line="134" w:lineRule="exact"/>
        <w:rPr>
          <w:sz w:val="20"/>
          <w:szCs w:val="20"/>
          <w:color w:val="auto"/>
        </w:rPr>
      </w:pPr>
    </w:p>
    <w:p>
      <w:pPr>
        <w:ind w:left="348" w:hanging="348"/>
        <w:spacing w:after="0"/>
        <w:tabs>
          <w:tab w:leader="none" w:pos="348" w:val="left"/>
        </w:tabs>
        <w:numPr>
          <w:ilvl w:val="0"/>
          <w:numId w:val="1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15.1. PAYMENTS BY BORROWER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payments to be made by the Borrower to the Bank shall be made in</w:t>
      </w:r>
    </w:p>
    <w:p>
      <w:pPr>
        <w:ind w:left="708"/>
        <w:spacing w:after="0"/>
        <w:rPr>
          <w:sz w:val="20"/>
          <w:szCs w:val="20"/>
          <w:color w:val="auto"/>
        </w:rPr>
      </w:pPr>
      <w:r>
        <w:rPr>
          <w:rFonts w:ascii="Courier New" w:cs="Courier New" w:eastAsia="Courier New" w:hAnsi="Courier New"/>
          <w:sz w:val="12"/>
          <w:szCs w:val="12"/>
          <w:color w:val="auto"/>
        </w:rPr>
        <w:t>same day funds to the Charged Account, which account shall be duly</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charged in favour of the Bank (or if all of the Equipment Lenders are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Banks, in favour of the Banks) by way of a first-ranking fixed</w:t>
      </w:r>
    </w:p>
    <w:p>
      <w:pPr>
        <w:ind w:left="708"/>
        <w:spacing w:after="0"/>
        <w:rPr>
          <w:sz w:val="20"/>
          <w:szCs w:val="20"/>
          <w:color w:val="auto"/>
        </w:rPr>
      </w:pPr>
      <w:r>
        <w:rPr>
          <w:rFonts w:ascii="Courier New" w:cs="Courier New" w:eastAsia="Courier New" w:hAnsi="Courier New"/>
          <w:sz w:val="12"/>
          <w:szCs w:val="12"/>
          <w:color w:val="auto"/>
        </w:rPr>
        <w:t>pledge and charge under the Debenture. All payments required to be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made by the Borrower under this Agreement shall be calculated without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reference to any set-off or counterclaim and shall be made free and</w:t>
      </w:r>
    </w:p>
    <w:p>
      <w:pPr>
        <w:ind w:left="708"/>
        <w:spacing w:after="0"/>
        <w:rPr>
          <w:sz w:val="20"/>
          <w:szCs w:val="20"/>
          <w:color w:val="auto"/>
        </w:rPr>
      </w:pPr>
      <w:r>
        <w:rPr>
          <w:rFonts w:ascii="Courier New" w:cs="Courier New" w:eastAsia="Courier New" w:hAnsi="Courier New"/>
          <w:sz w:val="12"/>
          <w:szCs w:val="12"/>
          <w:color w:val="auto"/>
        </w:rPr>
        <w:t>clear of and without any deduction for or on account of, any set-off</w:t>
      </w:r>
    </w:p>
    <w:p>
      <w:pPr>
        <w:ind w:left="708"/>
        <w:spacing w:after="0" w:line="237" w:lineRule="auto"/>
        <w:rPr>
          <w:sz w:val="20"/>
          <w:szCs w:val="20"/>
          <w:color w:val="auto"/>
        </w:rPr>
      </w:pPr>
      <w:r>
        <w:rPr>
          <w:rFonts w:ascii="Courier New" w:cs="Courier New" w:eastAsia="Courier New" w:hAnsi="Courier New"/>
          <w:sz w:val="12"/>
          <w:szCs w:val="12"/>
          <w:color w:val="auto"/>
        </w:rPr>
        <w:t>or counterclaim.</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- 30 -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15.2. PAYMENTS BY BANK TO BORROWER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payments to be made by the Bank to the Borrower in respect of</w:t>
      </w:r>
    </w:p>
    <w:p>
      <w:pPr>
        <w:ind w:left="708"/>
        <w:spacing w:after="0"/>
        <w:rPr>
          <w:sz w:val="20"/>
          <w:szCs w:val="20"/>
          <w:color w:val="auto"/>
        </w:rPr>
      </w:pPr>
      <w:r>
        <w:rPr>
          <w:rFonts w:ascii="Courier New" w:cs="Courier New" w:eastAsia="Courier New" w:hAnsi="Courier New"/>
          <w:sz w:val="12"/>
          <w:szCs w:val="12"/>
          <w:color w:val="auto"/>
        </w:rPr>
        <w:t>Advances shall be made by transfer of such payment to the Charged</w:t>
      </w:r>
    </w:p>
    <w:p>
      <w:pPr>
        <w:ind w:left="708"/>
        <w:spacing w:after="0" w:line="237" w:lineRule="auto"/>
        <w:rPr>
          <w:sz w:val="20"/>
          <w:szCs w:val="20"/>
          <w:color w:val="auto"/>
        </w:rPr>
      </w:pPr>
      <w:r>
        <w:rPr>
          <w:rFonts w:ascii="Courier New" w:cs="Courier New" w:eastAsia="Courier New" w:hAnsi="Courier New"/>
          <w:sz w:val="12"/>
          <w:szCs w:val="12"/>
          <w:color w:val="auto"/>
        </w:rPr>
        <w:t>Account.</w:t>
      </w:r>
    </w:p>
    <w:p>
      <w:pPr>
        <w:spacing w:after="0" w:line="139" w:lineRule="exact"/>
        <w:rPr>
          <w:sz w:val="20"/>
          <w:szCs w:val="20"/>
          <w:color w:val="auto"/>
        </w:rPr>
      </w:pPr>
    </w:p>
    <w:p>
      <w:pPr>
        <w:jc w:val="both"/>
        <w:ind w:left="348" w:right="7579" w:hanging="348"/>
        <w:spacing w:after="0" w:line="273" w:lineRule="auto"/>
        <w:tabs>
          <w:tab w:leader="none" w:pos="348" w:val="left"/>
        </w:tabs>
        <w:numPr>
          <w:ilvl w:val="0"/>
          <w:numId w:val="121"/>
        </w:numPr>
        <w:rPr>
          <w:rFonts w:ascii="Courier New" w:cs="Courier New" w:eastAsia="Courier New" w:hAnsi="Courier New"/>
          <w:sz w:val="11"/>
          <w:szCs w:val="11"/>
          <w:color w:val="auto"/>
        </w:rPr>
      </w:pPr>
      <w:r>
        <w:rPr>
          <w:rFonts w:ascii="Courier New" w:cs="Courier New" w:eastAsia="Courier New" w:hAnsi="Courier New"/>
          <w:sz w:val="11"/>
          <w:szCs w:val="11"/>
          <w:color w:val="auto"/>
        </w:rPr>
        <w:t>SET-OFF; APPLICATION OF PAYMENTS; CALCULATIONS AND EVIDENCE OF DEBT</w:t>
      </w:r>
    </w:p>
    <w:p>
      <w:pPr>
        <w:spacing w:after="0" w:line="121" w:lineRule="exact"/>
        <w:rPr>
          <w:rFonts w:ascii="Courier New" w:cs="Courier New" w:eastAsia="Courier New" w:hAnsi="Courier New"/>
          <w:sz w:val="11"/>
          <w:szCs w:val="11"/>
          <w:color w:val="auto"/>
        </w:rPr>
      </w:pPr>
    </w:p>
    <w:p>
      <w:pPr>
        <w:ind w:left="348" w:right="4839"/>
        <w:spacing w:after="0" w:line="237" w:lineRule="auto"/>
        <w:rPr>
          <w:rFonts w:ascii="Courier New" w:cs="Courier New" w:eastAsia="Courier New" w:hAnsi="Courier New"/>
          <w:sz w:val="11"/>
          <w:szCs w:val="11"/>
          <w:color w:val="auto"/>
        </w:rPr>
      </w:pPr>
      <w:r>
        <w:rPr>
          <w:rFonts w:ascii="Courier New" w:cs="Courier New" w:eastAsia="Courier New" w:hAnsi="Courier New"/>
          <w:sz w:val="12"/>
          <w:szCs w:val="12"/>
          <w:color w:val="auto"/>
        </w:rPr>
        <w:t>The provisions of clause 21 ("SET-OFF"), clause 22 ("APPLICATION OF PAYMENTS") and clause 23 ("CALCULATIONS AND EVIDENCE OF DEBT") of the Facility Agreement are hereby incorporated by reference and shall apply, MUTATIS MUTANDIS, as if all references therein to the "Banks" or any of them were references to the "Bank".</w:t>
      </w:r>
    </w:p>
    <w:p>
      <w:pPr>
        <w:spacing w:after="0" w:line="135" w:lineRule="exact"/>
        <w:rPr>
          <w:rFonts w:ascii="Courier New" w:cs="Courier New" w:eastAsia="Courier New" w:hAnsi="Courier New"/>
          <w:sz w:val="11"/>
          <w:szCs w:val="11"/>
          <w:color w:val="auto"/>
        </w:rPr>
      </w:pPr>
    </w:p>
    <w:p>
      <w:pPr>
        <w:ind w:left="348" w:hanging="348"/>
        <w:spacing w:after="0"/>
        <w:tabs>
          <w:tab w:leader="none" w:pos="348" w:val="left"/>
        </w:tabs>
        <w:numPr>
          <w:ilvl w:val="0"/>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138" w:lineRule="exact"/>
        <w:rPr>
          <w:rFonts w:ascii="Courier New" w:cs="Courier New" w:eastAsia="Courier New" w:hAnsi="Courier New"/>
          <w:sz w:val="12"/>
          <w:szCs w:val="12"/>
          <w:color w:val="auto"/>
        </w:rPr>
      </w:pPr>
    </w:p>
    <w:p>
      <w:pPr>
        <w:ind w:left="348"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provisions of clause 25 ("ASSIGNMENTS AND TRANSFERS"), clause 26 ("REMEDIES AND WAIVERS"), clause 27 ("NOTICES") (other than clause 27.2.3), clause 28 ("AMENDMENTS"), clause 29 ("COUNTERPARTS"), clause 30 ("GOVERNING LAW AND JURISDICTION"), clause 31 ("ENTIRE AGREEMENT"), clause 32 ("CONFIDENTIALITY") and clause 33 ("BANKS REPRESENTATION") of the Facility Agreement are hereby incorporated by reference and shall apply, MUTATIS MUTANDIS, as if all references therein to the "Banks" or any of them or the "Loans" were references to the "Bank" and the "Equipment Loans".</w:t>
      </w:r>
    </w:p>
    <w:p>
      <w:pPr>
        <w:spacing w:after="0" w:line="258"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31 -</w:t>
      </w:r>
    </w:p>
    <w:p>
      <w:pPr>
        <w:spacing w:after="0" w:line="391" w:lineRule="exact"/>
        <w:rPr>
          <w:sz w:val="20"/>
          <w:szCs w:val="20"/>
          <w:color w:val="auto"/>
        </w:rPr>
      </w:pPr>
    </w:p>
    <w:p>
      <w:pPr>
        <w:ind w:left="8" w:right="4619"/>
        <w:spacing w:after="0" w:line="235" w:lineRule="auto"/>
        <w:rPr>
          <w:sz w:val="20"/>
          <w:szCs w:val="20"/>
          <w:color w:val="auto"/>
        </w:rPr>
      </w:pPr>
      <w:r>
        <w:rPr>
          <w:rFonts w:ascii="Courier New" w:cs="Courier New" w:eastAsia="Courier New" w:hAnsi="Courier New"/>
          <w:sz w:val="12"/>
          <w:szCs w:val="12"/>
          <w:color w:val="auto"/>
        </w:rPr>
        <w:t>IN WITNESS WHEREOF, THE PARTIES HAVE SIGNED THIS EQUIPMENT FACILITY AGREEMENT ON THE DATE FIRST MENTIONED ABOVE.</w:t>
      </w:r>
    </w:p>
    <w:p>
      <w:pPr>
        <w:sectPr>
          <w:pgSz w:w="11900" w:h="16838" w:orient="portrait"/>
          <w:cols w:equalWidth="0" w:num="1">
            <w:col w:w="10247"/>
          </w:cols>
          <w:pgMar w:left="212" w:top="137" w:right="1440" w:bottom="1440" w:gutter="0" w:footer="0" w:header="0"/>
        </w:sectPr>
      </w:pP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for:</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TOWER SEMICONDUCTOR LTD.</w:t>
      </w:r>
    </w:p>
    <w:p>
      <w:pPr>
        <w:spacing w:after="0" w:line="141" w:lineRule="exact"/>
        <w:rPr>
          <w:sz w:val="20"/>
          <w:szCs w:val="20"/>
          <w:color w:val="auto"/>
        </w:rPr>
      </w:pPr>
    </w:p>
    <w:p>
      <w:pPr>
        <w:sectPr>
          <w:pgSz w:w="11900" w:h="16838" w:orient="portrait"/>
          <w:cols w:equalWidth="0" w:num="2">
            <w:col w:w="288" w:space="200"/>
            <w:col w:w="9759"/>
          </w:cols>
          <w:pgMar w:left="212" w:top="137" w:right="1440" w:bottom="1440" w:gutter="0" w:footer="0" w:header="0"/>
          <w:type w:val="continuous"/>
        </w:sectPr>
      </w:pPr>
    </w:p>
    <w:p>
      <w:pPr>
        <w:ind w:left="8"/>
        <w:spacing w:after="0"/>
        <w:rPr>
          <w:sz w:val="20"/>
          <w:szCs w:val="20"/>
          <w:color w:val="auto"/>
        </w:rPr>
      </w:pPr>
      <w:r>
        <w:rPr>
          <w:rFonts w:ascii="Courier New" w:cs="Courier New" w:eastAsia="Courier New" w:hAnsi="Courier New"/>
          <w:sz w:val="12"/>
          <w:szCs w:val="12"/>
          <w:color w:val="auto"/>
        </w:rPr>
        <w:t>By:</w:t>
      </w:r>
    </w:p>
    <w:p>
      <w:pPr>
        <w:spacing w:after="0" w:line="4" w:lineRule="exact"/>
        <w:rPr>
          <w:sz w:val="20"/>
          <w:szCs w:val="20"/>
          <w:color w:val="auto"/>
        </w:rPr>
      </w:pPr>
    </w:p>
    <w:p>
      <w:pPr>
        <w:ind w:left="488"/>
        <w:spacing w:after="0"/>
        <w:rPr>
          <w:sz w:val="20"/>
          <w:szCs w:val="20"/>
          <w:color w:val="auto"/>
        </w:rPr>
      </w:pPr>
      <w:r>
        <w:rPr>
          <w:rFonts w:ascii="Courier New" w:cs="Courier New" w:eastAsia="Courier New" w:hAnsi="Courier New"/>
          <w:sz w:val="11"/>
          <w:szCs w:val="11"/>
          <w:color w:val="auto"/>
        </w:rPr>
        <w:t>_____________________________</w:t>
      </w:r>
    </w:p>
    <w:p>
      <w:pPr>
        <w:spacing w:after="0" w:line="141"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Title:</w:t>
      </w:r>
    </w:p>
    <w:p>
      <w:pPr>
        <w:spacing w:after="0" w:line="4" w:lineRule="exact"/>
        <w:rPr>
          <w:sz w:val="20"/>
          <w:szCs w:val="20"/>
          <w:color w:val="auto"/>
        </w:rPr>
      </w:pPr>
    </w:p>
    <w:p>
      <w:pPr>
        <w:ind w:left="488"/>
        <w:spacing w:after="0"/>
        <w:rPr>
          <w:sz w:val="20"/>
          <w:szCs w:val="20"/>
          <w:color w:val="auto"/>
        </w:rPr>
      </w:pPr>
      <w:r>
        <w:rPr>
          <w:rFonts w:ascii="Courier New" w:cs="Courier New" w:eastAsia="Courier New" w:hAnsi="Courier New"/>
          <w:sz w:val="11"/>
          <w:szCs w:val="11"/>
          <w:color w:val="auto"/>
        </w:rPr>
        <w:t>_____________________________</w:t>
      </w:r>
    </w:p>
    <w:p>
      <w:pPr>
        <w:sectPr>
          <w:pgSz w:w="11900" w:h="16838" w:orient="portrait"/>
          <w:cols w:equalWidth="0" w:num="1">
            <w:col w:w="10247"/>
          </w:cols>
          <w:pgMar w:left="212" w:top="137" w:right="1440" w:bottom="1440" w:gutter="0" w:footer="0" w:header="0"/>
          <w:type w:val="continuous"/>
        </w:sectPr>
      </w:pPr>
    </w:p>
    <w:p>
      <w:pPr>
        <w:spacing w:after="0" w:line="281"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for:</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BANK HAPOALIM B.M.</w:t>
      </w:r>
    </w:p>
    <w:p>
      <w:pPr>
        <w:spacing w:after="0" w:line="141" w:lineRule="exact"/>
        <w:rPr>
          <w:sz w:val="20"/>
          <w:szCs w:val="20"/>
          <w:color w:val="auto"/>
        </w:rPr>
      </w:pPr>
    </w:p>
    <w:p>
      <w:pPr>
        <w:sectPr>
          <w:pgSz w:w="11900" w:h="16838" w:orient="portrait"/>
          <w:cols w:equalWidth="0" w:num="2">
            <w:col w:w="288" w:space="200"/>
            <w:col w:w="9759"/>
          </w:cols>
          <w:pgMar w:left="212" w:top="137" w:right="1440" w:bottom="1440" w:gutter="0" w:footer="0" w:header="0"/>
          <w:type w:val="continuous"/>
        </w:sectPr>
      </w:pPr>
    </w:p>
    <w:p>
      <w:pPr>
        <w:ind w:left="8"/>
        <w:spacing w:after="0"/>
        <w:rPr>
          <w:sz w:val="20"/>
          <w:szCs w:val="20"/>
          <w:color w:val="auto"/>
        </w:rPr>
      </w:pPr>
      <w:r>
        <w:rPr>
          <w:rFonts w:ascii="Courier New" w:cs="Courier New" w:eastAsia="Courier New" w:hAnsi="Courier New"/>
          <w:sz w:val="12"/>
          <w:szCs w:val="12"/>
          <w:color w:val="auto"/>
        </w:rPr>
        <w:t>By:</w:t>
      </w:r>
    </w:p>
    <w:p>
      <w:pPr>
        <w:spacing w:after="0" w:line="4" w:lineRule="exact"/>
        <w:rPr>
          <w:sz w:val="20"/>
          <w:szCs w:val="20"/>
          <w:color w:val="auto"/>
        </w:rPr>
      </w:pPr>
    </w:p>
    <w:p>
      <w:pPr>
        <w:ind w:left="488"/>
        <w:spacing w:after="0"/>
        <w:rPr>
          <w:sz w:val="20"/>
          <w:szCs w:val="20"/>
          <w:color w:val="auto"/>
        </w:rPr>
      </w:pPr>
      <w:r>
        <w:rPr>
          <w:rFonts w:ascii="Courier New" w:cs="Courier New" w:eastAsia="Courier New" w:hAnsi="Courier New"/>
          <w:sz w:val="11"/>
          <w:szCs w:val="11"/>
          <w:color w:val="auto"/>
        </w:rPr>
        <w:t>_____________________________</w:t>
      </w:r>
    </w:p>
    <w:p>
      <w:pPr>
        <w:spacing w:after="0" w:line="141"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Title:</w:t>
      </w:r>
    </w:p>
    <w:p>
      <w:pPr>
        <w:spacing w:after="0" w:line="4" w:lineRule="exact"/>
        <w:rPr>
          <w:sz w:val="20"/>
          <w:szCs w:val="20"/>
          <w:color w:val="auto"/>
        </w:rPr>
      </w:pPr>
    </w:p>
    <w:p>
      <w:pPr>
        <w:ind w:left="488"/>
        <w:spacing w:after="0"/>
        <w:rPr>
          <w:sz w:val="20"/>
          <w:szCs w:val="20"/>
          <w:color w:val="auto"/>
        </w:rPr>
      </w:pPr>
      <w:r>
        <w:rPr>
          <w:rFonts w:ascii="Courier New" w:cs="Courier New" w:eastAsia="Courier New" w:hAnsi="Courier New"/>
          <w:sz w:val="11"/>
          <w:szCs w:val="11"/>
          <w:color w:val="auto"/>
        </w:rPr>
        <w:t>_____________________________</w:t>
      </w:r>
    </w:p>
    <w:p>
      <w:pPr>
        <w:sectPr>
          <w:pgSz w:w="11900" w:h="16838" w:orient="portrait"/>
          <w:cols w:equalWidth="0" w:num="1">
            <w:col w:w="10247"/>
          </w:cols>
          <w:pgMar w:left="212" w:top="137" w:right="1440" w:bottom="1440" w:gutter="0" w:footer="0" w:header="0"/>
          <w:type w:val="continuous"/>
        </w:sectPr>
      </w:pPr>
    </w:p>
    <w:p>
      <w:pPr>
        <w:spacing w:after="0" w:line="281" w:lineRule="exact"/>
        <w:rPr>
          <w:sz w:val="20"/>
          <w:szCs w:val="20"/>
          <w:color w:val="auto"/>
        </w:rPr>
      </w:pPr>
    </w:p>
    <w:p>
      <w:pPr>
        <w:ind w:left="2608"/>
        <w:spacing w:after="0"/>
        <w:rPr>
          <w:sz w:val="20"/>
          <w:szCs w:val="20"/>
          <w:color w:val="auto"/>
        </w:rPr>
      </w:pPr>
      <w:r>
        <w:rPr>
          <w:rFonts w:ascii="Courier New" w:cs="Courier New" w:eastAsia="Courier New" w:hAnsi="Courier New"/>
          <w:sz w:val="11"/>
          <w:szCs w:val="11"/>
          <w:color w:val="auto"/>
        </w:rPr>
        <w:t>- 32 -</w:t>
      </w:r>
    </w:p>
    <w:p>
      <w:pPr>
        <w:sectPr>
          <w:pgSz w:w="11900" w:h="16838" w:orient="portrait"/>
          <w:cols w:equalWidth="0" w:num="1">
            <w:col w:w="10247"/>
          </w:cols>
          <w:pgMar w:left="212" w:top="137" w:right="1440" w:bottom="1440" w:gutter="0" w:footer="0" w:header="0"/>
          <w:type w:val="continuous"/>
        </w:sectPr>
      </w:pPr>
    </w:p>
    <w:bookmarkStart w:id="88" w:name="page89"/>
    <w:bookmarkEnd w:id="88"/>
    <w:p>
      <w:pPr>
        <w:spacing w:after="0" w:line="63" w:lineRule="exact"/>
        <w:rPr>
          <w:sz w:val="20"/>
          <w:szCs w:val="20"/>
          <w:color w:val="auto"/>
        </w:rPr>
      </w:pPr>
    </w:p>
    <w:p>
      <w:pPr>
        <w:jc w:val="center"/>
        <w:ind w:right="-148"/>
        <w:spacing w:after="0"/>
        <w:rPr>
          <w:sz w:val="20"/>
          <w:szCs w:val="20"/>
          <w:color w:val="auto"/>
        </w:rPr>
      </w:pPr>
      <w:r>
        <w:rPr>
          <w:rFonts w:ascii="Courier New" w:cs="Courier New" w:eastAsia="Courier New" w:hAnsi="Courier New"/>
          <w:sz w:val="11"/>
          <w:szCs w:val="11"/>
          <w:color w:val="auto"/>
        </w:rPr>
        <w:t>EXHIBIT 4.83</w:t>
      </w:r>
    </w:p>
    <w:p>
      <w:pPr>
        <w:spacing w:after="0" w:line="141"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EQUIPMENT FACILITY AGREEMENT</w:t>
      </w:r>
    </w:p>
    <w:p>
      <w:pPr>
        <w:spacing w:after="0" w:line="139" w:lineRule="exact"/>
        <w:rPr>
          <w:sz w:val="20"/>
          <w:szCs w:val="20"/>
          <w:color w:val="auto"/>
        </w:rPr>
      </w:pPr>
    </w:p>
    <w:p>
      <w:pPr>
        <w:ind w:left="8" w:right="4699"/>
        <w:spacing w:after="0" w:line="235" w:lineRule="auto"/>
        <w:rPr>
          <w:sz w:val="20"/>
          <w:szCs w:val="20"/>
          <w:color w:val="auto"/>
        </w:rPr>
      </w:pPr>
      <w:r>
        <w:rPr>
          <w:rFonts w:ascii="Courier New" w:cs="Courier New" w:eastAsia="Courier New" w:hAnsi="Courier New"/>
          <w:sz w:val="12"/>
          <w:szCs w:val="12"/>
          <w:color w:val="auto"/>
        </w:rPr>
        <w:t>THIS EQUIPMENT FACILITY AGREEMENT ("THIS AGREEMENT") is made on the 10th day of September, 2007,</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BETWEEN:</w:t>
      </w:r>
    </w:p>
    <w:p>
      <w:pPr>
        <w:spacing w:after="0" w:line="139" w:lineRule="exact"/>
        <w:rPr>
          <w:sz w:val="20"/>
          <w:szCs w:val="20"/>
          <w:color w:val="auto"/>
        </w:rPr>
      </w:pPr>
    </w:p>
    <w:p>
      <w:pPr>
        <w:ind w:left="348" w:right="4759" w:hanging="348"/>
        <w:spacing w:after="0" w:line="236" w:lineRule="auto"/>
        <w:tabs>
          <w:tab w:leader="none" w:pos="348" w:val="left"/>
        </w:tabs>
        <w:numPr>
          <w:ilvl w:val="0"/>
          <w:numId w:val="12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a company incorporated under the laws of Israel (company no. 52-004199-7), whose registered office is at P.O. Box 619, Industrial Area, Migdal Haemek 23105, Israel ("THE BORROWER");</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AND</w:t>
      </w:r>
    </w:p>
    <w:p>
      <w:pPr>
        <w:spacing w:after="0" w:line="134" w:lineRule="exact"/>
        <w:rPr>
          <w:sz w:val="20"/>
          <w:szCs w:val="20"/>
          <w:color w:val="auto"/>
        </w:rPr>
      </w:pPr>
    </w:p>
    <w:p>
      <w:pPr>
        <w:ind w:left="348" w:hanging="348"/>
        <w:spacing w:after="0"/>
        <w:tabs>
          <w:tab w:leader="none" w:pos="348" w:val="left"/>
        </w:tabs>
        <w:numPr>
          <w:ilvl w:val="0"/>
          <w:numId w:val="1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 LEUMI LE-ISRAEL B.M. ("THE BANK")</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800" w:type="dxa"/>
            <w:vAlign w:val="bottom"/>
          </w:tcPr>
          <w:p>
            <w:pPr>
              <w:spacing w:after="0"/>
              <w:rPr>
                <w:sz w:val="20"/>
                <w:szCs w:val="20"/>
                <w:color w:val="auto"/>
              </w:rPr>
            </w:pPr>
            <w:r>
              <w:rPr>
                <w:rFonts w:ascii="Courier New" w:cs="Courier New" w:eastAsia="Courier New" w:hAnsi="Courier New"/>
                <w:sz w:val="12"/>
                <w:szCs w:val="12"/>
                <w:color w:val="auto"/>
              </w:rPr>
              <w:t>WHEREAS:</w:t>
            </w:r>
          </w:p>
        </w:tc>
        <w:tc>
          <w:tcPr>
            <w:tcW w:w="4820" w:type="dxa"/>
            <w:vAlign w:val="bottom"/>
            <w:gridSpan w:val="6"/>
          </w:tcPr>
          <w:p>
            <w:pPr>
              <w:ind w:left="240"/>
              <w:spacing w:after="0"/>
              <w:rPr>
                <w:sz w:val="20"/>
                <w:szCs w:val="20"/>
                <w:color w:val="auto"/>
              </w:rPr>
            </w:pPr>
            <w:r>
              <w:rPr>
                <w:rFonts w:ascii="Courier New" w:cs="Courier New" w:eastAsia="Courier New" w:hAnsi="Courier New"/>
                <w:sz w:val="12"/>
                <w:szCs w:val="12"/>
                <w:color w:val="auto"/>
              </w:rPr>
              <w:t>the Borrower carries on business as an independent "foundry"</w:t>
            </w:r>
          </w:p>
        </w:tc>
      </w:tr>
      <w:tr>
        <w:trPr>
          <w:trHeight w:val="135"/>
        </w:trPr>
        <w:tc>
          <w:tcPr>
            <w:tcW w:w="800" w:type="dxa"/>
            <w:vAlign w:val="bottom"/>
          </w:tcPr>
          <w:p>
            <w:pPr>
              <w:spacing w:after="0"/>
              <w:rPr>
                <w:sz w:val="11"/>
                <w:szCs w:val="11"/>
                <w:color w:val="auto"/>
              </w:rPr>
            </w:pPr>
          </w:p>
        </w:tc>
        <w:tc>
          <w:tcPr>
            <w:tcW w:w="3120" w:type="dxa"/>
            <w:vAlign w:val="bottom"/>
            <w:gridSpan w:val="4"/>
          </w:tcPr>
          <w:p>
            <w:pPr>
              <w:ind w:left="240"/>
              <w:spacing w:after="0"/>
              <w:rPr>
                <w:sz w:val="20"/>
                <w:szCs w:val="20"/>
                <w:color w:val="auto"/>
              </w:rPr>
            </w:pPr>
            <w:r>
              <w:rPr>
                <w:rFonts w:ascii="Courier New" w:cs="Courier New" w:eastAsia="Courier New" w:hAnsi="Courier New"/>
                <w:sz w:val="12"/>
                <w:szCs w:val="12"/>
                <w:color w:val="auto"/>
                <w:w w:val="99"/>
              </w:rPr>
              <w:t>manufacturer of semiconductor integrated</w:t>
            </w:r>
          </w:p>
        </w:tc>
        <w:tc>
          <w:tcPr>
            <w:tcW w:w="1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w w:val="96"/>
              </w:rPr>
              <w:t>circuits and a provider</w:t>
            </w:r>
          </w:p>
        </w:tc>
      </w:tr>
      <w:tr>
        <w:trPr>
          <w:trHeight w:val="135"/>
        </w:trPr>
        <w:tc>
          <w:tcPr>
            <w:tcW w:w="800" w:type="dxa"/>
            <w:vAlign w:val="bottom"/>
          </w:tcPr>
          <w:p>
            <w:pPr>
              <w:spacing w:after="0"/>
              <w:rPr>
                <w:sz w:val="11"/>
                <w:szCs w:val="11"/>
                <w:color w:val="auto"/>
              </w:rPr>
            </w:pPr>
          </w:p>
        </w:tc>
        <w:tc>
          <w:tcPr>
            <w:tcW w:w="4820" w:type="dxa"/>
            <w:vAlign w:val="bottom"/>
            <w:gridSpan w:val="6"/>
          </w:tcPr>
          <w:p>
            <w:pPr>
              <w:ind w:left="240"/>
              <w:spacing w:after="0"/>
              <w:rPr>
                <w:sz w:val="20"/>
                <w:szCs w:val="20"/>
                <w:color w:val="auto"/>
              </w:rPr>
            </w:pPr>
            <w:r>
              <w:rPr>
                <w:rFonts w:ascii="Courier New" w:cs="Courier New" w:eastAsia="Courier New" w:hAnsi="Courier New"/>
                <w:sz w:val="12"/>
                <w:szCs w:val="12"/>
                <w:color w:val="auto"/>
              </w:rPr>
              <w:t>of related design services and the Borrower wishes to purchase</w:t>
            </w:r>
          </w:p>
        </w:tc>
      </w:tr>
      <w:tr>
        <w:trPr>
          <w:trHeight w:val="135"/>
        </w:trPr>
        <w:tc>
          <w:tcPr>
            <w:tcW w:w="800" w:type="dxa"/>
            <w:vAlign w:val="bottom"/>
          </w:tcPr>
          <w:p>
            <w:pPr>
              <w:spacing w:after="0"/>
              <w:rPr>
                <w:sz w:val="11"/>
                <w:szCs w:val="11"/>
                <w:color w:val="auto"/>
              </w:rPr>
            </w:pPr>
          </w:p>
        </w:tc>
        <w:tc>
          <w:tcPr>
            <w:tcW w:w="106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the Ramp-Up</w:t>
            </w:r>
          </w:p>
        </w:tc>
        <w:tc>
          <w:tcPr>
            <w:tcW w:w="2060" w:type="dxa"/>
            <w:vAlign w:val="bottom"/>
            <w:gridSpan w:val="2"/>
          </w:tcPr>
          <w:p>
            <w:pPr>
              <w:jc w:val="right"/>
              <w:ind w:right="1"/>
              <w:spacing w:after="0"/>
              <w:rPr>
                <w:sz w:val="20"/>
                <w:szCs w:val="20"/>
                <w:color w:val="auto"/>
              </w:rPr>
            </w:pPr>
            <w:r>
              <w:rPr>
                <w:rFonts w:ascii="Courier New" w:cs="Courier New" w:eastAsia="Courier New" w:hAnsi="Courier New"/>
                <w:sz w:val="12"/>
                <w:szCs w:val="12"/>
                <w:color w:val="auto"/>
                <w:w w:val="98"/>
              </w:rPr>
              <w:t>Equipment (as defined in the</w:t>
            </w:r>
          </w:p>
        </w:tc>
        <w:tc>
          <w:tcPr>
            <w:tcW w:w="1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Facility Agreement dated</w:t>
            </w:r>
          </w:p>
        </w:tc>
      </w:tr>
      <w:tr>
        <w:trPr>
          <w:trHeight w:val="135"/>
        </w:trPr>
        <w:tc>
          <w:tcPr>
            <w:tcW w:w="800" w:type="dxa"/>
            <w:vAlign w:val="bottom"/>
          </w:tcPr>
          <w:p>
            <w:pPr>
              <w:spacing w:after="0"/>
              <w:rPr>
                <w:sz w:val="11"/>
                <w:szCs w:val="11"/>
                <w:color w:val="auto"/>
              </w:rPr>
            </w:pPr>
          </w:p>
        </w:tc>
        <w:tc>
          <w:tcPr>
            <w:tcW w:w="780" w:type="dxa"/>
            <w:vAlign w:val="bottom"/>
          </w:tcPr>
          <w:p>
            <w:pPr>
              <w:ind w:left="240"/>
              <w:spacing w:after="0"/>
              <w:rPr>
                <w:sz w:val="20"/>
                <w:szCs w:val="20"/>
                <w:color w:val="auto"/>
              </w:rPr>
            </w:pPr>
            <w:r>
              <w:rPr>
                <w:rFonts w:ascii="Courier New" w:cs="Courier New" w:eastAsia="Courier New" w:hAnsi="Courier New"/>
                <w:sz w:val="12"/>
                <w:szCs w:val="12"/>
                <w:color w:val="auto"/>
              </w:rPr>
              <w:t>January</w:t>
            </w:r>
          </w:p>
        </w:tc>
        <w:tc>
          <w:tcPr>
            <w:tcW w:w="280" w:type="dxa"/>
            <w:vAlign w:val="bottom"/>
          </w:tcPr>
          <w:p>
            <w:pPr>
              <w:ind w:left="20"/>
              <w:spacing w:after="0"/>
              <w:rPr>
                <w:sz w:val="20"/>
                <w:szCs w:val="20"/>
                <w:color w:val="auto"/>
              </w:rPr>
            </w:pPr>
            <w:r>
              <w:rPr>
                <w:rFonts w:ascii="Courier New" w:cs="Courier New" w:eastAsia="Courier New" w:hAnsi="Courier New"/>
                <w:sz w:val="12"/>
                <w:szCs w:val="12"/>
                <w:color w:val="auto"/>
              </w:rPr>
              <w:t>18,</w:t>
            </w:r>
          </w:p>
        </w:tc>
        <w:tc>
          <w:tcPr>
            <w:tcW w:w="20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97"/>
              </w:rPr>
              <w:t>2001, as amended and restated</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on</w:t>
            </w:r>
          </w:p>
        </w:tc>
        <w:tc>
          <w:tcPr>
            <w:tcW w:w="14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7"/>
              </w:rPr>
              <w:t>August 24, 2006, as</w:t>
            </w:r>
          </w:p>
        </w:tc>
      </w:tr>
      <w:tr>
        <w:trPr>
          <w:trHeight w:val="135"/>
        </w:trPr>
        <w:tc>
          <w:tcPr>
            <w:tcW w:w="800" w:type="dxa"/>
            <w:vAlign w:val="bottom"/>
          </w:tcPr>
          <w:p>
            <w:pPr>
              <w:spacing w:after="0"/>
              <w:rPr>
                <w:sz w:val="11"/>
                <w:szCs w:val="11"/>
                <w:color w:val="auto"/>
              </w:rPr>
            </w:pPr>
          </w:p>
        </w:tc>
        <w:tc>
          <w:tcPr>
            <w:tcW w:w="780" w:type="dxa"/>
            <w:vAlign w:val="bottom"/>
          </w:tcPr>
          <w:p>
            <w:pPr>
              <w:ind w:left="240"/>
              <w:spacing w:after="0"/>
              <w:rPr>
                <w:sz w:val="20"/>
                <w:szCs w:val="20"/>
                <w:color w:val="auto"/>
              </w:rPr>
            </w:pPr>
            <w:r>
              <w:rPr>
                <w:rFonts w:ascii="Courier New" w:cs="Courier New" w:eastAsia="Courier New" w:hAnsi="Courier New"/>
                <w:sz w:val="12"/>
                <w:szCs w:val="12"/>
                <w:color w:val="auto"/>
              </w:rPr>
              <w:t>further</w:t>
            </w:r>
          </w:p>
        </w:tc>
        <w:tc>
          <w:tcPr>
            <w:tcW w:w="760" w:type="dxa"/>
            <w:vAlign w:val="bottom"/>
            <w:gridSpan w:val="2"/>
          </w:tcPr>
          <w:p>
            <w:pPr>
              <w:ind w:left="20"/>
              <w:spacing w:after="0"/>
              <w:rPr>
                <w:sz w:val="20"/>
                <w:szCs w:val="20"/>
                <w:color w:val="auto"/>
              </w:rPr>
            </w:pPr>
            <w:r>
              <w:rPr>
                <w:rFonts w:ascii="Courier New" w:cs="Courier New" w:eastAsia="Courier New" w:hAnsi="Courier New"/>
                <w:sz w:val="12"/>
                <w:szCs w:val="12"/>
                <w:color w:val="auto"/>
                <w:w w:val="99"/>
              </w:rPr>
              <w:t>amended on</w:t>
            </w:r>
          </w:p>
        </w:tc>
        <w:tc>
          <w:tcPr>
            <w:tcW w:w="1580" w:type="dxa"/>
            <w:vAlign w:val="bottom"/>
          </w:tcPr>
          <w:p>
            <w:pPr>
              <w:jc w:val="right"/>
              <w:spacing w:after="0"/>
              <w:rPr>
                <w:sz w:val="20"/>
                <w:szCs w:val="20"/>
                <w:color w:val="auto"/>
              </w:rPr>
            </w:pPr>
            <w:r>
              <w:rPr>
                <w:rFonts w:ascii="Courier New" w:cs="Courier New" w:eastAsia="Courier New" w:hAnsi="Courier New"/>
                <w:sz w:val="12"/>
                <w:szCs w:val="12"/>
                <w:color w:val="auto"/>
                <w:w w:val="98"/>
              </w:rPr>
              <w:t>September 10, 2007 and</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rPr>
              <w:t>as</w:t>
            </w:r>
          </w:p>
        </w:tc>
        <w:tc>
          <w:tcPr>
            <w:tcW w:w="1440" w:type="dxa"/>
            <w:vAlign w:val="bottom"/>
          </w:tcPr>
          <w:p>
            <w:pPr>
              <w:jc w:val="right"/>
              <w:ind w:right="21"/>
              <w:spacing w:after="0"/>
              <w:rPr>
                <w:sz w:val="20"/>
                <w:szCs w:val="20"/>
                <w:color w:val="auto"/>
              </w:rPr>
            </w:pPr>
            <w:r>
              <w:rPr>
                <w:rFonts w:ascii="Courier New" w:cs="Courier New" w:eastAsia="Courier New" w:hAnsi="Courier New"/>
                <w:sz w:val="12"/>
                <w:szCs w:val="12"/>
                <w:color w:val="auto"/>
                <w:w w:val="97"/>
              </w:rPr>
              <w:t>may be amended from</w:t>
            </w:r>
          </w:p>
        </w:tc>
      </w:tr>
      <w:tr>
        <w:trPr>
          <w:trHeight w:val="135"/>
        </w:trPr>
        <w:tc>
          <w:tcPr>
            <w:tcW w:w="800" w:type="dxa"/>
            <w:vAlign w:val="bottom"/>
          </w:tcPr>
          <w:p>
            <w:pPr>
              <w:spacing w:after="0"/>
              <w:rPr>
                <w:sz w:val="11"/>
                <w:szCs w:val="11"/>
                <w:color w:val="auto"/>
              </w:rPr>
            </w:pPr>
          </w:p>
        </w:tc>
        <w:tc>
          <w:tcPr>
            <w:tcW w:w="780" w:type="dxa"/>
            <w:vAlign w:val="bottom"/>
          </w:tcPr>
          <w:p>
            <w:pPr>
              <w:ind w:left="240"/>
              <w:spacing w:after="0"/>
              <w:rPr>
                <w:sz w:val="20"/>
                <w:szCs w:val="20"/>
                <w:color w:val="auto"/>
              </w:rPr>
            </w:pPr>
            <w:r>
              <w:rPr>
                <w:rFonts w:ascii="Courier New" w:cs="Courier New" w:eastAsia="Courier New" w:hAnsi="Courier New"/>
                <w:sz w:val="12"/>
                <w:szCs w:val="12"/>
                <w:color w:val="auto"/>
              </w:rPr>
              <w:t>time to</w:t>
            </w:r>
          </w:p>
        </w:tc>
        <w:tc>
          <w:tcPr>
            <w:tcW w:w="760" w:type="dxa"/>
            <w:vAlign w:val="bottom"/>
            <w:gridSpan w:val="2"/>
          </w:tcPr>
          <w:p>
            <w:pPr>
              <w:ind w:left="20"/>
              <w:spacing w:after="0"/>
              <w:rPr>
                <w:sz w:val="20"/>
                <w:szCs w:val="20"/>
                <w:color w:val="auto"/>
              </w:rPr>
            </w:pPr>
            <w:r>
              <w:rPr>
                <w:rFonts w:ascii="Courier New" w:cs="Courier New" w:eastAsia="Courier New" w:hAnsi="Courier New"/>
                <w:sz w:val="12"/>
                <w:szCs w:val="12"/>
                <w:color w:val="auto"/>
                <w:w w:val="99"/>
              </w:rPr>
              <w:t>time ("THE</w:t>
            </w:r>
          </w:p>
        </w:tc>
        <w:tc>
          <w:tcPr>
            <w:tcW w:w="1580" w:type="dxa"/>
            <w:vAlign w:val="bottom"/>
          </w:tcPr>
          <w:p>
            <w:pPr>
              <w:jc w:val="right"/>
              <w:ind w:right="1"/>
              <w:spacing w:after="0"/>
              <w:rPr>
                <w:sz w:val="20"/>
                <w:szCs w:val="20"/>
                <w:color w:val="auto"/>
              </w:rPr>
            </w:pPr>
            <w:r>
              <w:rPr>
                <w:rFonts w:ascii="Courier New" w:cs="Courier New" w:eastAsia="Courier New" w:hAnsi="Courier New"/>
                <w:sz w:val="12"/>
                <w:szCs w:val="12"/>
                <w:color w:val="auto"/>
                <w:w w:val="99"/>
              </w:rPr>
              <w:t>FACILITY AGREEMENT"))</w:t>
            </w:r>
          </w:p>
        </w:tc>
        <w:tc>
          <w:tcPr>
            <w:tcW w:w="260" w:type="dxa"/>
            <w:vAlign w:val="bottom"/>
          </w:tcPr>
          <w:p>
            <w:pPr>
              <w:jc w:val="right"/>
              <w:spacing w:after="0"/>
              <w:rPr>
                <w:sz w:val="20"/>
                <w:szCs w:val="20"/>
                <w:color w:val="auto"/>
              </w:rPr>
            </w:pPr>
            <w:r>
              <w:rPr>
                <w:rFonts w:ascii="Courier New" w:cs="Courier New" w:eastAsia="Courier New" w:hAnsi="Courier New"/>
                <w:sz w:val="12"/>
                <w:szCs w:val="12"/>
                <w:color w:val="auto"/>
                <w:w w:val="92"/>
              </w:rPr>
              <w:t>and</w:t>
            </w:r>
          </w:p>
        </w:tc>
        <w:tc>
          <w:tcPr>
            <w:tcW w:w="1440" w:type="dxa"/>
            <w:vAlign w:val="bottom"/>
          </w:tcPr>
          <w:p>
            <w:pPr>
              <w:jc w:val="right"/>
              <w:ind w:right="81"/>
              <w:spacing w:after="0"/>
              <w:rPr>
                <w:sz w:val="20"/>
                <w:szCs w:val="20"/>
                <w:color w:val="auto"/>
              </w:rPr>
            </w:pPr>
            <w:r>
              <w:rPr>
                <w:rFonts w:ascii="Courier New" w:cs="Courier New" w:eastAsia="Courier New" w:hAnsi="Courier New"/>
                <w:sz w:val="12"/>
                <w:szCs w:val="12"/>
                <w:color w:val="auto"/>
                <w:w w:val="98"/>
              </w:rPr>
              <w:t>requires financing</w:t>
            </w:r>
          </w:p>
        </w:tc>
      </w:tr>
      <w:tr>
        <w:trPr>
          <w:trHeight w:val="135"/>
        </w:trPr>
        <w:tc>
          <w:tcPr>
            <w:tcW w:w="800" w:type="dxa"/>
            <w:vAlign w:val="bottom"/>
          </w:tcPr>
          <w:p>
            <w:pPr>
              <w:spacing w:after="0"/>
              <w:rPr>
                <w:sz w:val="11"/>
                <w:szCs w:val="11"/>
                <w:color w:val="auto"/>
              </w:rPr>
            </w:pPr>
          </w:p>
        </w:tc>
        <w:tc>
          <w:tcPr>
            <w:tcW w:w="1060" w:type="dxa"/>
            <w:vAlign w:val="bottom"/>
            <w:gridSpan w:val="2"/>
          </w:tcPr>
          <w:p>
            <w:pPr>
              <w:ind w:left="240"/>
              <w:spacing w:after="0"/>
              <w:rPr>
                <w:sz w:val="20"/>
                <w:szCs w:val="20"/>
                <w:color w:val="auto"/>
              </w:rPr>
            </w:pPr>
            <w:r>
              <w:rPr>
                <w:rFonts w:ascii="Courier New" w:cs="Courier New" w:eastAsia="Courier New" w:hAnsi="Courier New"/>
                <w:sz w:val="12"/>
                <w:szCs w:val="12"/>
                <w:color w:val="auto"/>
              </w:rPr>
              <w:t>for payment</w:t>
            </w:r>
          </w:p>
        </w:tc>
        <w:tc>
          <w:tcPr>
            <w:tcW w:w="480" w:type="dxa"/>
            <w:vAlign w:val="bottom"/>
          </w:tcPr>
          <w:p>
            <w:pPr>
              <w:ind w:left="20"/>
              <w:spacing w:after="0"/>
              <w:rPr>
                <w:sz w:val="20"/>
                <w:szCs w:val="20"/>
                <w:color w:val="auto"/>
              </w:rPr>
            </w:pPr>
            <w:r>
              <w:rPr>
                <w:rFonts w:ascii="Courier New" w:cs="Courier New" w:eastAsia="Courier New" w:hAnsi="Courier New"/>
                <w:sz w:val="12"/>
                <w:szCs w:val="12"/>
                <w:color w:val="auto"/>
              </w:rPr>
              <w:t>of the</w:t>
            </w:r>
          </w:p>
        </w:tc>
        <w:tc>
          <w:tcPr>
            <w:tcW w:w="1580" w:type="dxa"/>
            <w:vAlign w:val="bottom"/>
          </w:tcPr>
          <w:p>
            <w:pPr>
              <w:jc w:val="right"/>
              <w:spacing w:after="0"/>
              <w:rPr>
                <w:sz w:val="20"/>
                <w:szCs w:val="20"/>
                <w:color w:val="auto"/>
              </w:rPr>
            </w:pPr>
            <w:r>
              <w:rPr>
                <w:rFonts w:ascii="Courier New" w:cs="Courier New" w:eastAsia="Courier New" w:hAnsi="Courier New"/>
                <w:sz w:val="12"/>
                <w:szCs w:val="12"/>
                <w:color w:val="auto"/>
                <w:w w:val="98"/>
              </w:rPr>
              <w:t>cost of acquisition of</w:t>
            </w:r>
          </w:p>
        </w:tc>
        <w:tc>
          <w:tcPr>
            <w:tcW w:w="1700" w:type="dxa"/>
            <w:vAlign w:val="bottom"/>
            <w:gridSpan w:val="2"/>
          </w:tcPr>
          <w:p>
            <w:pPr>
              <w:jc w:val="right"/>
              <w:ind w:right="21"/>
              <w:spacing w:after="0"/>
              <w:rPr>
                <w:sz w:val="20"/>
                <w:szCs w:val="20"/>
                <w:color w:val="auto"/>
              </w:rPr>
            </w:pPr>
            <w:r>
              <w:rPr>
                <w:rFonts w:ascii="Courier New" w:cs="Courier New" w:eastAsia="Courier New" w:hAnsi="Courier New"/>
                <w:sz w:val="12"/>
                <w:szCs w:val="12"/>
                <w:color w:val="auto"/>
              </w:rPr>
              <w:t>the Ramp-Up Equipment;</w:t>
            </w:r>
          </w:p>
        </w:tc>
      </w:tr>
    </w:tbl>
    <w:p>
      <w:pPr>
        <w:spacing w:after="0" w:line="139" w:lineRule="exact"/>
        <w:rPr>
          <w:sz w:val="20"/>
          <w:szCs w:val="20"/>
          <w:color w:val="auto"/>
        </w:rPr>
      </w:pPr>
    </w:p>
    <w:p>
      <w:pPr>
        <w:ind w:left="1048" w:right="4699" w:hanging="1053"/>
        <w:spacing w:after="0" w:line="235" w:lineRule="auto"/>
        <w:tabs>
          <w:tab w:leader="none" w:pos="1028" w:val="left"/>
        </w:tabs>
        <w:rPr>
          <w:sz w:val="20"/>
          <w:szCs w:val="20"/>
          <w:color w:val="auto"/>
        </w:rPr>
      </w:pPr>
      <w:r>
        <w:rPr>
          <w:rFonts w:ascii="Courier New" w:cs="Courier New" w:eastAsia="Courier New" w:hAnsi="Courier New"/>
          <w:sz w:val="12"/>
          <w:szCs w:val="12"/>
          <w:color w:val="auto"/>
        </w:rPr>
        <w:t>AND WHEREAS:</w:t>
        <w:tab/>
        <w:t>the Bank, Bank Hapoalim B.M. and the Borrower are parties to the Facility Agreement;</w:t>
      </w:r>
    </w:p>
    <w:p>
      <w:pPr>
        <w:spacing w:after="0" w:line="139" w:lineRule="exact"/>
        <w:rPr>
          <w:sz w:val="20"/>
          <w:szCs w:val="20"/>
          <w:color w:val="auto"/>
        </w:rPr>
      </w:pPr>
    </w:p>
    <w:p>
      <w:pPr>
        <w:ind w:left="1048" w:right="4699" w:hanging="1053"/>
        <w:spacing w:after="0" w:line="237" w:lineRule="auto"/>
        <w:tabs>
          <w:tab w:leader="none" w:pos="1028" w:val="left"/>
        </w:tabs>
        <w:rPr>
          <w:sz w:val="20"/>
          <w:szCs w:val="20"/>
          <w:color w:val="auto"/>
        </w:rPr>
      </w:pPr>
      <w:r>
        <w:rPr>
          <w:rFonts w:ascii="Courier New" w:cs="Courier New" w:eastAsia="Courier New" w:hAnsi="Courier New"/>
          <w:sz w:val="12"/>
          <w:szCs w:val="12"/>
          <w:color w:val="auto"/>
        </w:rPr>
        <w:t>AND WHEREAS:</w:t>
        <w:tab/>
        <w:t>subject to the terms and conditions of this Agreement, including the fulfilment of the conditions precedent set out below, the Bank is willing to make available to the Borrower a secured US Dollar credit facility in order to finance partially the cost of acquisition of the Ramp-Up Equipment,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NOW, THEREFORE, IT IS HEREBY AGREED AS FOLLOWS:</w:t>
      </w:r>
    </w:p>
    <w:p>
      <w:pPr>
        <w:spacing w:after="0" w:line="134" w:lineRule="exact"/>
        <w:rPr>
          <w:sz w:val="20"/>
          <w:szCs w:val="20"/>
          <w:color w:val="auto"/>
        </w:rPr>
      </w:pPr>
    </w:p>
    <w:p>
      <w:pPr>
        <w:ind w:left="348" w:hanging="348"/>
        <w:spacing w:after="0"/>
        <w:tabs>
          <w:tab w:leader="none" w:pos="348" w:val="left"/>
        </w:tabs>
        <w:numPr>
          <w:ilvl w:val="0"/>
          <w:numId w:val="1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INTERPRETATION</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1.1. DEFINITIONS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this Agreement, the following terms have the meanings given to them</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 this clause 1.1:</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 "AVAILABILITY PERIOD" - means the period commencing on the</w:t>
      </w:r>
    </w:p>
    <w:p>
      <w:pPr>
        <w:ind w:left="1048"/>
        <w:spacing w:after="0"/>
        <w:rPr>
          <w:sz w:val="20"/>
          <w:szCs w:val="20"/>
          <w:color w:val="auto"/>
        </w:rPr>
      </w:pPr>
      <w:r>
        <w:rPr>
          <w:rFonts w:ascii="Courier New" w:cs="Courier New" w:eastAsia="Courier New" w:hAnsi="Courier New"/>
          <w:sz w:val="12"/>
          <w:szCs w:val="12"/>
          <w:color w:val="auto"/>
        </w:rPr>
        <w:t>Closing Date and ending on the Termination Date;</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1.1.2. "AVAILABLE COMMITMENT" - means the Commitment less: (a) all</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outstanding Equipment Facility Credits provided by the Bank; and</w:t>
      </w:r>
    </w:p>
    <w:p>
      <w:pPr>
        <w:spacing w:after="0" w:line="10" w:lineRule="exact"/>
        <w:rPr>
          <w:sz w:val="20"/>
          <w:szCs w:val="20"/>
          <w:color w:val="auto"/>
        </w:rPr>
      </w:pPr>
    </w:p>
    <w:p>
      <w:pPr>
        <w:jc w:val="both"/>
        <w:ind w:left="1048" w:right="4699" w:firstLine="6"/>
        <w:spacing w:after="0" w:line="266" w:lineRule="auto"/>
        <w:tabs>
          <w:tab w:leader="none" w:pos="1329" w:val="left"/>
        </w:tabs>
        <w:numPr>
          <w:ilvl w:val="0"/>
          <w:numId w:val="125"/>
        </w:numPr>
        <w:rPr>
          <w:rFonts w:ascii="Courier New" w:cs="Courier New" w:eastAsia="Courier New" w:hAnsi="Courier New"/>
          <w:sz w:val="11"/>
          <w:szCs w:val="11"/>
          <w:color w:val="auto"/>
        </w:rPr>
      </w:pPr>
      <w:r>
        <w:rPr>
          <w:rFonts w:ascii="Courier New" w:cs="Courier New" w:eastAsia="Courier New" w:hAnsi="Courier New"/>
          <w:sz w:val="11"/>
          <w:szCs w:val="11"/>
          <w:color w:val="auto"/>
        </w:rPr>
        <w:t>any such Equipment Facility Credits that have been requested and are due to be made under the Equipment Facility on or before the proposed Drawdown Date or Issue Date, as the case may be;</w:t>
      </w:r>
    </w:p>
    <w:p>
      <w:pPr>
        <w:spacing w:after="0" w:line="122"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1.1.3. "BANK" - means Bank Leumi le-Israel B.M.;</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1.1.4. "BORROWER" - means Tower Semiconductor Ltd.;</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1.1.5. "CHARGED ACCOUNT" - means account number 13030062 at the Bank,</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Haifa Branch, in the name of the Borrower, into which account:</w:t>
      </w:r>
    </w:p>
    <w:p>
      <w:pPr>
        <w:spacing w:after="0" w:line="274" w:lineRule="exact"/>
        <w:rPr>
          <w:sz w:val="20"/>
          <w:szCs w:val="20"/>
          <w:color w:val="auto"/>
        </w:rPr>
      </w:pPr>
    </w:p>
    <w:p>
      <w:pPr>
        <w:ind w:left="1408" w:right="4759" w:hanging="354"/>
        <w:spacing w:after="0" w:line="235" w:lineRule="auto"/>
        <w:tabs>
          <w:tab w:leader="none" w:pos="1408" w:val="left"/>
        </w:tabs>
        <w:numPr>
          <w:ilvl w:val="0"/>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Equipment Loans by the Bank will be paid in accordance with clause 4.2.4 below;</w:t>
      </w:r>
    </w:p>
    <w:p>
      <w:pPr>
        <w:spacing w:after="0" w:line="139" w:lineRule="exact"/>
        <w:rPr>
          <w:rFonts w:ascii="Courier New" w:cs="Courier New" w:eastAsia="Courier New" w:hAnsi="Courier New"/>
          <w:sz w:val="12"/>
          <w:szCs w:val="12"/>
          <w:color w:val="auto"/>
        </w:rPr>
      </w:pPr>
    </w:p>
    <w:p>
      <w:pPr>
        <w:ind w:left="1408" w:right="4899" w:hanging="354"/>
        <w:spacing w:after="0" w:line="235" w:lineRule="auto"/>
        <w:tabs>
          <w:tab w:leader="none" w:pos="1408" w:val="left"/>
        </w:tabs>
        <w:numPr>
          <w:ilvl w:val="0"/>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repayments and prepayments of Equipment Loans to the Bank will be made;</w:t>
      </w:r>
    </w:p>
    <w:p>
      <w:pPr>
        <w:spacing w:after="0" w:line="269"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2 -</w:t>
      </w:r>
    </w:p>
    <w:p>
      <w:pPr>
        <w:spacing w:after="0" w:line="390" w:lineRule="exact"/>
        <w:rPr>
          <w:rFonts w:ascii="Courier New" w:cs="Courier New" w:eastAsia="Courier New" w:hAnsi="Courier New"/>
          <w:sz w:val="12"/>
          <w:szCs w:val="12"/>
          <w:color w:val="auto"/>
        </w:rPr>
      </w:pPr>
    </w:p>
    <w:p>
      <w:pPr>
        <w:jc w:val="both"/>
        <w:ind w:left="1408" w:right="4759" w:hanging="354"/>
        <w:spacing w:after="0" w:line="236" w:lineRule="auto"/>
        <w:tabs>
          <w:tab w:leader="none" w:pos="1408" w:val="left"/>
        </w:tabs>
        <w:numPr>
          <w:ilvl w:val="0"/>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deposits (if any), made in respect of an Equipment L/C issued by the Bank, as referred to in clause 4.3.2.4 below will be deposited; and</w:t>
      </w:r>
    </w:p>
    <w:p>
      <w:pPr>
        <w:spacing w:after="0" w:line="139" w:lineRule="exact"/>
        <w:rPr>
          <w:rFonts w:ascii="Courier New" w:cs="Courier New" w:eastAsia="Courier New" w:hAnsi="Courier New"/>
          <w:sz w:val="12"/>
          <w:szCs w:val="12"/>
          <w:color w:val="auto"/>
        </w:rPr>
      </w:pPr>
    </w:p>
    <w:p>
      <w:pPr>
        <w:ind w:left="1408" w:right="4759" w:hanging="354"/>
        <w:spacing w:after="0" w:line="235" w:lineRule="auto"/>
        <w:tabs>
          <w:tab w:leader="none" w:pos="1408" w:val="left"/>
        </w:tabs>
        <w:numPr>
          <w:ilvl w:val="0"/>
          <w:numId w:val="126"/>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other payments to the Bank under this Agreement are to be made pursuant to this Agreement;</w:t>
      </w:r>
    </w:p>
    <w:p>
      <w:pPr>
        <w:spacing w:after="0" w:line="135"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1.1.6. "CLOSING DATE" - means the second Business Day following the</w:t>
      </w:r>
    </w:p>
    <w:p>
      <w:pPr>
        <w:ind w:left="1048"/>
        <w:spacing w:after="0"/>
        <w:rPr>
          <w:sz w:val="20"/>
          <w:szCs w:val="20"/>
          <w:color w:val="auto"/>
        </w:rPr>
      </w:pPr>
      <w:r>
        <w:rPr>
          <w:rFonts w:ascii="Courier New" w:cs="Courier New" w:eastAsia="Courier New" w:hAnsi="Courier New"/>
          <w:sz w:val="12"/>
          <w:szCs w:val="12"/>
          <w:color w:val="auto"/>
        </w:rPr>
        <w:t>date on which the Bank is satisfied that all of the conditions</w:t>
      </w:r>
    </w:p>
    <w:p>
      <w:pPr>
        <w:ind w:left="1048"/>
        <w:spacing w:after="0" w:line="237" w:lineRule="auto"/>
        <w:rPr>
          <w:sz w:val="20"/>
          <w:szCs w:val="20"/>
          <w:color w:val="auto"/>
        </w:rPr>
      </w:pPr>
      <w:r>
        <w:rPr>
          <w:rFonts w:ascii="Courier New" w:cs="Courier New" w:eastAsia="Courier New" w:hAnsi="Courier New"/>
          <w:sz w:val="12"/>
          <w:szCs w:val="12"/>
          <w:color w:val="auto"/>
        </w:rPr>
        <w:t>precedent referred to in clause 3 below have been fulfilled;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1.1.7. "COMMITMENT" - means the amount of US $15,000,000 fifteen</w:t>
      </w:r>
    </w:p>
    <w:p>
      <w:pPr>
        <w:ind w:left="1048"/>
        <w:spacing w:after="0"/>
        <w:rPr>
          <w:sz w:val="20"/>
          <w:szCs w:val="20"/>
          <w:color w:val="auto"/>
        </w:rPr>
      </w:pPr>
      <w:r>
        <w:rPr>
          <w:rFonts w:ascii="Courier New" w:cs="Courier New" w:eastAsia="Courier New" w:hAnsi="Courier New"/>
          <w:sz w:val="12"/>
          <w:szCs w:val="12"/>
          <w:color w:val="auto"/>
        </w:rPr>
        <w:t>million United States Dollars);</w:t>
      </w:r>
    </w:p>
    <w:p>
      <w:pPr>
        <w:spacing w:after="0" w:line="138"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1.1.8. "DRAWDOWN DATE" - means, in respect of any Equipment Loan, the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date of the making of such Equipment Loan;</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1.1.9. "DRAWDOWN REQUEST" - means a notice substantially in the form</w:t>
      </w:r>
    </w:p>
    <w:p>
      <w:pPr>
        <w:ind w:left="1048"/>
        <w:spacing w:after="0"/>
        <w:rPr>
          <w:sz w:val="20"/>
          <w:szCs w:val="20"/>
          <w:color w:val="auto"/>
        </w:rPr>
      </w:pPr>
      <w:r>
        <w:rPr>
          <w:rFonts w:ascii="Courier New" w:cs="Courier New" w:eastAsia="Courier New" w:hAnsi="Courier New"/>
          <w:sz w:val="12"/>
          <w:szCs w:val="12"/>
          <w:color w:val="auto"/>
        </w:rPr>
        <w:t>of SCHEDULE 1.1.9 hereto;</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1.1.10. "EQUIPMENT FACILITY" - means the US Dollar credit facility</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granted to the Borrower by the Bank pursuant to clause 2.1 below;</w:t>
      </w:r>
    </w:p>
    <w:p>
      <w:pPr>
        <w:spacing w:after="0" w:line="146"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1.1.10A. "EQUIPMENT FACILITY CREDITS" - means any Equipment Loans made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to the Borrower pursuant to the Equipment Facility and/or any</w:t>
      </w:r>
    </w:p>
    <w:p>
      <w:pPr>
        <w:ind w:left="1048"/>
        <w:spacing w:after="0"/>
        <w:rPr>
          <w:sz w:val="20"/>
          <w:szCs w:val="20"/>
          <w:color w:val="auto"/>
        </w:rPr>
      </w:pPr>
      <w:r>
        <w:rPr>
          <w:rFonts w:ascii="Courier New" w:cs="Courier New" w:eastAsia="Courier New" w:hAnsi="Courier New"/>
          <w:sz w:val="12"/>
          <w:szCs w:val="12"/>
          <w:color w:val="auto"/>
        </w:rPr>
        <w:t>Equipment L/Cs issued by the Bank in lieu of all or part of the</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Equipment Loans or, as the context requires, the principal amount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of such Equipment Loans at such relevant time and the Maximum</w:t>
      </w:r>
    </w:p>
    <w:p>
      <w:pPr>
        <w:ind w:left="1048"/>
        <w:spacing w:after="0"/>
        <w:rPr>
          <w:sz w:val="20"/>
          <w:szCs w:val="20"/>
          <w:color w:val="auto"/>
        </w:rPr>
      </w:pPr>
      <w:r>
        <w:rPr>
          <w:rFonts w:ascii="Courier New" w:cs="Courier New" w:eastAsia="Courier New" w:hAnsi="Courier New"/>
          <w:sz w:val="12"/>
          <w:szCs w:val="12"/>
          <w:color w:val="auto"/>
        </w:rPr>
        <w:t>Drawing Amount of such Equipment L/Cs at such relevant time;</w:t>
      </w:r>
    </w:p>
    <w:p>
      <w:pPr>
        <w:ind w:left="1048"/>
        <w:spacing w:after="0" w:line="237" w:lineRule="auto"/>
        <w:rPr>
          <w:sz w:val="20"/>
          <w:szCs w:val="20"/>
          <w:color w:val="auto"/>
        </w:rPr>
      </w:pPr>
      <w:r>
        <w:rPr>
          <w:rFonts w:ascii="Courier New" w:cs="Courier New" w:eastAsia="Courier New" w:hAnsi="Courier New"/>
          <w:sz w:val="12"/>
          <w:szCs w:val="12"/>
          <w:color w:val="auto"/>
        </w:rPr>
        <w:t>provided that, the maximum aggregate amount of all Equipment</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Facility Credits shall not exceed US $15,000,000 (fifteen million</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United States Dollars);</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- 3 -</w:t>
      </w:r>
    </w:p>
    <w:p>
      <w:pPr>
        <w:spacing w:after="0" w:line="38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1.1.11. "EQUIPMENT FACILITY DEFAULT" - means any Equipment Facility</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Event of Default or any event which with the giving of notice or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lapse of time, or the making of any determination hereunder, or</w:t>
      </w:r>
    </w:p>
    <w:p>
      <w:pPr>
        <w:ind w:left="1048"/>
        <w:spacing w:after="0"/>
        <w:rPr>
          <w:sz w:val="20"/>
          <w:szCs w:val="20"/>
          <w:color w:val="auto"/>
        </w:rPr>
      </w:pPr>
      <w:r>
        <w:rPr>
          <w:rFonts w:ascii="Courier New" w:cs="Courier New" w:eastAsia="Courier New" w:hAnsi="Courier New"/>
          <w:sz w:val="12"/>
          <w:szCs w:val="12"/>
          <w:color w:val="auto"/>
        </w:rPr>
        <w:t>the satisfaction of any other condition (or any combination</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thereof) would constitute an Equipment Facility Event of Default;</w:t>
      </w:r>
    </w:p>
    <w:p>
      <w:pPr>
        <w:spacing w:after="0" w:line="141"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1.1.12. "EQUIPMENT FACILITY EVENT OF DEFAULT" - means any of the</w:t>
      </w:r>
    </w:p>
    <w:p>
      <w:pPr>
        <w:sectPr>
          <w:pgSz w:w="11900" w:h="16902" w:orient="portrait"/>
          <w:cols w:equalWidth="0" w:num="1">
            <w:col w:w="10247"/>
          </w:cols>
          <w:pgMar w:left="212" w:top="411" w:right="1440" w:bottom="0" w:gutter="0" w:footer="0" w:header="0"/>
        </w:sectPr>
      </w:pPr>
    </w:p>
    <w:bookmarkStart w:id="89" w:name="page90"/>
    <w:bookmarkEnd w:id="89"/>
    <w:p>
      <w:pPr>
        <w:spacing w:after="0" w:line="63"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events or circumstances described in clauses 12.2-12.9</w:t>
      </w:r>
    </w:p>
    <w:p>
      <w:pPr>
        <w:ind w:left="1048"/>
        <w:spacing w:after="0"/>
        <w:rPr>
          <w:sz w:val="20"/>
          <w:szCs w:val="20"/>
          <w:color w:val="auto"/>
        </w:rPr>
      </w:pPr>
      <w:r>
        <w:rPr>
          <w:rFonts w:ascii="Courier New" w:cs="Courier New" w:eastAsia="Courier New" w:hAnsi="Courier New"/>
          <w:sz w:val="12"/>
          <w:szCs w:val="12"/>
          <w:color w:val="auto"/>
        </w:rPr>
        <w:t>(inclusive) below;</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1.1.13. "EQUIPMENT L/C" - means a standby or documentary letter of</w:t>
      </w:r>
    </w:p>
    <w:p>
      <w:pPr>
        <w:ind w:left="1048"/>
        <w:spacing w:after="0"/>
        <w:rPr>
          <w:sz w:val="20"/>
          <w:szCs w:val="20"/>
          <w:color w:val="auto"/>
        </w:rPr>
      </w:pPr>
      <w:r>
        <w:rPr>
          <w:rFonts w:ascii="Courier New" w:cs="Courier New" w:eastAsia="Courier New" w:hAnsi="Courier New"/>
          <w:sz w:val="12"/>
          <w:szCs w:val="12"/>
          <w:color w:val="auto"/>
        </w:rPr>
        <w:t>credit or bank guarantee issued, or to be issued, by the Bank</w:t>
      </w:r>
    </w:p>
    <w:p>
      <w:pPr>
        <w:ind w:left="1048"/>
        <w:spacing w:after="0" w:line="237" w:lineRule="auto"/>
        <w:rPr>
          <w:sz w:val="20"/>
          <w:szCs w:val="20"/>
          <w:color w:val="auto"/>
        </w:rPr>
      </w:pPr>
      <w:r>
        <w:rPr>
          <w:rFonts w:ascii="Courier New" w:cs="Courier New" w:eastAsia="Courier New" w:hAnsi="Courier New"/>
          <w:sz w:val="12"/>
          <w:szCs w:val="12"/>
          <w:color w:val="auto"/>
        </w:rPr>
        <w:t>under the Equipment Facility for the account of the Borrower in</w:t>
      </w:r>
    </w:p>
    <w:p>
      <w:pPr>
        <w:ind w:left="1048"/>
        <w:spacing w:after="0"/>
        <w:rPr>
          <w:sz w:val="20"/>
          <w:szCs w:val="20"/>
          <w:color w:val="auto"/>
        </w:rPr>
      </w:pPr>
      <w:r>
        <w:rPr>
          <w:rFonts w:ascii="Courier New" w:cs="Courier New" w:eastAsia="Courier New" w:hAnsi="Courier New"/>
          <w:sz w:val="12"/>
          <w:szCs w:val="12"/>
          <w:color w:val="auto"/>
        </w:rPr>
        <w:t>accordance with clause 4.3 below;</w:t>
      </w:r>
    </w:p>
    <w:p>
      <w:pPr>
        <w:spacing w:after="0" w:line="138"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1.1.14. "EQUIPMENT LOAN" - means a loan made or to be made by the Bank</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under the Equipment Facility pursuant to clause 4.2 below;</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1.1.15. "EQUIPMENT LOAN MATURITY DATE" - means the earlier of:</w:t>
      </w:r>
    </w:p>
    <w:p>
      <w:pPr>
        <w:spacing w:after="0" w:line="134" w:lineRule="exact"/>
        <w:rPr>
          <w:sz w:val="20"/>
          <w:szCs w:val="20"/>
          <w:color w:val="auto"/>
        </w:rPr>
      </w:pPr>
    </w:p>
    <w:p>
      <w:pPr>
        <w:ind w:left="1408" w:hanging="354"/>
        <w:spacing w:after="0"/>
        <w:tabs>
          <w:tab w:leader="none" w:pos="1408" w:val="left"/>
        </w:tabs>
        <w:numPr>
          <w:ilvl w:val="0"/>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Final Equipment Facility Maturity Date; and</w:t>
      </w:r>
    </w:p>
    <w:p>
      <w:pPr>
        <w:spacing w:after="0" w:line="138" w:lineRule="exact"/>
        <w:rPr>
          <w:rFonts w:ascii="Courier New" w:cs="Courier New" w:eastAsia="Courier New" w:hAnsi="Courier New"/>
          <w:sz w:val="12"/>
          <w:szCs w:val="12"/>
          <w:color w:val="auto"/>
        </w:rPr>
      </w:pPr>
    </w:p>
    <w:p>
      <w:pPr>
        <w:ind w:left="1408" w:right="4979" w:hanging="354"/>
        <w:spacing w:after="0" w:line="236" w:lineRule="auto"/>
        <w:tabs>
          <w:tab w:leader="none" w:pos="1408" w:val="left"/>
        </w:tabs>
        <w:numPr>
          <w:ilvl w:val="0"/>
          <w:numId w:val="1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Business Day immediately following the second anniversary of the date on which the Equipment Loan was made,</w:t>
      </w:r>
    </w:p>
    <w:p>
      <w:pPr>
        <w:spacing w:after="0" w:line="139"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subject, in each case, to mandatory prepayment on an earlier date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pursuant to clause 6.2 below;</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- 4 -</w:t>
      </w:r>
    </w:p>
    <w:p>
      <w:pPr>
        <w:spacing w:after="0" w:line="38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1.1.16. "FEE LETTER" - means the fee letter dated the date hereof</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between the Bank and the Borrower in the form of SCHEDULE 1.1.16</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hereto;</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1.1.17. "FINAL EQUIPMENT FACILITY MATURITY DATE" - means March 31,</w:t>
      </w:r>
    </w:p>
    <w:p>
      <w:pPr>
        <w:ind w:left="1048"/>
        <w:spacing w:after="0"/>
        <w:rPr>
          <w:sz w:val="20"/>
          <w:szCs w:val="20"/>
          <w:color w:val="auto"/>
        </w:rPr>
      </w:pPr>
      <w:r>
        <w:rPr>
          <w:rFonts w:ascii="Courier New" w:cs="Courier New" w:eastAsia="Courier New" w:hAnsi="Courier New"/>
          <w:sz w:val="12"/>
          <w:szCs w:val="12"/>
          <w:color w:val="auto"/>
        </w:rPr>
        <w:t>2010;</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1.1.18. "ISSUE DATE" - means, in respect of any Equipment L/C, the</w:t>
      </w:r>
    </w:p>
    <w:p>
      <w:pPr>
        <w:ind w:left="1048"/>
        <w:spacing w:after="0"/>
        <w:rPr>
          <w:sz w:val="20"/>
          <w:szCs w:val="20"/>
          <w:color w:val="auto"/>
        </w:rPr>
      </w:pPr>
      <w:r>
        <w:rPr>
          <w:rFonts w:ascii="Courier New" w:cs="Courier New" w:eastAsia="Courier New" w:hAnsi="Courier New"/>
          <w:sz w:val="12"/>
          <w:szCs w:val="12"/>
          <w:color w:val="auto"/>
        </w:rPr>
        <w:t>date of the issue of such Equipment L/C;</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1.1.19. "L/C APPLICATION" - means an application by the Borrower for</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the issue of an Equipment L/C in such form as may be agreed upon</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by the Bank and the Borrower from time to time and which is to be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made pursuant to clause 4.3 hereof;</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1.1.20. "SHARE WARRANTS" - means the warrants to acquire shares of the</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Borrower to be issued by the Borrower to the Bank in the form of</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SCHEDULE 1.1.20 hereto;</w:t>
      </w:r>
    </w:p>
    <w:p>
      <w:pPr>
        <w:spacing w:after="0" w:line="134"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2"/>
          <w:szCs w:val="12"/>
          <w:color w:val="auto"/>
        </w:rPr>
        <w:t>1.1.21. "TERMINATION DATE" - means the Business Day immediately</w:t>
      </w:r>
    </w:p>
    <w:p>
      <w:pPr>
        <w:jc w:val="center"/>
        <w:ind w:right="4411"/>
        <w:spacing w:after="0"/>
        <w:rPr>
          <w:sz w:val="20"/>
          <w:szCs w:val="20"/>
          <w:color w:val="auto"/>
        </w:rPr>
      </w:pPr>
      <w:r>
        <w:rPr>
          <w:rFonts w:ascii="Courier New" w:cs="Courier New" w:eastAsia="Courier New" w:hAnsi="Courier New"/>
          <w:sz w:val="12"/>
          <w:szCs w:val="12"/>
          <w:color w:val="auto"/>
        </w:rPr>
        <w:t>following the second anniversary of the Closing Date.</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 Unless otherwise defined in this Agreement, terms defined and</w:t>
      </w:r>
    </w:p>
    <w:p>
      <w:pPr>
        <w:ind w:left="708"/>
        <w:spacing w:after="0"/>
        <w:rPr>
          <w:sz w:val="20"/>
          <w:szCs w:val="20"/>
          <w:color w:val="auto"/>
        </w:rPr>
      </w:pPr>
      <w:r>
        <w:rPr>
          <w:rFonts w:ascii="Courier New" w:cs="Courier New" w:eastAsia="Courier New" w:hAnsi="Courier New"/>
          <w:sz w:val="12"/>
          <w:szCs w:val="12"/>
          <w:color w:val="auto"/>
        </w:rPr>
        <w:t>references construed in the Facility Agreement shall have the same</w:t>
      </w:r>
    </w:p>
    <w:p>
      <w:pPr>
        <w:ind w:left="708"/>
        <w:spacing w:after="0" w:line="237" w:lineRule="auto"/>
        <w:rPr>
          <w:sz w:val="20"/>
          <w:szCs w:val="20"/>
          <w:color w:val="auto"/>
        </w:rPr>
      </w:pPr>
      <w:r>
        <w:rPr>
          <w:rFonts w:ascii="Courier New" w:cs="Courier New" w:eastAsia="Courier New" w:hAnsi="Courier New"/>
          <w:sz w:val="12"/>
          <w:szCs w:val="12"/>
          <w:color w:val="auto"/>
        </w:rPr>
        <w:t>meaning and construction in this Agreement.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1.3. The recitals and schedules hereto form an integral part thereof.</w:t>
      </w:r>
    </w:p>
    <w:p>
      <w:pPr>
        <w:spacing w:after="0" w:line="134" w:lineRule="exact"/>
        <w:rPr>
          <w:sz w:val="20"/>
          <w:szCs w:val="20"/>
          <w:color w:val="auto"/>
        </w:rPr>
      </w:pPr>
    </w:p>
    <w:p>
      <w:pPr>
        <w:ind w:left="348" w:hanging="348"/>
        <w:spacing w:after="0"/>
        <w:tabs>
          <w:tab w:leader="none" w:pos="348" w:val="left"/>
        </w:tabs>
        <w:numPr>
          <w:ilvl w:val="0"/>
          <w:numId w:val="12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EQUIPMENT FACILITY</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2.1. GRANT OF EQUIPMENT FACILITY</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Subject to the fulfilment of the conditions precedent set out in</w:t>
      </w:r>
    </w:p>
    <w:p>
      <w:pPr>
        <w:ind w:left="708"/>
        <w:spacing w:after="0"/>
        <w:rPr>
          <w:sz w:val="20"/>
          <w:szCs w:val="20"/>
          <w:color w:val="auto"/>
        </w:rPr>
      </w:pPr>
      <w:r>
        <w:rPr>
          <w:rFonts w:ascii="Courier New" w:cs="Courier New" w:eastAsia="Courier New" w:hAnsi="Courier New"/>
          <w:sz w:val="12"/>
          <w:szCs w:val="12"/>
          <w:color w:val="auto"/>
        </w:rPr>
        <w:t>clause 3 below and to compliance with the further conditions set out</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clause 4 below, the Bank, relying upon each of the representations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and warranties made or incorporated by reference in this Agreement,</w:t>
      </w:r>
    </w:p>
    <w:p>
      <w:pPr>
        <w:ind w:left="708"/>
        <w:spacing w:after="0"/>
        <w:rPr>
          <w:sz w:val="20"/>
          <w:szCs w:val="20"/>
          <w:color w:val="auto"/>
        </w:rPr>
      </w:pPr>
      <w:r>
        <w:rPr>
          <w:rFonts w:ascii="Courier New" w:cs="Courier New" w:eastAsia="Courier New" w:hAnsi="Courier New"/>
          <w:sz w:val="12"/>
          <w:szCs w:val="12"/>
          <w:color w:val="auto"/>
        </w:rPr>
        <w:t>agrees to grant to the Borrower, for application only in accordance</w:t>
      </w:r>
    </w:p>
    <w:p>
      <w:pPr>
        <w:ind w:left="708"/>
        <w:spacing w:after="0" w:line="237" w:lineRule="auto"/>
        <w:rPr>
          <w:sz w:val="20"/>
          <w:szCs w:val="20"/>
          <w:color w:val="auto"/>
        </w:rPr>
      </w:pPr>
      <w:r>
        <w:rPr>
          <w:rFonts w:ascii="Courier New" w:cs="Courier New" w:eastAsia="Courier New" w:hAnsi="Courier New"/>
          <w:sz w:val="12"/>
          <w:szCs w:val="12"/>
          <w:color w:val="auto"/>
        </w:rPr>
        <w:t>with clause 2.2 below and otherwise subject to the terms and</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conditions of this Agreement, the Equipment Facility in the aggregate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amount of US $15,000,000 (fifteen million United States Dollars),</w:t>
      </w:r>
    </w:p>
    <w:p>
      <w:pPr>
        <w:ind w:left="708"/>
        <w:spacing w:after="0"/>
        <w:rPr>
          <w:sz w:val="20"/>
          <w:szCs w:val="20"/>
          <w:color w:val="auto"/>
        </w:rPr>
      </w:pPr>
      <w:r>
        <w:rPr>
          <w:rFonts w:ascii="Courier New" w:cs="Courier New" w:eastAsia="Courier New" w:hAnsi="Courier New"/>
          <w:sz w:val="12"/>
          <w:szCs w:val="12"/>
          <w:color w:val="auto"/>
        </w:rPr>
        <w:t>being a Dollar Facility.</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- 5 -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2.2. PURPOSE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shall apply all Equipment Facility Credits only towards</w:t>
      </w:r>
    </w:p>
    <w:p>
      <w:pPr>
        <w:ind w:left="708"/>
        <w:spacing w:after="0"/>
        <w:rPr>
          <w:sz w:val="20"/>
          <w:szCs w:val="20"/>
          <w:color w:val="auto"/>
        </w:rPr>
      </w:pPr>
      <w:r>
        <w:rPr>
          <w:rFonts w:ascii="Courier New" w:cs="Courier New" w:eastAsia="Courier New" w:hAnsi="Courier New"/>
          <w:sz w:val="12"/>
          <w:szCs w:val="12"/>
          <w:color w:val="auto"/>
        </w:rPr>
        <w:t>the payment of the cost of acquisition of the Ramp-Up Equipment.</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2.3. NO OBLIGATION TO MONITOR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Bank shall not be under any obligation to monitor or verify the</w:t>
      </w:r>
    </w:p>
    <w:p>
      <w:pPr>
        <w:ind w:left="708"/>
        <w:spacing w:after="0"/>
        <w:rPr>
          <w:sz w:val="20"/>
          <w:szCs w:val="20"/>
          <w:color w:val="auto"/>
        </w:rPr>
      </w:pPr>
      <w:r>
        <w:rPr>
          <w:rFonts w:ascii="Courier New" w:cs="Courier New" w:eastAsia="Courier New" w:hAnsi="Courier New"/>
          <w:sz w:val="12"/>
          <w:szCs w:val="12"/>
          <w:color w:val="auto"/>
        </w:rPr>
        <w:t>application of any Equipment Facility Credit made pursuant to this</w:t>
      </w:r>
    </w:p>
    <w:p>
      <w:pPr>
        <w:ind w:left="708"/>
        <w:spacing w:after="0" w:line="237" w:lineRule="auto"/>
        <w:rPr>
          <w:sz w:val="20"/>
          <w:szCs w:val="20"/>
          <w:color w:val="auto"/>
        </w:rPr>
      </w:pPr>
      <w:r>
        <w:rPr>
          <w:rFonts w:ascii="Courier New" w:cs="Courier New" w:eastAsia="Courier New" w:hAnsi="Courier New"/>
          <w:sz w:val="12"/>
          <w:szCs w:val="12"/>
          <w:color w:val="auto"/>
        </w:rPr>
        <w:t>Agreement. The Borrower shall promptly notify the Bank of the making</w:t>
      </w:r>
    </w:p>
    <w:p>
      <w:pPr>
        <w:ind w:left="708"/>
        <w:spacing w:after="0"/>
        <w:rPr>
          <w:sz w:val="20"/>
          <w:szCs w:val="20"/>
          <w:color w:val="auto"/>
        </w:rPr>
      </w:pPr>
      <w:r>
        <w:rPr>
          <w:rFonts w:ascii="Courier New" w:cs="Courier New" w:eastAsia="Courier New" w:hAnsi="Courier New"/>
          <w:sz w:val="12"/>
          <w:szCs w:val="12"/>
          <w:color w:val="auto"/>
        </w:rPr>
        <w:t>of any commitments to purchase or of any purchase order relating to</w:t>
      </w:r>
    </w:p>
    <w:p>
      <w:pPr>
        <w:ind w:left="708"/>
        <w:spacing w:after="0" w:line="237" w:lineRule="auto"/>
        <w:rPr>
          <w:sz w:val="20"/>
          <w:szCs w:val="20"/>
          <w:color w:val="auto"/>
        </w:rPr>
      </w:pPr>
      <w:r>
        <w:rPr>
          <w:rFonts w:ascii="Courier New" w:cs="Courier New" w:eastAsia="Courier New" w:hAnsi="Courier New"/>
          <w:sz w:val="12"/>
          <w:szCs w:val="12"/>
          <w:color w:val="auto"/>
        </w:rPr>
        <w:t>any acquisition of Ramp-Up Equipment.</w:t>
      </w:r>
    </w:p>
    <w:p>
      <w:pPr>
        <w:spacing w:after="0" w:line="134" w:lineRule="exact"/>
        <w:rPr>
          <w:sz w:val="20"/>
          <w:szCs w:val="20"/>
          <w:color w:val="auto"/>
        </w:rPr>
      </w:pPr>
    </w:p>
    <w:p>
      <w:pPr>
        <w:ind w:left="348" w:hanging="348"/>
        <w:spacing w:after="0"/>
        <w:tabs>
          <w:tab w:leader="none" w:pos="348" w:val="left"/>
        </w:tabs>
        <w:numPr>
          <w:ilvl w:val="0"/>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CONDITIONS PRECEDENT</w:t>
      </w:r>
    </w:p>
    <w:p>
      <w:pPr>
        <w:spacing w:after="0" w:line="138" w:lineRule="exact"/>
        <w:rPr>
          <w:rFonts w:ascii="Courier New" w:cs="Courier New" w:eastAsia="Courier New" w:hAnsi="Courier New"/>
          <w:sz w:val="12"/>
          <w:szCs w:val="12"/>
          <w:color w:val="auto"/>
        </w:rPr>
      </w:pPr>
    </w:p>
    <w:p>
      <w:pPr>
        <w:ind w:left="348"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obligations of the Bank under this Agreement are subject to the condition that the Bank shall have received, by not later than December 31, 2007, the following documents, matters and things in form and substance satisfactory to the Bank:</w:t>
      </w:r>
    </w:p>
    <w:p>
      <w:pPr>
        <w:spacing w:after="0" w:line="140" w:lineRule="exact"/>
        <w:rPr>
          <w:rFonts w:ascii="Courier New" w:cs="Courier New" w:eastAsia="Courier New" w:hAnsi="Courier New"/>
          <w:sz w:val="12"/>
          <w:szCs w:val="12"/>
          <w:color w:val="auto"/>
        </w:rPr>
      </w:pPr>
    </w:p>
    <w:p>
      <w:pPr>
        <w:ind w:left="708" w:right="4699" w:hanging="351"/>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3.1. a copy, certified as a true copy by the external legal counsel of the Borrower, of the Certificate of Incorporation, Memorandum of Association and Articles of Association of the Borrower or, if applicable, a certificate from external legal counsel as to the absence of changes from the certified copies of the aforegoing delivered to the Bank on or about September 5, 2006;</w:t>
      </w:r>
    </w:p>
    <w:p>
      <w:pPr>
        <w:spacing w:after="0" w:line="140" w:lineRule="exact"/>
        <w:rPr>
          <w:rFonts w:ascii="Courier New" w:cs="Courier New" w:eastAsia="Courier New" w:hAnsi="Courier New"/>
          <w:sz w:val="12"/>
          <w:szCs w:val="12"/>
          <w:color w:val="auto"/>
        </w:rPr>
      </w:pPr>
    </w:p>
    <w:p>
      <w:pPr>
        <w:ind w:left="708" w:right="4619" w:hanging="351"/>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3.2. copies of resolutions of the Board of Directors of the Borrower authorising named officers of the Borrower to execute, deliver and perform this Agreement and each of the other Finance Documents entered into in connection with this Agreement and to give all notices and take all other action required to be given or taken by the Borrower under this Agreement and under each other Finance Document;</w:t>
      </w:r>
    </w:p>
    <w:p>
      <w:pPr>
        <w:spacing w:after="0" w:line="125"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3.3. no Material Adverse Effect shall have occurred;</w:t>
      </w:r>
    </w:p>
    <w:p>
      <w:pPr>
        <w:spacing w:after="0" w:line="269"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29"/>
        </w:numPr>
        <w:rPr>
          <w:rFonts w:ascii="Courier New" w:cs="Courier New" w:eastAsia="Courier New" w:hAnsi="Courier New"/>
          <w:sz w:val="12"/>
          <w:szCs w:val="12"/>
          <w:color w:val="auto"/>
        </w:rPr>
      </w:pPr>
      <w:r>
        <w:rPr>
          <w:rFonts w:ascii="Courier New" w:cs="Courier New" w:eastAsia="Courier New" w:hAnsi="Courier New"/>
          <w:sz w:val="12"/>
          <w:szCs w:val="12"/>
          <w:color w:val="auto"/>
        </w:rPr>
        <w:t>6 -</w:t>
      </w:r>
    </w:p>
    <w:p>
      <w:pPr>
        <w:spacing w:after="0" w:line="386"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2"/>
          <w:szCs w:val="12"/>
          <w:color w:val="auto"/>
        </w:rPr>
        <w:t>3.4. there shall be no impediment, restriction, limitation or prohibition,</w:t>
      </w:r>
    </w:p>
    <w:p>
      <w:pPr>
        <w:ind w:left="708"/>
        <w:spacing w:after="0"/>
        <w:rPr>
          <w:sz w:val="20"/>
          <w:szCs w:val="20"/>
          <w:color w:val="auto"/>
        </w:rPr>
      </w:pPr>
      <w:r>
        <w:rPr>
          <w:rFonts w:ascii="Courier New" w:cs="Courier New" w:eastAsia="Courier New" w:hAnsi="Courier New"/>
          <w:sz w:val="12"/>
          <w:szCs w:val="12"/>
          <w:color w:val="auto"/>
        </w:rPr>
        <w:t>including impediments, restrictions, limitations or prohibitions</w:t>
      </w:r>
    </w:p>
    <w:p>
      <w:pPr>
        <w:ind w:left="708"/>
        <w:spacing w:after="0" w:line="237" w:lineRule="auto"/>
        <w:rPr>
          <w:sz w:val="20"/>
          <w:szCs w:val="20"/>
          <w:color w:val="auto"/>
        </w:rPr>
      </w:pPr>
      <w:r>
        <w:rPr>
          <w:rFonts w:ascii="Courier New" w:cs="Courier New" w:eastAsia="Courier New" w:hAnsi="Courier New"/>
          <w:sz w:val="12"/>
          <w:szCs w:val="12"/>
          <w:color w:val="auto"/>
        </w:rPr>
        <w:t>imposed under law or by any Governmental Body, as to the proposed</w:t>
      </w:r>
    </w:p>
    <w:p>
      <w:pPr>
        <w:ind w:left="708"/>
        <w:spacing w:after="0"/>
        <w:rPr>
          <w:sz w:val="20"/>
          <w:szCs w:val="20"/>
          <w:color w:val="auto"/>
        </w:rPr>
      </w:pPr>
      <w:r>
        <w:rPr>
          <w:rFonts w:ascii="Courier New" w:cs="Courier New" w:eastAsia="Courier New" w:hAnsi="Courier New"/>
          <w:sz w:val="12"/>
          <w:szCs w:val="12"/>
          <w:color w:val="auto"/>
        </w:rPr>
        <w:t>financing under this Agreement or as to the issuance of the Share</w:t>
      </w:r>
    </w:p>
    <w:p>
      <w:pPr>
        <w:ind w:left="708"/>
        <w:spacing w:after="0" w:line="237" w:lineRule="auto"/>
        <w:rPr>
          <w:sz w:val="20"/>
          <w:szCs w:val="20"/>
          <w:color w:val="auto"/>
        </w:rPr>
      </w:pPr>
      <w:r>
        <w:rPr>
          <w:rFonts w:ascii="Courier New" w:cs="Courier New" w:eastAsia="Courier New" w:hAnsi="Courier New"/>
          <w:sz w:val="12"/>
          <w:szCs w:val="12"/>
          <w:color w:val="auto"/>
        </w:rPr>
        <w:t>Warrants to the Bank or as to the security interests to be created</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with respect to the Ramp-Up Equipment under the Security Documents or</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as to any rights of any collateral thereunder or as to application of</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proceeds of the realisation of any such rights;</w:t>
      </w:r>
    </w:p>
    <w:p>
      <w:pPr>
        <w:sectPr>
          <w:pgSz w:w="11900" w:h="16902" w:orient="portrait"/>
          <w:cols w:equalWidth="0" w:num="1">
            <w:col w:w="10247"/>
          </w:cols>
          <w:pgMar w:left="212" w:top="137" w:right="1440" w:bottom="0" w:gutter="0" w:footer="0" w:header="0"/>
        </w:sectPr>
      </w:pPr>
    </w:p>
    <w:bookmarkStart w:id="90" w:name="page91"/>
    <w:bookmarkEnd w:id="90"/>
    <w:p>
      <w:pPr>
        <w:ind w:left="348"/>
        <w:spacing w:after="0"/>
        <w:rPr>
          <w:sz w:val="20"/>
          <w:szCs w:val="20"/>
          <w:color w:val="auto"/>
        </w:rPr>
      </w:pPr>
      <w:r>
        <w:rPr>
          <w:rFonts w:ascii="Courier New" w:cs="Courier New" w:eastAsia="Courier New" w:hAnsi="Courier New"/>
          <w:sz w:val="12"/>
          <w:szCs w:val="12"/>
          <w:color w:val="auto"/>
        </w:rPr>
        <w:t>3.5. an opinion of Yigal Arnon &amp; Co., Advocates, the Borrower's external</w:t>
      </w:r>
    </w:p>
    <w:p>
      <w:pPr>
        <w:ind w:left="708"/>
        <w:spacing w:after="0"/>
        <w:rPr>
          <w:sz w:val="20"/>
          <w:szCs w:val="20"/>
          <w:color w:val="auto"/>
        </w:rPr>
      </w:pPr>
      <w:r>
        <w:rPr>
          <w:rFonts w:ascii="Courier New" w:cs="Courier New" w:eastAsia="Courier New" w:hAnsi="Courier New"/>
          <w:sz w:val="12"/>
          <w:szCs w:val="12"/>
          <w:color w:val="auto"/>
        </w:rPr>
        <w:t>legal counsel, addressed to the Bank;</w:t>
      </w:r>
    </w:p>
    <w:p>
      <w:pPr>
        <w:spacing w:after="0" w:line="138" w:lineRule="exact"/>
        <w:rPr>
          <w:sz w:val="20"/>
          <w:szCs w:val="20"/>
          <w:color w:val="auto"/>
        </w:rPr>
      </w:pPr>
    </w:p>
    <w:p>
      <w:pPr>
        <w:ind w:left="708" w:right="4699" w:hanging="350"/>
        <w:spacing w:after="0" w:line="266" w:lineRule="auto"/>
        <w:rPr>
          <w:sz w:val="20"/>
          <w:szCs w:val="20"/>
          <w:color w:val="auto"/>
        </w:rPr>
      </w:pPr>
      <w:r>
        <w:rPr>
          <w:rFonts w:ascii="Courier New" w:cs="Courier New" w:eastAsia="Courier New" w:hAnsi="Courier New"/>
          <w:sz w:val="11"/>
          <w:szCs w:val="11"/>
          <w:color w:val="auto"/>
        </w:rPr>
        <w:t>3.6. all of the Borrower's representations and warranties given by the Borrower pursuant to this Agreement shall be accurate in all material respects as of the Closing Date, as if made on the Closing Date;</w:t>
      </w:r>
    </w:p>
    <w:p>
      <w:pPr>
        <w:spacing w:after="0" w:line="122"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3.7. execution of the Share Warrants;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3.8. execution of the Fee Letter and payment of all fees payable to the</w:t>
      </w:r>
    </w:p>
    <w:p>
      <w:pPr>
        <w:ind w:left="708"/>
        <w:spacing w:after="0"/>
        <w:rPr>
          <w:sz w:val="20"/>
          <w:szCs w:val="20"/>
          <w:color w:val="auto"/>
        </w:rPr>
      </w:pPr>
      <w:r>
        <w:rPr>
          <w:rFonts w:ascii="Courier New" w:cs="Courier New" w:eastAsia="Courier New" w:hAnsi="Courier New"/>
          <w:sz w:val="12"/>
          <w:szCs w:val="12"/>
          <w:color w:val="auto"/>
        </w:rPr>
        <w:t>Bank thereunder;</w:t>
      </w:r>
    </w:p>
    <w:p>
      <w:pPr>
        <w:spacing w:after="0" w:line="138" w:lineRule="exact"/>
        <w:rPr>
          <w:sz w:val="20"/>
          <w:szCs w:val="20"/>
          <w:color w:val="auto"/>
        </w:rPr>
      </w:pPr>
    </w:p>
    <w:p>
      <w:pPr>
        <w:jc w:val="both"/>
        <w:ind w:left="708" w:right="4619" w:hanging="350"/>
        <w:spacing w:after="0" w:line="236" w:lineRule="auto"/>
        <w:rPr>
          <w:sz w:val="20"/>
          <w:szCs w:val="20"/>
          <w:color w:val="auto"/>
        </w:rPr>
      </w:pPr>
      <w:r>
        <w:rPr>
          <w:rFonts w:ascii="Courier New" w:cs="Courier New" w:eastAsia="Courier New" w:hAnsi="Courier New"/>
          <w:sz w:val="12"/>
          <w:szCs w:val="12"/>
          <w:color w:val="auto"/>
        </w:rPr>
        <w:t>3.9. the Facility Agreement, including Amendment No. 1, dated September 10, 2007, to the Restated Facility Agreement, dated August 24, 2006, shall be effective and in full force and effect;</w:t>
      </w:r>
    </w:p>
    <w:p>
      <w:pPr>
        <w:spacing w:after="0" w:line="139" w:lineRule="exact"/>
        <w:rPr>
          <w:sz w:val="20"/>
          <w:szCs w:val="20"/>
          <w:color w:val="auto"/>
        </w:rPr>
      </w:pPr>
    </w:p>
    <w:p>
      <w:pPr>
        <w:ind w:left="348"/>
        <w:spacing w:after="0"/>
        <w:rPr>
          <w:sz w:val="20"/>
          <w:szCs w:val="20"/>
          <w:color w:val="auto"/>
        </w:rPr>
      </w:pPr>
      <w:r>
        <w:rPr>
          <w:rFonts w:ascii="Courier New" w:cs="Courier New" w:eastAsia="Courier New" w:hAnsi="Courier New"/>
          <w:sz w:val="11"/>
          <w:szCs w:val="11"/>
          <w:color w:val="auto"/>
        </w:rPr>
        <w:t>3.10. all of the conditions precedent set forth in clause 1.1.115(l) of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Facility Agreement shall have been fulfilled, including:</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3.10.1. the closing under the definitive documentation between the</w:t>
      </w:r>
    </w:p>
    <w:p>
      <w:pPr>
        <w:ind w:left="1048"/>
        <w:spacing w:after="0"/>
        <w:rPr>
          <w:sz w:val="20"/>
          <w:szCs w:val="20"/>
          <w:color w:val="auto"/>
        </w:rPr>
      </w:pPr>
      <w:r>
        <w:rPr>
          <w:rFonts w:ascii="Courier New" w:cs="Courier New" w:eastAsia="Courier New" w:hAnsi="Courier New"/>
          <w:sz w:val="12"/>
          <w:szCs w:val="12"/>
          <w:color w:val="auto"/>
        </w:rPr>
        <w:t>Borrower and TIC, with respect to the US $30,000,000 (thirty</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million United States Dollars) of Permitted Subordinated TIC Debt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to be provided by TIC to the Borrower, shall have occurred or</w:t>
      </w:r>
    </w:p>
    <w:p>
      <w:pPr>
        <w:ind w:left="1048"/>
        <w:spacing w:after="0"/>
        <w:rPr>
          <w:sz w:val="20"/>
          <w:szCs w:val="20"/>
          <w:color w:val="auto"/>
        </w:rPr>
      </w:pPr>
      <w:r>
        <w:rPr>
          <w:rFonts w:ascii="Courier New" w:cs="Courier New" w:eastAsia="Courier New" w:hAnsi="Courier New"/>
          <w:sz w:val="12"/>
          <w:szCs w:val="12"/>
          <w:color w:val="auto"/>
        </w:rPr>
        <w:t>shall occur simultaneously with the closing of this Agreement;</w:t>
      </w:r>
    </w:p>
    <w:p>
      <w:pPr>
        <w:ind w:left="1048"/>
        <w:spacing w:after="0" w:line="237" w:lineRule="auto"/>
        <w:rPr>
          <w:sz w:val="20"/>
          <w:szCs w:val="20"/>
          <w:color w:val="auto"/>
        </w:rPr>
      </w:pPr>
      <w:r>
        <w:rPr>
          <w:rFonts w:ascii="Courier New" w:cs="Courier New" w:eastAsia="Courier New" w:hAnsi="Courier New"/>
          <w:sz w:val="12"/>
          <w:szCs w:val="12"/>
          <w:color w:val="auto"/>
        </w:rPr>
        <w:t>provided that, for the avoidance of doubt, the terms of such</w:t>
      </w:r>
    </w:p>
    <w:p>
      <w:pPr>
        <w:ind w:left="1048"/>
        <w:spacing w:after="0"/>
        <w:rPr>
          <w:sz w:val="20"/>
          <w:szCs w:val="20"/>
          <w:color w:val="auto"/>
        </w:rPr>
      </w:pPr>
      <w:r>
        <w:rPr>
          <w:rFonts w:ascii="Courier New" w:cs="Courier New" w:eastAsia="Courier New" w:hAnsi="Courier New"/>
          <w:sz w:val="12"/>
          <w:szCs w:val="12"/>
          <w:color w:val="auto"/>
        </w:rPr>
        <w:t>Permitted Subordinated TIC Debt shall be in accordance with</w:t>
      </w:r>
    </w:p>
    <w:p>
      <w:pPr>
        <w:ind w:left="1048"/>
        <w:spacing w:after="0" w:line="237" w:lineRule="auto"/>
        <w:rPr>
          <w:sz w:val="20"/>
          <w:szCs w:val="20"/>
          <w:color w:val="auto"/>
        </w:rPr>
      </w:pPr>
      <w:r>
        <w:rPr>
          <w:rFonts w:ascii="Courier New" w:cs="Courier New" w:eastAsia="Courier New" w:hAnsi="Courier New"/>
          <w:sz w:val="12"/>
          <w:szCs w:val="12"/>
          <w:color w:val="auto"/>
        </w:rPr>
        <w:t>clause 1.1.115(l) of the Facility Agreement;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3.10.2. the delivery to the Bank of an irrevocable and unconditional</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undertaking by TIC, in the form attached hereto as SCHEDULE 3.10</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UNDERTAKING"), to provide Permitted Subordinated TIC Debt</w:t>
      </w:r>
    </w:p>
    <w:p>
      <w:pPr>
        <w:ind w:left="1048"/>
        <w:spacing w:after="0"/>
        <w:rPr>
          <w:sz w:val="20"/>
          <w:szCs w:val="20"/>
          <w:color w:val="auto"/>
        </w:rPr>
      </w:pPr>
      <w:r>
        <w:rPr>
          <w:rFonts w:ascii="Courier New" w:cs="Courier New" w:eastAsia="Courier New" w:hAnsi="Courier New"/>
          <w:sz w:val="12"/>
          <w:szCs w:val="12"/>
          <w:color w:val="auto"/>
        </w:rPr>
        <w:t>to the Borrower in accordance with clause 4.1.2.2 below, such</w:t>
      </w:r>
    </w:p>
    <w:p>
      <w:pPr>
        <w:ind w:left="1048"/>
        <w:spacing w:after="0" w:line="237" w:lineRule="auto"/>
        <w:rPr>
          <w:sz w:val="20"/>
          <w:szCs w:val="20"/>
          <w:color w:val="auto"/>
        </w:rPr>
      </w:pPr>
      <w:r>
        <w:rPr>
          <w:rFonts w:ascii="Courier New" w:cs="Courier New" w:eastAsia="Courier New" w:hAnsi="Courier New"/>
          <w:sz w:val="12"/>
          <w:szCs w:val="12"/>
          <w:color w:val="auto"/>
        </w:rPr>
        <w:t>that at no time shall the amount of principal of Permitted</w:t>
      </w:r>
    </w:p>
    <w:p>
      <w:pPr>
        <w:ind w:left="1048"/>
        <w:spacing w:after="0"/>
        <w:rPr>
          <w:sz w:val="20"/>
          <w:szCs w:val="20"/>
          <w:color w:val="auto"/>
        </w:rPr>
      </w:pPr>
      <w:r>
        <w:rPr>
          <w:rFonts w:ascii="Courier New" w:cs="Courier New" w:eastAsia="Courier New" w:hAnsi="Courier New"/>
          <w:sz w:val="12"/>
          <w:szCs w:val="12"/>
          <w:color w:val="auto"/>
        </w:rPr>
        <w:t>Subordinated TIC Debt provided by TIC be in an amount less than</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the principal of all Equipment Loans (as such term is defined in</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Facility Agreement) provided by all Equipment Lenders (as</w:t>
      </w:r>
    </w:p>
    <w:p>
      <w:pPr>
        <w:ind w:left="1048"/>
        <w:spacing w:after="0"/>
        <w:rPr>
          <w:sz w:val="20"/>
          <w:szCs w:val="20"/>
          <w:color w:val="auto"/>
        </w:rPr>
      </w:pPr>
      <w:r>
        <w:rPr>
          <w:rFonts w:ascii="Courier New" w:cs="Courier New" w:eastAsia="Courier New" w:hAnsi="Courier New"/>
          <w:sz w:val="12"/>
          <w:szCs w:val="12"/>
          <w:color w:val="auto"/>
        </w:rPr>
        <w:t>such term is defined in the Facility Agreement) (including an</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undertaking by TIC directly to make one-half of the payment to be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made to the beneficiary of the Equipment L/C (or immediately</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reimburse the Bank for one-half of the payment to the beneficiary</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so made by the Bank), which payment shall be deemed a portion of</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Permitted Subordinated TIC Debt required to be provided by</w:t>
      </w:r>
    </w:p>
    <w:p>
      <w:pPr>
        <w:ind w:left="1048"/>
        <w:spacing w:after="0"/>
        <w:rPr>
          <w:sz w:val="20"/>
          <w:szCs w:val="20"/>
          <w:color w:val="auto"/>
        </w:rPr>
      </w:pPr>
      <w:r>
        <w:rPr>
          <w:rFonts w:ascii="Courier New" w:cs="Courier New" w:eastAsia="Courier New" w:hAnsi="Courier New"/>
          <w:sz w:val="12"/>
          <w:szCs w:val="12"/>
          <w:color w:val="auto"/>
        </w:rPr>
        <w:t>TIC to the Borrower); and</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- 7 -</w:t>
      </w:r>
    </w:p>
    <w:p>
      <w:pPr>
        <w:spacing w:after="0" w:line="391"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3.10.3. a net amount of at least US $40,000,000 (forty million United</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States Dollars) shall have been: (a) unconditionally and</w:t>
      </w:r>
    </w:p>
    <w:p>
      <w:pPr>
        <w:ind w:left="1048"/>
        <w:spacing w:after="0"/>
        <w:rPr>
          <w:sz w:val="20"/>
          <w:szCs w:val="20"/>
          <w:color w:val="auto"/>
        </w:rPr>
      </w:pPr>
      <w:r>
        <w:rPr>
          <w:rFonts w:ascii="Courier New" w:cs="Courier New" w:eastAsia="Courier New" w:hAnsi="Courier New"/>
          <w:sz w:val="12"/>
          <w:szCs w:val="12"/>
          <w:color w:val="auto"/>
        </w:rPr>
        <w:t>irrevocably invested in the Borrower by way of Paid-in-Equity,</w:t>
      </w:r>
    </w:p>
    <w:p>
      <w:pPr>
        <w:ind w:left="1048"/>
        <w:spacing w:after="0" w:line="237" w:lineRule="auto"/>
        <w:rPr>
          <w:sz w:val="20"/>
          <w:szCs w:val="20"/>
          <w:color w:val="auto"/>
        </w:rPr>
      </w:pPr>
      <w:r>
        <w:rPr>
          <w:rFonts w:ascii="Courier New" w:cs="Courier New" w:eastAsia="Courier New" w:hAnsi="Courier New"/>
          <w:sz w:val="12"/>
          <w:szCs w:val="12"/>
          <w:color w:val="auto"/>
        </w:rPr>
        <w:t>Permitted Subordinated Debt, excluding (for the avoidance of</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doubt) Permitted Subordinated TIC Debt (including a gross amount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of US $39,977,064 (thirty-nine million, nine hundred and</w:t>
      </w:r>
    </w:p>
    <w:p>
      <w:pPr>
        <w:ind w:left="1048"/>
        <w:spacing w:after="0"/>
        <w:rPr>
          <w:sz w:val="20"/>
          <w:szCs w:val="20"/>
          <w:color w:val="auto"/>
        </w:rPr>
      </w:pPr>
      <w:r>
        <w:rPr>
          <w:rFonts w:ascii="Courier New" w:cs="Courier New" w:eastAsia="Courier New" w:hAnsi="Courier New"/>
          <w:sz w:val="12"/>
          <w:szCs w:val="12"/>
          <w:color w:val="auto"/>
        </w:rPr>
        <w:t>seventy-seven thousand and sixty four United States Dollars)</w:t>
      </w:r>
    </w:p>
    <w:p>
      <w:pPr>
        <w:ind w:left="1048"/>
        <w:spacing w:after="0" w:line="237" w:lineRule="auto"/>
        <w:rPr>
          <w:sz w:val="20"/>
          <w:szCs w:val="20"/>
          <w:color w:val="auto"/>
        </w:rPr>
      </w:pPr>
      <w:r>
        <w:rPr>
          <w:rFonts w:ascii="Courier New" w:cs="Courier New" w:eastAsia="Courier New" w:hAnsi="Courier New"/>
          <w:sz w:val="12"/>
          <w:szCs w:val="12"/>
          <w:color w:val="auto"/>
        </w:rPr>
        <w:t>already raised) or unsecured customer advances, in form and</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substance satisfactory to the Banks; or (b) generated from Excess</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Cash Flow, including as may be reflected in the Borrower's</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Accounts for a Quarter commencing from the first Quarter of 2007,</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provided that any such Excess Cash Flow is held by the Borrower</w:t>
      </w:r>
    </w:p>
    <w:p>
      <w:pPr>
        <w:ind w:left="1048"/>
        <w:spacing w:after="0"/>
        <w:rPr>
          <w:sz w:val="20"/>
          <w:szCs w:val="20"/>
          <w:color w:val="auto"/>
        </w:rPr>
      </w:pPr>
      <w:r>
        <w:rPr>
          <w:rFonts w:ascii="Courier New" w:cs="Courier New" w:eastAsia="Courier New" w:hAnsi="Courier New"/>
          <w:sz w:val="12"/>
          <w:szCs w:val="12"/>
          <w:color w:val="auto"/>
        </w:rPr>
        <w:t>as cash in short term bank deposits;</w:t>
      </w:r>
    </w:p>
    <w:p>
      <w:pPr>
        <w:spacing w:after="0" w:line="138" w:lineRule="exact"/>
        <w:rPr>
          <w:sz w:val="20"/>
          <w:szCs w:val="20"/>
          <w:color w:val="auto"/>
        </w:rPr>
      </w:pPr>
    </w:p>
    <w:p>
      <w:pPr>
        <w:jc w:val="center"/>
        <w:ind w:right="4271"/>
        <w:spacing w:after="0"/>
        <w:rPr>
          <w:sz w:val="20"/>
          <w:szCs w:val="20"/>
          <w:color w:val="auto"/>
        </w:rPr>
      </w:pPr>
      <w:r>
        <w:rPr>
          <w:rFonts w:ascii="Courier New" w:cs="Courier New" w:eastAsia="Courier New" w:hAnsi="Courier New"/>
          <w:sz w:val="11"/>
          <w:szCs w:val="11"/>
          <w:color w:val="auto"/>
        </w:rPr>
        <w:t>3.11. the Borrower shall have received written confirmations of the receipt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all requisite corporate and third party, including Israeli and</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foreign Governmental Body, approvals to the transactions contemplated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by this Agreement;</w:t>
      </w:r>
    </w:p>
    <w:p>
      <w:pPr>
        <w:spacing w:after="0" w:line="139" w:lineRule="exact"/>
        <w:rPr>
          <w:sz w:val="20"/>
          <w:szCs w:val="20"/>
          <w:color w:val="auto"/>
        </w:rPr>
      </w:pPr>
    </w:p>
    <w:p>
      <w:pPr>
        <w:ind w:left="708" w:right="4619" w:hanging="350"/>
        <w:spacing w:after="0" w:line="237" w:lineRule="auto"/>
        <w:rPr>
          <w:sz w:val="20"/>
          <w:szCs w:val="20"/>
          <w:color w:val="auto"/>
        </w:rPr>
      </w:pPr>
      <w:r>
        <w:rPr>
          <w:rFonts w:ascii="Courier New" w:cs="Courier New" w:eastAsia="Courier New" w:hAnsi="Courier New"/>
          <w:sz w:val="12"/>
          <w:szCs w:val="12"/>
          <w:color w:val="auto"/>
        </w:rPr>
        <w:t>3.12. the closing(s) under the definitive documentation between the Borrower and the Equipment Lender(s), with respect to the remaining US $15,000,000 (fifteen million United States Dollars) of Equipment Loans (as such term is defined in the Facility Agreement) and/or Equipment L/Cs (as such term is defined in the Facility Agreement) shall have occurred or shall occur simultaneously with the closing of this Agreement; provided that, the terms of such Equipment Loans (as such term is defined in the Facility Agreement) and/or Equipment L/Cs (as such term is defined in the Facility Agreement) shall be in accordance with clause 1.1.115(l) of the Facility Agreement;</w:t>
      </w:r>
    </w:p>
    <w:p>
      <w:pPr>
        <w:spacing w:after="0" w:line="144" w:lineRule="exact"/>
        <w:rPr>
          <w:sz w:val="20"/>
          <w:szCs w:val="20"/>
          <w:color w:val="auto"/>
        </w:rPr>
      </w:pPr>
    </w:p>
    <w:p>
      <w:pPr>
        <w:ind w:left="708" w:right="4759" w:hanging="350"/>
        <w:spacing w:after="0" w:line="236" w:lineRule="auto"/>
        <w:rPr>
          <w:sz w:val="20"/>
          <w:szCs w:val="20"/>
          <w:color w:val="auto"/>
        </w:rPr>
      </w:pPr>
      <w:r>
        <w:rPr>
          <w:rFonts w:ascii="Courier New" w:cs="Courier New" w:eastAsia="Courier New" w:hAnsi="Courier New"/>
          <w:sz w:val="12"/>
          <w:szCs w:val="12"/>
          <w:color w:val="auto"/>
        </w:rPr>
        <w:t>3.13. no Equipment Facility Default shall have occurred and the consummation of this Agreement shall not cause an Equipment Facility Default to occur; and</w:t>
      </w:r>
    </w:p>
    <w:p>
      <w:pPr>
        <w:spacing w:after="0" w:line="270"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- 8 -</w:t>
      </w:r>
    </w:p>
    <w:p>
      <w:pPr>
        <w:spacing w:after="0" w:line="391" w:lineRule="exact"/>
        <w:rPr>
          <w:sz w:val="20"/>
          <w:szCs w:val="20"/>
          <w:color w:val="auto"/>
        </w:rPr>
      </w:pPr>
    </w:p>
    <w:p>
      <w:pPr>
        <w:ind w:left="708" w:right="4619" w:hanging="350"/>
        <w:spacing w:after="0" w:line="236" w:lineRule="auto"/>
        <w:rPr>
          <w:sz w:val="20"/>
          <w:szCs w:val="20"/>
          <w:color w:val="auto"/>
        </w:rPr>
      </w:pPr>
      <w:r>
        <w:rPr>
          <w:rFonts w:ascii="Courier New" w:cs="Courier New" w:eastAsia="Courier New" w:hAnsi="Courier New"/>
          <w:sz w:val="12"/>
          <w:szCs w:val="12"/>
          <w:color w:val="auto"/>
        </w:rPr>
        <w:t>3.14. an officer's certificate signed by the CEO and CFO of the Borrower on behalf of the Borrower indicating that all of the provisions of this clause 3 have been complied with in their entirety.</w:t>
      </w:r>
    </w:p>
    <w:p>
      <w:pPr>
        <w:spacing w:after="0" w:line="139" w:lineRule="exact"/>
        <w:rPr>
          <w:sz w:val="20"/>
          <w:szCs w:val="20"/>
          <w:color w:val="auto"/>
        </w:rPr>
      </w:pPr>
    </w:p>
    <w:p>
      <w:pPr>
        <w:ind w:left="348" w:right="4699"/>
        <w:spacing w:after="0" w:line="237" w:lineRule="auto"/>
        <w:rPr>
          <w:sz w:val="20"/>
          <w:szCs w:val="20"/>
          <w:color w:val="auto"/>
        </w:rPr>
      </w:pPr>
      <w:r>
        <w:rPr>
          <w:rFonts w:ascii="Courier New" w:cs="Courier New" w:eastAsia="Courier New" w:hAnsi="Courier New"/>
          <w:sz w:val="12"/>
          <w:szCs w:val="12"/>
          <w:color w:val="auto"/>
        </w:rPr>
        <w:t>In the event that the conditions precedent are not fulfilled by December 31, 2007 then this Agreement shall no longer be of any force or effect and neither party shall have any claim against the other party arising out of or in connection with this Agreement. The Bank undertakes that promptly following the fulfilment to the satisfaction of the Bank of all the conditions precedent referred to in this clause 3 above, the Bank shall confirm to the Borrower in writing that the conditions precedent have been fulfilled and the Bank is prepared to close.</w:t>
      </w:r>
    </w:p>
    <w:p>
      <w:pPr>
        <w:spacing w:after="0" w:line="142" w:lineRule="exact"/>
        <w:rPr>
          <w:sz w:val="20"/>
          <w:szCs w:val="20"/>
          <w:color w:val="auto"/>
        </w:rPr>
      </w:pPr>
    </w:p>
    <w:p>
      <w:pPr>
        <w:ind w:left="348" w:right="6939" w:hanging="348"/>
        <w:spacing w:after="0" w:line="469" w:lineRule="auto"/>
        <w:tabs>
          <w:tab w:leader="none" w:pos="348" w:val="left"/>
        </w:tabs>
        <w:numPr>
          <w:ilvl w:val="0"/>
          <w:numId w:val="1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AVAILABILITY OF EQUIPMENT FACILITY CREDITS 4.1. AVAILABILITY</w:t>
      </w:r>
    </w:p>
    <w:p>
      <w:pPr>
        <w:spacing w:after="0" w:line="5"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Notwithstanding anything to the contrary in this Agreement: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4.1.1. the Bank shall not be obliged to make any Equipment Facility</w:t>
      </w:r>
    </w:p>
    <w:p>
      <w:pPr>
        <w:ind w:left="1048"/>
        <w:spacing w:after="0"/>
        <w:rPr>
          <w:sz w:val="20"/>
          <w:szCs w:val="20"/>
          <w:color w:val="auto"/>
        </w:rPr>
      </w:pPr>
      <w:r>
        <w:rPr>
          <w:rFonts w:ascii="Courier New" w:cs="Courier New" w:eastAsia="Courier New" w:hAnsi="Courier New"/>
          <w:sz w:val="12"/>
          <w:szCs w:val="12"/>
          <w:color w:val="auto"/>
        </w:rPr>
        <w:t>Credit available to the extent that doing so would cause the</w:t>
      </w:r>
    </w:p>
    <w:p>
      <w:pPr>
        <w:ind w:left="1048"/>
        <w:spacing w:after="0" w:line="237" w:lineRule="auto"/>
        <w:rPr>
          <w:sz w:val="20"/>
          <w:szCs w:val="20"/>
          <w:color w:val="auto"/>
        </w:rPr>
      </w:pPr>
      <w:r>
        <w:rPr>
          <w:rFonts w:ascii="Courier New" w:cs="Courier New" w:eastAsia="Courier New" w:hAnsi="Courier New"/>
          <w:sz w:val="12"/>
          <w:szCs w:val="12"/>
          <w:color w:val="auto"/>
        </w:rPr>
        <w:t>aggregate amount thereof to exceed the Commitment; and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4.1.2. Equipment Facility Credits shall be made during the</w:t>
      </w:r>
    </w:p>
    <w:p>
      <w:pPr>
        <w:ind w:left="1048"/>
        <w:spacing w:after="0"/>
        <w:rPr>
          <w:sz w:val="20"/>
          <w:szCs w:val="20"/>
          <w:color w:val="auto"/>
        </w:rPr>
      </w:pPr>
      <w:r>
        <w:rPr>
          <w:rFonts w:ascii="Courier New" w:cs="Courier New" w:eastAsia="Courier New" w:hAnsi="Courier New"/>
          <w:sz w:val="12"/>
          <w:szCs w:val="12"/>
          <w:color w:val="auto"/>
        </w:rPr>
        <w:t>Availability Period only and then only if all the following</w:t>
      </w:r>
    </w:p>
    <w:p>
      <w:pPr>
        <w:ind w:left="1048"/>
        <w:spacing w:after="0" w:line="237" w:lineRule="auto"/>
        <w:rPr>
          <w:sz w:val="20"/>
          <w:szCs w:val="20"/>
          <w:color w:val="auto"/>
        </w:rPr>
      </w:pPr>
      <w:r>
        <w:rPr>
          <w:rFonts w:ascii="Courier New" w:cs="Courier New" w:eastAsia="Courier New" w:hAnsi="Courier New"/>
          <w:sz w:val="12"/>
          <w:szCs w:val="12"/>
          <w:color w:val="auto"/>
        </w:rPr>
        <w:t>conditions for each specific type of Equipment Facility Credit</w:t>
      </w:r>
    </w:p>
    <w:p>
      <w:pPr>
        <w:ind w:left="1048"/>
        <w:spacing w:after="0"/>
        <w:rPr>
          <w:sz w:val="20"/>
          <w:szCs w:val="20"/>
          <w:color w:val="auto"/>
        </w:rPr>
      </w:pPr>
      <w:r>
        <w:rPr>
          <w:rFonts w:ascii="Courier New" w:cs="Courier New" w:eastAsia="Courier New" w:hAnsi="Courier New"/>
          <w:sz w:val="12"/>
          <w:szCs w:val="12"/>
          <w:color w:val="auto"/>
        </w:rPr>
        <w:t>specified hereunder in this clause 4 are fulfilled;</w:t>
      </w:r>
    </w:p>
    <w:p>
      <w:pPr>
        <w:spacing w:after="0" w:line="133"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4.1.2.1. the other Equipment Lender or Lenders providing, in</w:t>
      </w:r>
    </w:p>
    <w:p>
      <w:pPr>
        <w:spacing w:after="0" w:line="4"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accordance with clause 1.1.115(l) of the Facility Agreement,</w:t>
      </w:r>
    </w:p>
    <w:p>
      <w:pPr>
        <w:spacing w:after="0" w:line="10"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an equal amount of Equipment Loans (as such term is defined</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in the Facility Agreement) and/or Equipment L/Cs (as such</w:t>
      </w:r>
    </w:p>
    <w:p>
      <w:pPr>
        <w:ind w:left="1408"/>
        <w:spacing w:after="0"/>
        <w:rPr>
          <w:sz w:val="20"/>
          <w:szCs w:val="20"/>
          <w:color w:val="auto"/>
        </w:rPr>
      </w:pPr>
      <w:r>
        <w:rPr>
          <w:rFonts w:ascii="Courier New" w:cs="Courier New" w:eastAsia="Courier New" w:hAnsi="Courier New"/>
          <w:sz w:val="12"/>
          <w:szCs w:val="12"/>
          <w:color w:val="auto"/>
        </w:rPr>
        <w:t>term is defined in the Facility Agreement) having the same</w:t>
      </w:r>
    </w:p>
    <w:p>
      <w:pPr>
        <w:sectPr>
          <w:pgSz w:w="11900" w:h="16838" w:orient="portrait"/>
          <w:cols w:equalWidth="0" w:num="1">
            <w:col w:w="10247"/>
          </w:cols>
          <w:pgMar w:left="212" w:top="272" w:right="1440" w:bottom="0" w:gutter="0" w:footer="0" w:header="0"/>
        </w:sectPr>
      </w:pPr>
    </w:p>
    <w:bookmarkStart w:id="91" w:name="page92"/>
    <w:bookmarkEnd w:id="91"/>
    <w:p>
      <w:pPr>
        <w:ind w:left="1060"/>
        <w:spacing w:after="0"/>
        <w:rPr>
          <w:sz w:val="20"/>
          <w:szCs w:val="20"/>
          <w:color w:val="auto"/>
        </w:rPr>
      </w:pPr>
      <w:r>
        <w:rPr>
          <w:rFonts w:ascii="Courier New" w:cs="Courier New" w:eastAsia="Courier New" w:hAnsi="Courier New"/>
          <w:sz w:val="11"/>
          <w:szCs w:val="11"/>
          <w:color w:val="auto"/>
        </w:rPr>
        <w:t>purpose and the same maturity date as the Equipment Facility</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Credit proposed to be provided by the Bank;</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4.1.2.2. TIC simultaneously therewith providing, in accordance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with clause 1.1.115(l) of the Facility Agreement, Permitted</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Subordinated TIC Debt to the Borrower in an amount equal to</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aggregate amount of Equipment Loans (as such term is</w:t>
      </w:r>
    </w:p>
    <w:p>
      <w:pPr>
        <w:ind w:left="1060"/>
        <w:spacing w:after="0"/>
        <w:rPr>
          <w:sz w:val="20"/>
          <w:szCs w:val="20"/>
          <w:color w:val="auto"/>
        </w:rPr>
      </w:pPr>
      <w:r>
        <w:rPr>
          <w:rFonts w:ascii="Courier New" w:cs="Courier New" w:eastAsia="Courier New" w:hAnsi="Courier New"/>
          <w:sz w:val="12"/>
          <w:szCs w:val="12"/>
          <w:color w:val="auto"/>
        </w:rPr>
        <w:t>defined in the Facility Agreement) to be provided by the</w:t>
      </w:r>
    </w:p>
    <w:p>
      <w:pPr>
        <w:ind w:left="1060"/>
        <w:spacing w:after="0" w:line="237" w:lineRule="auto"/>
        <w:rPr>
          <w:sz w:val="20"/>
          <w:szCs w:val="20"/>
          <w:color w:val="auto"/>
        </w:rPr>
      </w:pPr>
      <w:r>
        <w:rPr>
          <w:rFonts w:ascii="Courier New" w:cs="Courier New" w:eastAsia="Courier New" w:hAnsi="Courier New"/>
          <w:sz w:val="12"/>
          <w:szCs w:val="12"/>
          <w:color w:val="auto"/>
        </w:rPr>
        <w:t>Bank and the other Equipment Lender or Lenders, such</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Permitted Subordinated TIC Debt to have the same purpose as,</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and the same or later maturity date than, such parallel</w:t>
      </w:r>
    </w:p>
    <w:p>
      <w:pPr>
        <w:ind w:left="1060"/>
        <w:spacing w:after="0"/>
        <w:rPr>
          <w:sz w:val="20"/>
          <w:szCs w:val="20"/>
          <w:color w:val="auto"/>
        </w:rPr>
      </w:pPr>
      <w:r>
        <w:rPr>
          <w:rFonts w:ascii="Courier New" w:cs="Courier New" w:eastAsia="Courier New" w:hAnsi="Courier New"/>
          <w:sz w:val="12"/>
          <w:szCs w:val="12"/>
          <w:color w:val="auto"/>
        </w:rPr>
        <w:t>Equipment Loans (as such term is defined in the Facility</w:t>
      </w:r>
    </w:p>
    <w:p>
      <w:pPr>
        <w:ind w:left="1060"/>
        <w:spacing w:after="0" w:line="237" w:lineRule="auto"/>
        <w:rPr>
          <w:sz w:val="20"/>
          <w:szCs w:val="20"/>
          <w:color w:val="auto"/>
        </w:rPr>
      </w:pPr>
      <w:r>
        <w:rPr>
          <w:rFonts w:ascii="Courier New" w:cs="Courier New" w:eastAsia="Courier New" w:hAnsi="Courier New"/>
          <w:sz w:val="12"/>
          <w:szCs w:val="12"/>
          <w:color w:val="auto"/>
        </w:rPr>
        <w:t>Agreement);</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- 9 -</w:t>
      </w:r>
    </w:p>
    <w:p>
      <w:pPr>
        <w:spacing w:after="0" w:line="38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4.1.2.3. the proposed date for the making of such Equipment</w:t>
      </w:r>
    </w:p>
    <w:p>
      <w:pPr>
        <w:ind w:left="1060"/>
        <w:spacing w:after="0"/>
        <w:rPr>
          <w:sz w:val="20"/>
          <w:szCs w:val="20"/>
          <w:color w:val="auto"/>
        </w:rPr>
      </w:pPr>
      <w:r>
        <w:rPr>
          <w:rFonts w:ascii="Courier New" w:cs="Courier New" w:eastAsia="Courier New" w:hAnsi="Courier New"/>
          <w:sz w:val="12"/>
          <w:szCs w:val="12"/>
          <w:color w:val="auto"/>
        </w:rPr>
        <w:t>Facility Credit is a Business Day which is or precedes the</w:t>
      </w:r>
    </w:p>
    <w:p>
      <w:pPr>
        <w:ind w:left="1060"/>
        <w:spacing w:after="0" w:line="237" w:lineRule="auto"/>
        <w:rPr>
          <w:sz w:val="20"/>
          <w:szCs w:val="20"/>
          <w:color w:val="auto"/>
        </w:rPr>
      </w:pPr>
      <w:r>
        <w:rPr>
          <w:rFonts w:ascii="Courier New" w:cs="Courier New" w:eastAsia="Courier New" w:hAnsi="Courier New"/>
          <w:sz w:val="12"/>
          <w:szCs w:val="12"/>
          <w:color w:val="auto"/>
        </w:rPr>
        <w:t>Termination Date;</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4.1.2.4. the Borrower shall have entered into a purchase contract</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and/or submitted a purchase order for the Ramp-Up Equipment,</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whereby upon payment therefor, the Borrower shall own the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Ramp-Up Equipment, free and clear of all Encumbrances (other</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than Permitted Encumbrances); the Borrower shall not be in</w:t>
      </w:r>
    </w:p>
    <w:p>
      <w:pPr>
        <w:ind w:left="1060"/>
        <w:spacing w:after="0"/>
        <w:rPr>
          <w:sz w:val="20"/>
          <w:szCs w:val="20"/>
          <w:color w:val="auto"/>
        </w:rPr>
      </w:pPr>
      <w:r>
        <w:rPr>
          <w:rFonts w:ascii="Courier New" w:cs="Courier New" w:eastAsia="Courier New" w:hAnsi="Courier New"/>
          <w:sz w:val="12"/>
          <w:szCs w:val="12"/>
          <w:color w:val="auto"/>
        </w:rPr>
        <w:t>default under its purchase obligations with respect to the</w:t>
      </w:r>
    </w:p>
    <w:p>
      <w:pPr>
        <w:ind w:left="1060"/>
        <w:spacing w:after="0" w:line="237" w:lineRule="auto"/>
        <w:rPr>
          <w:sz w:val="20"/>
          <w:szCs w:val="20"/>
          <w:color w:val="auto"/>
        </w:rPr>
      </w:pPr>
      <w:r>
        <w:rPr>
          <w:rFonts w:ascii="Courier New" w:cs="Courier New" w:eastAsia="Courier New" w:hAnsi="Courier New"/>
          <w:sz w:val="12"/>
          <w:szCs w:val="12"/>
          <w:color w:val="auto"/>
        </w:rPr>
        <w:t>Ramp-Up Equipment; and the Borrower shall not have</w:t>
      </w:r>
    </w:p>
    <w:p>
      <w:pPr>
        <w:ind w:left="1060"/>
        <w:spacing w:after="0"/>
        <w:rPr>
          <w:sz w:val="20"/>
          <w:szCs w:val="20"/>
          <w:color w:val="auto"/>
        </w:rPr>
      </w:pPr>
      <w:r>
        <w:rPr>
          <w:rFonts w:ascii="Courier New" w:cs="Courier New" w:eastAsia="Courier New" w:hAnsi="Courier New"/>
          <w:sz w:val="12"/>
          <w:szCs w:val="12"/>
          <w:color w:val="auto"/>
        </w:rPr>
        <w:t>voluntarily or involuntarily sold, transferred, leased or</w:t>
      </w:r>
    </w:p>
    <w:p>
      <w:pPr>
        <w:ind w:left="1060"/>
        <w:spacing w:after="0" w:line="237" w:lineRule="auto"/>
        <w:rPr>
          <w:sz w:val="20"/>
          <w:szCs w:val="20"/>
          <w:color w:val="auto"/>
        </w:rPr>
      </w:pPr>
      <w:r>
        <w:rPr>
          <w:rFonts w:ascii="Courier New" w:cs="Courier New" w:eastAsia="Courier New" w:hAnsi="Courier New"/>
          <w:sz w:val="12"/>
          <w:szCs w:val="12"/>
          <w:color w:val="auto"/>
        </w:rPr>
        <w:t>otherwise disposed of all, or any part of, or interest in,</w:t>
      </w:r>
    </w:p>
    <w:p>
      <w:pPr>
        <w:ind w:left="1060"/>
        <w:spacing w:after="0"/>
        <w:rPr>
          <w:sz w:val="20"/>
          <w:szCs w:val="20"/>
          <w:color w:val="auto"/>
        </w:rPr>
      </w:pPr>
      <w:r>
        <w:rPr>
          <w:rFonts w:ascii="Courier New" w:cs="Courier New" w:eastAsia="Courier New" w:hAnsi="Courier New"/>
          <w:sz w:val="12"/>
          <w:szCs w:val="12"/>
          <w:color w:val="auto"/>
        </w:rPr>
        <w:t>the Ramp-Up Equipment to any person;</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4.1.2.5. the Borrower shall have provided to the Bank evidence</w:t>
      </w:r>
    </w:p>
    <w:p>
      <w:pPr>
        <w:ind w:left="1060"/>
        <w:spacing w:after="0"/>
        <w:rPr>
          <w:sz w:val="20"/>
          <w:szCs w:val="20"/>
          <w:color w:val="auto"/>
        </w:rPr>
      </w:pPr>
      <w:r>
        <w:rPr>
          <w:rFonts w:ascii="Courier New" w:cs="Courier New" w:eastAsia="Courier New" w:hAnsi="Courier New"/>
          <w:sz w:val="12"/>
          <w:szCs w:val="12"/>
          <w:color w:val="auto"/>
        </w:rPr>
        <w:t>satisfactory to the Bank that the amount of Equipment</w:t>
      </w:r>
    </w:p>
    <w:p>
      <w:pPr>
        <w:ind w:left="1060"/>
        <w:spacing w:after="0" w:line="237" w:lineRule="auto"/>
        <w:rPr>
          <w:sz w:val="20"/>
          <w:szCs w:val="20"/>
          <w:color w:val="auto"/>
        </w:rPr>
      </w:pPr>
      <w:r>
        <w:rPr>
          <w:rFonts w:ascii="Courier New" w:cs="Courier New" w:eastAsia="Courier New" w:hAnsi="Courier New"/>
          <w:sz w:val="12"/>
          <w:szCs w:val="12"/>
          <w:color w:val="auto"/>
        </w:rPr>
        <w:t>Facility Credit requested is then due to be paid to the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Equipment Seller under the relevant purchase contract and/or</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purchase order;</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4.1.2.6. no Encumbrance over the Ramp-Up Equipment purchased by</w:t>
      </w:r>
    </w:p>
    <w:p>
      <w:pPr>
        <w:ind w:left="1060"/>
        <w:spacing w:after="0"/>
        <w:rPr>
          <w:sz w:val="20"/>
          <w:szCs w:val="20"/>
          <w:color w:val="auto"/>
        </w:rPr>
      </w:pPr>
      <w:r>
        <w:rPr>
          <w:rFonts w:ascii="Courier New" w:cs="Courier New" w:eastAsia="Courier New" w:hAnsi="Courier New"/>
          <w:sz w:val="12"/>
          <w:szCs w:val="12"/>
          <w:color w:val="auto"/>
        </w:rPr>
        <w:t>the Borrower as aforesaid or any part thereof shall exist</w:t>
      </w:r>
    </w:p>
    <w:p>
      <w:pPr>
        <w:ind w:left="1060"/>
        <w:spacing w:after="0" w:line="237" w:lineRule="auto"/>
        <w:rPr>
          <w:sz w:val="20"/>
          <w:szCs w:val="20"/>
          <w:color w:val="auto"/>
        </w:rPr>
      </w:pPr>
      <w:r>
        <w:rPr>
          <w:rFonts w:ascii="Courier New" w:cs="Courier New" w:eastAsia="Courier New" w:hAnsi="Courier New"/>
          <w:sz w:val="12"/>
          <w:szCs w:val="12"/>
          <w:color w:val="auto"/>
        </w:rPr>
        <w:t>(other than Permitted Encumbrances);</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4.1.2.7. no Equipment Facility Default shall have occurred and be</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continuing and no Equipment Facility Default shall occur as</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 result of the making of such Equipment Facility Credit;</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4.1.2.8. the amount of the Equipment Facility Credit requested</w:t>
      </w:r>
    </w:p>
    <w:p>
      <w:pPr>
        <w:ind w:left="1060"/>
        <w:spacing w:after="0"/>
        <w:rPr>
          <w:sz w:val="20"/>
          <w:szCs w:val="20"/>
          <w:color w:val="auto"/>
        </w:rPr>
      </w:pPr>
      <w:r>
        <w:rPr>
          <w:rFonts w:ascii="Courier New" w:cs="Courier New" w:eastAsia="Courier New" w:hAnsi="Courier New"/>
          <w:sz w:val="12"/>
          <w:szCs w:val="12"/>
          <w:color w:val="auto"/>
        </w:rPr>
        <w:t>shall not exceed the total Available Commitment as at the</w:t>
      </w:r>
    </w:p>
    <w:p>
      <w:pPr>
        <w:ind w:left="1060"/>
        <w:spacing w:after="0" w:line="237" w:lineRule="auto"/>
        <w:rPr>
          <w:sz w:val="20"/>
          <w:szCs w:val="20"/>
          <w:color w:val="auto"/>
        </w:rPr>
      </w:pPr>
      <w:r>
        <w:rPr>
          <w:rFonts w:ascii="Courier New" w:cs="Courier New" w:eastAsia="Courier New" w:hAnsi="Courier New"/>
          <w:sz w:val="12"/>
          <w:szCs w:val="12"/>
          <w:color w:val="auto"/>
        </w:rPr>
        <w:t>Drawdown Date or Issue Date, as the case may be;</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4.1.2.9. the representations and warranties given by the Borrower</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pursuant to this Agreement shall be true and accurate in all</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material respects on and as at the proposed date for the</w:t>
      </w:r>
    </w:p>
    <w:p>
      <w:pPr>
        <w:ind w:left="1060"/>
        <w:spacing w:after="0"/>
        <w:rPr>
          <w:sz w:val="20"/>
          <w:szCs w:val="20"/>
          <w:color w:val="auto"/>
        </w:rPr>
      </w:pPr>
      <w:r>
        <w:rPr>
          <w:rFonts w:ascii="Courier New" w:cs="Courier New" w:eastAsia="Courier New" w:hAnsi="Courier New"/>
          <w:sz w:val="12"/>
          <w:szCs w:val="12"/>
          <w:color w:val="auto"/>
        </w:rPr>
        <w:t>making of the Equipment Facility Credit; and</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- 10 -</w:t>
      </w:r>
    </w:p>
    <w:p>
      <w:pPr>
        <w:spacing w:after="0" w:line="38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4.1.2.10. the Available Commitment as at the Termination Date</w:t>
      </w:r>
    </w:p>
    <w:p>
      <w:pPr>
        <w:ind w:left="1060"/>
        <w:spacing w:after="0"/>
        <w:rPr>
          <w:sz w:val="20"/>
          <w:szCs w:val="20"/>
          <w:color w:val="auto"/>
        </w:rPr>
      </w:pPr>
      <w:r>
        <w:rPr>
          <w:rFonts w:ascii="Courier New" w:cs="Courier New" w:eastAsia="Courier New" w:hAnsi="Courier New"/>
          <w:sz w:val="12"/>
          <w:szCs w:val="12"/>
          <w:color w:val="auto"/>
        </w:rPr>
        <w:t>shall automatically be cancelled.</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4.2. EQUIPMENT LOANS</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Subject to the fulfilment of the conditions precedent, to compliance</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with the conditions set out in clause 4.1 above and to compliance with</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the following conditions, the Bank shall make an Equipment Loan under</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the Equipment Facility during the Availability Period only if:</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4.2.1. the Borrower shall have delivered to the Bank a Drawdown</w:t>
      </w:r>
    </w:p>
    <w:p>
      <w:pPr>
        <w:ind w:left="700"/>
        <w:spacing w:after="0"/>
        <w:rPr>
          <w:sz w:val="20"/>
          <w:szCs w:val="20"/>
          <w:color w:val="auto"/>
        </w:rPr>
      </w:pPr>
      <w:r>
        <w:rPr>
          <w:rFonts w:ascii="Courier New" w:cs="Courier New" w:eastAsia="Courier New" w:hAnsi="Courier New"/>
          <w:sz w:val="12"/>
          <w:szCs w:val="12"/>
          <w:color w:val="auto"/>
        </w:rPr>
        <w:t>Request for such Equipment Loan, specifying a date for making</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such Equipment Loan, being at least 7 (seven) Business Days after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date of delivery of such Drawdown Request. Any Drawdown</w:t>
      </w:r>
    </w:p>
    <w:p>
      <w:pPr>
        <w:ind w:left="700"/>
        <w:spacing w:after="0"/>
        <w:rPr>
          <w:sz w:val="20"/>
          <w:szCs w:val="20"/>
          <w:color w:val="auto"/>
        </w:rPr>
      </w:pPr>
      <w:r>
        <w:rPr>
          <w:rFonts w:ascii="Courier New" w:cs="Courier New" w:eastAsia="Courier New" w:hAnsi="Courier New"/>
          <w:sz w:val="12"/>
          <w:szCs w:val="12"/>
          <w:color w:val="auto"/>
        </w:rPr>
        <w:t>Request will upon delivery thereof be irrevocable;</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4.2.2. the minimum amount of each Equipment Loan shall be a minimum</w:t>
      </w:r>
    </w:p>
    <w:p>
      <w:pPr>
        <w:ind w:left="700"/>
        <w:spacing w:after="0"/>
        <w:rPr>
          <w:sz w:val="20"/>
          <w:szCs w:val="20"/>
          <w:color w:val="auto"/>
        </w:rPr>
      </w:pPr>
      <w:r>
        <w:rPr>
          <w:rFonts w:ascii="Courier New" w:cs="Courier New" w:eastAsia="Courier New" w:hAnsi="Courier New"/>
          <w:sz w:val="12"/>
          <w:szCs w:val="12"/>
          <w:color w:val="auto"/>
        </w:rPr>
        <w:t>amount of US $1,000,000 (one million United States Dollars) and</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an integral multiple of US $1,000,000 (one million United States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Dollars) (other than (i) in the case of an Equipment Loan</w:t>
      </w:r>
    </w:p>
    <w:p>
      <w:pPr>
        <w:ind w:left="700"/>
        <w:spacing w:after="0"/>
        <w:rPr>
          <w:sz w:val="20"/>
          <w:szCs w:val="20"/>
          <w:color w:val="auto"/>
        </w:rPr>
      </w:pPr>
      <w:r>
        <w:rPr>
          <w:rFonts w:ascii="Courier New" w:cs="Courier New" w:eastAsia="Courier New" w:hAnsi="Courier New"/>
          <w:sz w:val="12"/>
          <w:szCs w:val="12"/>
          <w:color w:val="auto"/>
        </w:rPr>
        <w:t>provided in connection with an Equipment L/C which shall not be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required to be in any minimum amount or in any integral multiple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or (ii) in the case of an Equipment Loan which shall be for the</w:t>
      </w:r>
    </w:p>
    <w:p>
      <w:pPr>
        <w:ind w:left="700"/>
        <w:spacing w:after="0"/>
        <w:rPr>
          <w:sz w:val="20"/>
          <w:szCs w:val="20"/>
          <w:color w:val="auto"/>
        </w:rPr>
      </w:pPr>
      <w:r>
        <w:rPr>
          <w:rFonts w:ascii="Courier New" w:cs="Courier New" w:eastAsia="Courier New" w:hAnsi="Courier New"/>
          <w:sz w:val="12"/>
          <w:szCs w:val="12"/>
          <w:color w:val="auto"/>
        </w:rPr>
        <w:t>balance of the Available Commitment);</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4.2.3. all Equipment Loans made under this Agreement shall be in US</w:t>
      </w:r>
    </w:p>
    <w:p>
      <w:pPr>
        <w:ind w:left="700"/>
        <w:spacing w:after="0"/>
        <w:rPr>
          <w:sz w:val="20"/>
          <w:szCs w:val="20"/>
          <w:color w:val="auto"/>
        </w:rPr>
      </w:pPr>
      <w:r>
        <w:rPr>
          <w:rFonts w:ascii="Courier New" w:cs="Courier New" w:eastAsia="Courier New" w:hAnsi="Courier New"/>
          <w:sz w:val="12"/>
          <w:szCs w:val="12"/>
          <w:color w:val="auto"/>
        </w:rPr>
        <w:t>Dollars; and</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4.2.4. all Equipment Loans shall be made by the Bank by credit of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amount to be loaned by the Bank to the Charged Account.</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4.3. LETTERS OF CREDIT</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4.3.1. Subject to the fulfilment of the conditions precedent, to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compliance with the conditions set out in clause 4.1 above and to</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compliance with the following conditions (and subject to the</w:t>
      </w:r>
    </w:p>
    <w:p>
      <w:pPr>
        <w:ind w:left="700"/>
        <w:spacing w:after="0"/>
        <w:rPr>
          <w:sz w:val="20"/>
          <w:szCs w:val="20"/>
          <w:color w:val="auto"/>
        </w:rPr>
      </w:pPr>
      <w:r>
        <w:rPr>
          <w:rFonts w:ascii="Courier New" w:cs="Courier New" w:eastAsia="Courier New" w:hAnsi="Courier New"/>
          <w:sz w:val="12"/>
          <w:szCs w:val="12"/>
          <w:color w:val="auto"/>
        </w:rPr>
        <w:t>conditions that the Bank shall not be required to issue any</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Equipment L/C until: (a) the terms of the Equipment L/C have been</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agreed between the Bank and the beneficiary thereof; and (b)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Bank is satisfied that the Undertaking is in full force and</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effect), the Bank shall issue Equipment L/Cs under the Equipment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Facility during the Availability Period, if:</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- 11 -</w:t>
      </w:r>
    </w:p>
    <w:p>
      <w:pPr>
        <w:spacing w:after="0" w:line="38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4.3.1.1. the Borrower shall have delivered to the Bank an L/C</w:t>
      </w:r>
    </w:p>
    <w:p>
      <w:pPr>
        <w:ind w:left="1060"/>
        <w:spacing w:after="0"/>
        <w:rPr>
          <w:sz w:val="20"/>
          <w:szCs w:val="20"/>
          <w:color w:val="auto"/>
        </w:rPr>
      </w:pPr>
      <w:r>
        <w:rPr>
          <w:rFonts w:ascii="Courier New" w:cs="Courier New" w:eastAsia="Courier New" w:hAnsi="Courier New"/>
          <w:sz w:val="12"/>
          <w:szCs w:val="12"/>
          <w:color w:val="auto"/>
        </w:rPr>
        <w:t>Application, specifying the proposed Issue Date of such</w:t>
      </w:r>
    </w:p>
    <w:p>
      <w:pPr>
        <w:ind w:left="1060"/>
        <w:spacing w:after="0" w:line="237" w:lineRule="auto"/>
        <w:rPr>
          <w:sz w:val="20"/>
          <w:szCs w:val="20"/>
          <w:color w:val="auto"/>
        </w:rPr>
      </w:pPr>
      <w:r>
        <w:rPr>
          <w:rFonts w:ascii="Courier New" w:cs="Courier New" w:eastAsia="Courier New" w:hAnsi="Courier New"/>
          <w:sz w:val="12"/>
          <w:szCs w:val="12"/>
          <w:color w:val="auto"/>
        </w:rPr>
        <w:t>Equipment L/C, being at least 5 (five) Business Days after</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the date of delivery of such L/C Application, as well as the</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name of the beneficiary of the Equipment L/C and the details</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of the transaction in respect of which the Equipment L/C is</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to be issued;</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4.3.1.2. the Equipment L/C is denominated in US Dollars;</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4.3.1.3. the L/C Application is accompanied by a copy of the</w:t>
      </w:r>
    </w:p>
    <w:p>
      <w:pPr>
        <w:ind w:left="1060"/>
        <w:spacing w:after="0"/>
        <w:rPr>
          <w:sz w:val="20"/>
          <w:szCs w:val="20"/>
          <w:color w:val="auto"/>
        </w:rPr>
      </w:pPr>
      <w:r>
        <w:rPr>
          <w:rFonts w:ascii="Courier New" w:cs="Courier New" w:eastAsia="Courier New" w:hAnsi="Courier New"/>
          <w:sz w:val="12"/>
          <w:szCs w:val="12"/>
          <w:color w:val="auto"/>
        </w:rPr>
        <w:t>terms of the proposed Equipment L/C;</w:t>
      </w:r>
    </w:p>
    <w:p>
      <w:pPr>
        <w:sectPr>
          <w:pgSz w:w="11900" w:h="16838" w:orient="portrait"/>
          <w:cols w:equalWidth="0" w:num="1">
            <w:col w:w="9899"/>
          </w:cols>
          <w:pgMar w:left="560" w:top="141" w:right="1440" w:bottom="0" w:gutter="0" w:footer="0" w:header="0"/>
        </w:sectPr>
      </w:pPr>
    </w:p>
    <w:bookmarkStart w:id="92" w:name="page93"/>
    <w:bookmarkEnd w:id="92"/>
    <w:p>
      <w:pPr>
        <w:ind w:left="340"/>
        <w:spacing w:after="0"/>
        <w:rPr>
          <w:sz w:val="20"/>
          <w:szCs w:val="20"/>
          <w:color w:val="auto"/>
        </w:rPr>
      </w:pPr>
      <w:r>
        <w:rPr>
          <w:rFonts w:ascii="Courier New" w:cs="Courier New" w:eastAsia="Courier New" w:hAnsi="Courier New"/>
          <w:sz w:val="12"/>
          <w:szCs w:val="12"/>
          <w:color w:val="auto"/>
        </w:rPr>
        <w:t>4.3.1.4. the expiry date of the Equipment L/C is a Business Day</w:t>
      </w:r>
    </w:p>
    <w:p>
      <w:pPr>
        <w:ind w:left="700"/>
        <w:spacing w:after="0"/>
        <w:rPr>
          <w:sz w:val="20"/>
          <w:szCs w:val="20"/>
          <w:color w:val="auto"/>
        </w:rPr>
      </w:pPr>
      <w:r>
        <w:rPr>
          <w:rFonts w:ascii="Courier New" w:cs="Courier New" w:eastAsia="Courier New" w:hAnsi="Courier New"/>
          <w:sz w:val="12"/>
          <w:szCs w:val="12"/>
          <w:color w:val="auto"/>
        </w:rPr>
        <w:t>falling no later than the Termination Date;</w:t>
      </w:r>
    </w:p>
    <w:p>
      <w:pPr>
        <w:spacing w:after="0" w:line="138"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4.3.1.5. there is a maximum limit to the stated liability of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Bank under the Equipment L/C;</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4.3.1.6. the Maximum Drawing Amount of such Equipment L/C, when</w:t>
      </w:r>
    </w:p>
    <w:p>
      <w:pPr>
        <w:ind w:left="700"/>
        <w:spacing w:after="0"/>
        <w:rPr>
          <w:sz w:val="20"/>
          <w:szCs w:val="20"/>
          <w:color w:val="auto"/>
        </w:rPr>
      </w:pPr>
      <w:r>
        <w:rPr>
          <w:rFonts w:ascii="Courier New" w:cs="Courier New" w:eastAsia="Courier New" w:hAnsi="Courier New"/>
          <w:sz w:val="12"/>
          <w:szCs w:val="12"/>
          <w:color w:val="auto"/>
        </w:rPr>
        <w:t>aggregated with the Maximum Drawing Amounts of all other</w:t>
      </w:r>
    </w:p>
    <w:p>
      <w:pPr>
        <w:ind w:left="700"/>
        <w:spacing w:after="0" w:line="237" w:lineRule="auto"/>
        <w:rPr>
          <w:sz w:val="20"/>
          <w:szCs w:val="20"/>
          <w:color w:val="auto"/>
        </w:rPr>
      </w:pPr>
      <w:r>
        <w:rPr>
          <w:rFonts w:ascii="Courier New" w:cs="Courier New" w:eastAsia="Courier New" w:hAnsi="Courier New"/>
          <w:sz w:val="12"/>
          <w:szCs w:val="12"/>
          <w:color w:val="auto"/>
        </w:rPr>
        <w:t>Equipment L/Cs outstanding or to be issued on such Issue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Date and the amount of Equipment Loans outstanding or to be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drawn down pursuant to a pending Drawdown Request, shall not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exceed US $15,000,000 (fifteen million United States</w:t>
      </w:r>
    </w:p>
    <w:p>
      <w:pPr>
        <w:ind w:left="700"/>
        <w:spacing w:after="0"/>
        <w:rPr>
          <w:sz w:val="20"/>
          <w:szCs w:val="20"/>
          <w:color w:val="auto"/>
        </w:rPr>
      </w:pPr>
      <w:r>
        <w:rPr>
          <w:rFonts w:ascii="Courier New" w:cs="Courier New" w:eastAsia="Courier New" w:hAnsi="Courier New"/>
          <w:sz w:val="12"/>
          <w:szCs w:val="12"/>
          <w:color w:val="auto"/>
        </w:rPr>
        <w:t>Dollars);</w:t>
      </w:r>
    </w:p>
    <w:p>
      <w:pPr>
        <w:spacing w:after="0" w:line="138"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4.3.1.7 the Borrower shall have delivered to the Bank, at least 2</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(two) Business Days prior to the proposed issuance date of</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proposed Equipment L/C, a confirmation from TIC that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provisions of paragraph 2 of the Undertaking are fully</w:t>
      </w:r>
    </w:p>
    <w:p>
      <w:pPr>
        <w:ind w:left="700"/>
        <w:spacing w:after="0"/>
        <w:rPr>
          <w:sz w:val="20"/>
          <w:szCs w:val="20"/>
          <w:color w:val="auto"/>
        </w:rPr>
      </w:pPr>
      <w:r>
        <w:rPr>
          <w:rFonts w:ascii="Courier New" w:cs="Courier New" w:eastAsia="Courier New" w:hAnsi="Courier New"/>
          <w:sz w:val="12"/>
          <w:szCs w:val="12"/>
          <w:color w:val="auto"/>
        </w:rPr>
        <w:t>applicable to the Equipment L/C covered by such L/C</w:t>
      </w:r>
    </w:p>
    <w:p>
      <w:pPr>
        <w:ind w:left="700"/>
        <w:spacing w:after="0" w:line="237" w:lineRule="auto"/>
        <w:rPr>
          <w:sz w:val="20"/>
          <w:szCs w:val="20"/>
          <w:color w:val="auto"/>
        </w:rPr>
      </w:pPr>
      <w:r>
        <w:rPr>
          <w:rFonts w:ascii="Courier New" w:cs="Courier New" w:eastAsia="Courier New" w:hAnsi="Courier New"/>
          <w:sz w:val="12"/>
          <w:szCs w:val="12"/>
          <w:color w:val="auto"/>
        </w:rPr>
        <w:t>Application.</w:t>
      </w:r>
    </w:p>
    <w:p>
      <w:pPr>
        <w:spacing w:after="0" w:line="139" w:lineRule="exact"/>
        <w:rPr>
          <w:sz w:val="20"/>
          <w:szCs w:val="20"/>
          <w:color w:val="auto"/>
        </w:rPr>
      </w:pPr>
    </w:p>
    <w:p>
      <w:pPr>
        <w:jc w:val="both"/>
        <w:ind w:left="340" w:right="4759" w:hanging="350"/>
        <w:spacing w:after="0" w:line="236" w:lineRule="auto"/>
        <w:rPr>
          <w:sz w:val="20"/>
          <w:szCs w:val="20"/>
          <w:color w:val="auto"/>
        </w:rPr>
      </w:pPr>
      <w:r>
        <w:rPr>
          <w:rFonts w:ascii="Courier New" w:cs="Courier New" w:eastAsia="Courier New" w:hAnsi="Courier New"/>
          <w:sz w:val="12"/>
          <w:szCs w:val="12"/>
          <w:color w:val="auto"/>
        </w:rPr>
        <w:t>4.3.2. The Borrower shall pay to the Bank a commission in respect of an Equipment L/C equal to the following percentage per annum of the Maximum Drawing Amount of such Equipment L/C:</w:t>
      </w:r>
    </w:p>
    <w:p>
      <w:pPr>
        <w:spacing w:after="0" w:line="135"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4.3.2.1. 0.75% (nought point seven five percent) per annum; or</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4.3.2.2. in certain special cases, if so determined by the Bank,</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1% (one percent) per annum; or</w:t>
      </w:r>
    </w:p>
    <w:p>
      <w:pPr>
        <w:spacing w:after="0" w:line="269"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- 12 -</w:t>
      </w:r>
    </w:p>
    <w:p>
      <w:pPr>
        <w:spacing w:after="0" w:line="38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4.3.2.3. in the case where an advising, nominated or confirming</w:t>
      </w:r>
    </w:p>
    <w:p>
      <w:pPr>
        <w:ind w:left="700"/>
        <w:spacing w:after="0"/>
        <w:rPr>
          <w:sz w:val="20"/>
          <w:szCs w:val="20"/>
          <w:color w:val="auto"/>
        </w:rPr>
      </w:pPr>
      <w:r>
        <w:rPr>
          <w:rFonts w:ascii="Courier New" w:cs="Courier New" w:eastAsia="Courier New" w:hAnsi="Courier New"/>
          <w:sz w:val="12"/>
          <w:szCs w:val="12"/>
          <w:color w:val="auto"/>
        </w:rPr>
        <w:t>bank is required, the fees of such advising, nominated or</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confirming bank, in addition to the commissions set forth in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clauses 4.3.2.1 or 4.3.2.2 above, as the case may be; or</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4.3.2.4. in the event that the Borrower shall have placed funds</w:t>
      </w:r>
    </w:p>
    <w:p>
      <w:pPr>
        <w:ind w:left="700"/>
        <w:spacing w:after="0"/>
        <w:rPr>
          <w:sz w:val="20"/>
          <w:szCs w:val="20"/>
          <w:color w:val="auto"/>
        </w:rPr>
      </w:pPr>
      <w:r>
        <w:rPr>
          <w:rFonts w:ascii="Courier New" w:cs="Courier New" w:eastAsia="Courier New" w:hAnsi="Courier New"/>
          <w:sz w:val="12"/>
          <w:szCs w:val="12"/>
          <w:color w:val="auto"/>
        </w:rPr>
        <w:t>on deposit in the Charged Account at the Bank in an amount</w:t>
      </w:r>
    </w:p>
    <w:p>
      <w:pPr>
        <w:ind w:left="700"/>
        <w:spacing w:after="0" w:line="237" w:lineRule="auto"/>
        <w:rPr>
          <w:sz w:val="20"/>
          <w:szCs w:val="20"/>
          <w:color w:val="auto"/>
        </w:rPr>
      </w:pPr>
      <w:r>
        <w:rPr>
          <w:rFonts w:ascii="Courier New" w:cs="Courier New" w:eastAsia="Courier New" w:hAnsi="Courier New"/>
          <w:sz w:val="12"/>
          <w:szCs w:val="12"/>
          <w:color w:val="auto"/>
        </w:rPr>
        <w:t>equal at least to the Maximum Drawing Amount of the</w:t>
      </w:r>
    </w:p>
    <w:p>
      <w:pPr>
        <w:ind w:left="700"/>
        <w:spacing w:after="0"/>
        <w:rPr>
          <w:sz w:val="20"/>
          <w:szCs w:val="20"/>
          <w:color w:val="auto"/>
        </w:rPr>
      </w:pPr>
      <w:r>
        <w:rPr>
          <w:rFonts w:ascii="Courier New" w:cs="Courier New" w:eastAsia="Courier New" w:hAnsi="Courier New"/>
          <w:sz w:val="12"/>
          <w:szCs w:val="12"/>
          <w:color w:val="auto"/>
        </w:rPr>
        <w:t>Equipment L/C, which deposit is duly pledged in favour of</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Bank (or if all of the Equipment Lenders are the Banks,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favour of the Banks) by a first-ranking fixed charge in</w:t>
      </w:r>
    </w:p>
    <w:p>
      <w:pPr>
        <w:ind w:left="700"/>
        <w:spacing w:after="0"/>
        <w:rPr>
          <w:sz w:val="20"/>
          <w:szCs w:val="20"/>
          <w:color w:val="auto"/>
        </w:rPr>
      </w:pPr>
      <w:r>
        <w:rPr>
          <w:rFonts w:ascii="Courier New" w:cs="Courier New" w:eastAsia="Courier New" w:hAnsi="Courier New"/>
          <w:sz w:val="12"/>
          <w:szCs w:val="12"/>
          <w:color w:val="auto"/>
        </w:rPr>
        <w:t>form and manner acceptable to the Bank as security for the</w:t>
      </w:r>
    </w:p>
    <w:p>
      <w:pPr>
        <w:ind w:left="700"/>
        <w:spacing w:after="0" w:line="237" w:lineRule="auto"/>
        <w:rPr>
          <w:sz w:val="20"/>
          <w:szCs w:val="20"/>
          <w:color w:val="auto"/>
        </w:rPr>
      </w:pPr>
      <w:r>
        <w:rPr>
          <w:rFonts w:ascii="Courier New" w:cs="Courier New" w:eastAsia="Courier New" w:hAnsi="Courier New"/>
          <w:sz w:val="12"/>
          <w:szCs w:val="12"/>
          <w:color w:val="auto"/>
        </w:rPr>
        <w:t>Borrower's obligations to the Bank under the Finance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Documents, including this Agreement, 0.25% (nought point two</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five percent) per annum, provided that if prior to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expiry date of such Equipment L/C, any part of the amount on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deposit pledged as aforesaid is, with the consent of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Bank, released such that the amount on deposit is not equal</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to the Maximum Drawing Amount with respect to such Equipment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L/C, the commission payable in respect of such Equipment</w:t>
      </w:r>
    </w:p>
    <w:p>
      <w:pPr>
        <w:ind w:left="700"/>
        <w:spacing w:after="0"/>
        <w:rPr>
          <w:sz w:val="20"/>
          <w:szCs w:val="20"/>
          <w:color w:val="auto"/>
        </w:rPr>
      </w:pPr>
      <w:r>
        <w:rPr>
          <w:rFonts w:ascii="Courier New" w:cs="Courier New" w:eastAsia="Courier New" w:hAnsi="Courier New"/>
          <w:sz w:val="12"/>
          <w:szCs w:val="12"/>
          <w:color w:val="auto"/>
        </w:rPr>
        <w:t>L/C, as aforesaid, shall be such percentage per annum as</w:t>
      </w:r>
    </w:p>
    <w:p>
      <w:pPr>
        <w:ind w:left="700"/>
        <w:spacing w:after="0" w:line="237" w:lineRule="auto"/>
        <w:rPr>
          <w:sz w:val="20"/>
          <w:szCs w:val="20"/>
          <w:color w:val="auto"/>
        </w:rPr>
      </w:pPr>
      <w:r>
        <w:rPr>
          <w:rFonts w:ascii="Courier New" w:cs="Courier New" w:eastAsia="Courier New" w:hAnsi="Courier New"/>
          <w:sz w:val="12"/>
          <w:szCs w:val="12"/>
          <w:color w:val="auto"/>
        </w:rPr>
        <w:t>determined pursuant to clauses 4.3.2.1 and 4.3.2.2 above.</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Commissions as aforesaid shall be paid in advance on the Issue</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Date for such Equipment L/C on the Maximum Drawing Amount of such</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Equipment L/C.</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4.3.3. Each L/C Application shall be effective on actual receipt by</w:t>
      </w:r>
    </w:p>
    <w:p>
      <w:pPr>
        <w:ind w:left="340"/>
        <w:spacing w:after="0"/>
        <w:rPr>
          <w:sz w:val="20"/>
          <w:szCs w:val="20"/>
          <w:color w:val="auto"/>
        </w:rPr>
      </w:pPr>
      <w:r>
        <w:rPr>
          <w:rFonts w:ascii="Courier New" w:cs="Courier New" w:eastAsia="Courier New" w:hAnsi="Courier New"/>
          <w:sz w:val="12"/>
          <w:szCs w:val="12"/>
          <w:color w:val="auto"/>
        </w:rPr>
        <w:t>the Bank and once given shall be irrevocable.</w:t>
      </w:r>
    </w:p>
    <w:p>
      <w:pPr>
        <w:spacing w:after="0" w:line="138" w:lineRule="exact"/>
        <w:rPr>
          <w:sz w:val="20"/>
          <w:szCs w:val="20"/>
          <w:color w:val="auto"/>
        </w:rPr>
      </w:pPr>
    </w:p>
    <w:p>
      <w:pPr>
        <w:ind w:left="340" w:right="4619" w:hanging="350"/>
        <w:spacing w:after="0" w:line="237" w:lineRule="auto"/>
        <w:rPr>
          <w:sz w:val="20"/>
          <w:szCs w:val="20"/>
          <w:color w:val="auto"/>
        </w:rPr>
      </w:pPr>
      <w:r>
        <w:rPr>
          <w:rFonts w:ascii="Courier New" w:cs="Courier New" w:eastAsia="Courier New" w:hAnsi="Courier New"/>
          <w:sz w:val="12"/>
          <w:szCs w:val="12"/>
          <w:color w:val="auto"/>
        </w:rPr>
        <w:t>4.3.4. The terms of the Equipment L/C must contain a clear procedure for the making of claims under such Equipment L/C satisfactory to the Bank which shall include a requirement that the beneficiary gives at least 10 (ten) Business Days' notice of payment (together with all documents required to accompany such notice, in full compliance with the terms of such Equipment L/C) under the relevant Equipment L/C.</w:t>
      </w:r>
    </w:p>
    <w:p>
      <w:pPr>
        <w:spacing w:after="0" w:line="141" w:lineRule="exact"/>
        <w:rPr>
          <w:sz w:val="20"/>
          <w:szCs w:val="20"/>
          <w:color w:val="auto"/>
        </w:rPr>
      </w:pPr>
    </w:p>
    <w:p>
      <w:pPr>
        <w:ind w:left="340" w:right="4699" w:hanging="350"/>
        <w:spacing w:after="0" w:line="266" w:lineRule="auto"/>
        <w:rPr>
          <w:sz w:val="20"/>
          <w:szCs w:val="20"/>
          <w:color w:val="auto"/>
        </w:rPr>
      </w:pPr>
      <w:r>
        <w:rPr>
          <w:rFonts w:ascii="Courier New" w:cs="Courier New" w:eastAsia="Courier New" w:hAnsi="Courier New"/>
          <w:sz w:val="11"/>
          <w:szCs w:val="11"/>
          <w:color w:val="auto"/>
        </w:rPr>
        <w:t>4.3.5. For the removal of doubt, subject only to the terms of this Agreement, each Equipment L/C shall be governed by the terms and conditions customary at the Bank with respect to such an L/C.</w:t>
      </w:r>
    </w:p>
    <w:p>
      <w:pPr>
        <w:spacing w:after="0" w:line="257"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- 13 -</w:t>
      </w:r>
    </w:p>
    <w:p>
      <w:pPr>
        <w:spacing w:after="0" w:line="391" w:lineRule="exact"/>
        <w:rPr>
          <w:sz w:val="20"/>
          <w:szCs w:val="20"/>
          <w:color w:val="auto"/>
        </w:rPr>
      </w:pPr>
    </w:p>
    <w:p>
      <w:pPr>
        <w:ind w:left="340" w:right="4619" w:hanging="350"/>
        <w:spacing w:after="0" w:line="262" w:lineRule="auto"/>
        <w:rPr>
          <w:sz w:val="20"/>
          <w:szCs w:val="20"/>
          <w:color w:val="auto"/>
        </w:rPr>
      </w:pPr>
      <w:r>
        <w:rPr>
          <w:rFonts w:ascii="Courier New" w:cs="Courier New" w:eastAsia="Courier New" w:hAnsi="Courier New"/>
          <w:sz w:val="11"/>
          <w:szCs w:val="11"/>
          <w:color w:val="auto"/>
        </w:rPr>
        <w:t>4.3.6. The Bank shall, promptly after being notified by a beneficiary under an Equipment L/C that the Bank is required to make payment under such Equipment L/C (together with all documents required to accompany such requirement in full compliance with the terms of such Equipment L/C), notify the Borrower and TIC that such payment is due, of the amount demanded and of the date for payment thereof ("THE SETTLEMENT DATE").</w:t>
      </w:r>
    </w:p>
    <w:p>
      <w:pPr>
        <w:spacing w:after="0" w:line="12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On receipt of a notice from the Bank under this clause 4.3.6, the</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Borrower shall either:</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4.3.6.1. subject to the terms and conditions of this Agreement:</w:t>
      </w:r>
    </w:p>
    <w:p>
      <w:pPr>
        <w:spacing w:after="0" w:line="4" w:lineRule="exact"/>
        <w:rPr>
          <w:sz w:val="20"/>
          <w:szCs w:val="20"/>
          <w:color w:val="auto"/>
        </w:rPr>
      </w:pPr>
    </w:p>
    <w:p>
      <w:pPr>
        <w:ind w:left="700" w:right="4619" w:hanging="3"/>
        <w:spacing w:after="0" w:line="260" w:lineRule="auto"/>
        <w:tabs>
          <w:tab w:leader="none" w:pos="981" w:val="left"/>
        </w:tabs>
        <w:numPr>
          <w:ilvl w:val="0"/>
          <w:numId w:val="131"/>
        </w:numPr>
        <w:rPr>
          <w:rFonts w:ascii="Courier New" w:cs="Courier New" w:eastAsia="Courier New" w:hAnsi="Courier New"/>
          <w:sz w:val="11"/>
          <w:szCs w:val="11"/>
          <w:color w:val="auto"/>
        </w:rPr>
      </w:pPr>
      <w:r>
        <w:rPr>
          <w:rFonts w:ascii="Courier New" w:cs="Courier New" w:eastAsia="Courier New" w:hAnsi="Courier New"/>
          <w:sz w:val="11"/>
          <w:szCs w:val="11"/>
          <w:color w:val="auto"/>
        </w:rPr>
        <w:t>incur Permitted Subordinated TIC Debt in an amount equal to half of the relevant amount demanded through TIC's direct payment to said beneficiary, on the date such amount is to be paid by the Bank to said beneficiary under said Equipment L/C, of one-half of the payment to be made to the beneficiary of such Equipment L/C (or immediately, but no later than the second Business Day after the making of such payment, TIC's reimbursement of the Bank for one-half of the payment to such beneficiary made by the Bank); and (b) convert one-half of the relevant amount demanded into an Equipment Loan. Each Equipment Loan and Permitted Subordinated TIC Debt shall be denominated in US Dollars and shall be in an aggregate amount (in US Dollars) equal to the amount to be paid by the Bank on the Settlement Date. The Borrower shall deliver to the Bank, by no later than the close of business on the first Business Day following the date of receipt of such notice ("THE CONVERSION DATE"), a notice informing the Bank that this clause 4.3.6.1 shall apply and in accordance therewith one-half of the relevant amount demanded shall be converted into an Equipment Loan as aforesaid on the Settlement Date. For the avoidance of doubt, nothing in the aforegoing shall derogate from the condition set out in clause 4.1.2.2 above; or</w:t>
      </w:r>
    </w:p>
    <w:p>
      <w:pPr>
        <w:spacing w:after="0" w:line="273"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4.3.6.2. pay to the Bank, by no later than the close of business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on the Conversion Date, the full relevant amount demanded</w:t>
      </w:r>
    </w:p>
    <w:p>
      <w:pPr>
        <w:ind w:left="700"/>
        <w:spacing w:after="0"/>
        <w:rPr>
          <w:sz w:val="20"/>
          <w:szCs w:val="20"/>
          <w:color w:val="auto"/>
        </w:rPr>
      </w:pPr>
      <w:r>
        <w:rPr>
          <w:rFonts w:ascii="Courier New" w:cs="Courier New" w:eastAsia="Courier New" w:hAnsi="Courier New"/>
          <w:sz w:val="12"/>
          <w:szCs w:val="12"/>
          <w:color w:val="auto"/>
        </w:rPr>
        <w:t>under the Equipment L/C.</w:t>
      </w:r>
    </w:p>
    <w:p>
      <w:pPr>
        <w:sectPr>
          <w:pgSz w:w="11900" w:h="16838" w:orient="portrait"/>
          <w:cols w:equalWidth="0" w:num="1">
            <w:col w:w="9539"/>
          </w:cols>
          <w:pgMar w:left="920" w:top="137" w:right="1440" w:bottom="0" w:gutter="0" w:footer="0" w:header="0"/>
        </w:sectPr>
      </w:pPr>
    </w:p>
    <w:bookmarkStart w:id="93" w:name="page94"/>
    <w:bookmarkEnd w:id="93"/>
    <w:p>
      <w:pPr>
        <w:spacing w:after="0" w:line="57"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- 14 -</w:t>
      </w:r>
    </w:p>
    <w:p>
      <w:pPr>
        <w:spacing w:after="0" w:line="38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 the event that clause 4.3.6.1 above shall be applicable, the</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Bank shall settle the amount demanded on the Settlement Date and</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the Borrower shall be deemed to have received on the Settlement</w:t>
      </w:r>
    </w:p>
    <w:p>
      <w:pPr>
        <w:ind w:left="340"/>
        <w:spacing w:after="0"/>
        <w:rPr>
          <w:sz w:val="20"/>
          <w:szCs w:val="20"/>
          <w:color w:val="auto"/>
        </w:rPr>
      </w:pPr>
      <w:r>
        <w:rPr>
          <w:rFonts w:ascii="Courier New" w:cs="Courier New" w:eastAsia="Courier New" w:hAnsi="Courier New"/>
          <w:sz w:val="12"/>
          <w:szCs w:val="12"/>
          <w:color w:val="auto"/>
        </w:rPr>
        <w:t>Date an Equipment Loan from the Bank in an amount as determined</w:t>
      </w:r>
    </w:p>
    <w:p>
      <w:pPr>
        <w:ind w:left="340"/>
        <w:spacing w:after="0" w:line="237" w:lineRule="auto"/>
        <w:rPr>
          <w:sz w:val="20"/>
          <w:szCs w:val="20"/>
          <w:color w:val="auto"/>
        </w:rPr>
      </w:pPr>
      <w:r>
        <w:rPr>
          <w:rFonts w:ascii="Courier New" w:cs="Courier New" w:eastAsia="Courier New" w:hAnsi="Courier New"/>
          <w:sz w:val="12"/>
          <w:szCs w:val="12"/>
          <w:color w:val="auto"/>
        </w:rPr>
        <w:t>in accordance with clause 4.3.6.1 above.</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 the event that clause 4.3.6.2 above shall be applicable, but</w:t>
      </w:r>
    </w:p>
    <w:p>
      <w:pPr>
        <w:ind w:left="340"/>
        <w:spacing w:after="0"/>
        <w:rPr>
          <w:sz w:val="20"/>
          <w:szCs w:val="20"/>
          <w:color w:val="auto"/>
        </w:rPr>
      </w:pPr>
      <w:r>
        <w:rPr>
          <w:rFonts w:ascii="Courier New" w:cs="Courier New" w:eastAsia="Courier New" w:hAnsi="Courier New"/>
          <w:sz w:val="12"/>
          <w:szCs w:val="12"/>
          <w:color w:val="auto"/>
        </w:rPr>
        <w:t>the Borrower shall fail to pay on the Conversion Date the full</w:t>
      </w:r>
    </w:p>
    <w:p>
      <w:pPr>
        <w:ind w:left="340"/>
        <w:spacing w:after="0" w:line="237" w:lineRule="auto"/>
        <w:rPr>
          <w:sz w:val="20"/>
          <w:szCs w:val="20"/>
          <w:color w:val="auto"/>
        </w:rPr>
      </w:pPr>
      <w:r>
        <w:rPr>
          <w:rFonts w:ascii="Courier New" w:cs="Courier New" w:eastAsia="Courier New" w:hAnsi="Courier New"/>
          <w:sz w:val="12"/>
          <w:szCs w:val="12"/>
          <w:color w:val="auto"/>
        </w:rPr>
        <w:t>relevant amount demanded on the Equipment L/C, the Bank shall</w:t>
      </w:r>
    </w:p>
    <w:p>
      <w:pPr>
        <w:ind w:left="340"/>
        <w:spacing w:after="0"/>
        <w:rPr>
          <w:sz w:val="20"/>
          <w:szCs w:val="20"/>
          <w:color w:val="auto"/>
        </w:rPr>
      </w:pPr>
      <w:r>
        <w:rPr>
          <w:rFonts w:ascii="Courier New" w:cs="Courier New" w:eastAsia="Courier New" w:hAnsi="Courier New"/>
          <w:sz w:val="12"/>
          <w:szCs w:val="12"/>
          <w:color w:val="auto"/>
        </w:rPr>
        <w:t>have the option to require TIC, pursuant to, and in accordance</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with, the Undertaking, to pay to the Bank one-half of the amount</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payable thereunder by the Borrower and the Borrower shall be</w:t>
      </w:r>
    </w:p>
    <w:p>
      <w:pPr>
        <w:spacing w:after="0" w:line="4"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deemed to have received on the Conversion Date an Equipment Loan</w:t>
      </w:r>
    </w:p>
    <w:p>
      <w:pPr>
        <w:spacing w:after="0" w:line="10"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from the Bank in the remaining amount payable pursuant to clause</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4.3.6.2 above and not paid either by TIC or the Borrower.</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4.3.7. The Borrower unconditionally and irrevocably:</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4.3.7.1. authorises and directs the Bank to pay any demand under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in accordance with an Equipment L/C (which the Bank</w:t>
      </w:r>
    </w:p>
    <w:p>
      <w:pPr>
        <w:ind w:left="700"/>
        <w:spacing w:after="0"/>
        <w:rPr>
          <w:sz w:val="20"/>
          <w:szCs w:val="20"/>
          <w:color w:val="auto"/>
        </w:rPr>
      </w:pPr>
      <w:r>
        <w:rPr>
          <w:rFonts w:ascii="Courier New" w:cs="Courier New" w:eastAsia="Courier New" w:hAnsi="Courier New"/>
          <w:sz w:val="12"/>
          <w:szCs w:val="12"/>
          <w:color w:val="auto"/>
        </w:rPr>
        <w:t>believes, in its sole discretion, to be valid) without</w:t>
      </w:r>
    </w:p>
    <w:p>
      <w:pPr>
        <w:ind w:left="700"/>
        <w:spacing w:after="0" w:line="237" w:lineRule="auto"/>
        <w:rPr>
          <w:sz w:val="20"/>
          <w:szCs w:val="20"/>
          <w:color w:val="auto"/>
        </w:rPr>
      </w:pPr>
      <w:r>
        <w:rPr>
          <w:rFonts w:ascii="Courier New" w:cs="Courier New" w:eastAsia="Courier New" w:hAnsi="Courier New"/>
          <w:sz w:val="12"/>
          <w:szCs w:val="12"/>
          <w:color w:val="auto"/>
        </w:rPr>
        <w:t>requiring proof of the agreement of the Borrower that the</w:t>
      </w:r>
    </w:p>
    <w:p>
      <w:pPr>
        <w:ind w:left="700"/>
        <w:spacing w:after="0"/>
        <w:rPr>
          <w:sz w:val="20"/>
          <w:szCs w:val="20"/>
          <w:color w:val="auto"/>
        </w:rPr>
      </w:pPr>
      <w:r>
        <w:rPr>
          <w:rFonts w:ascii="Courier New" w:cs="Courier New" w:eastAsia="Courier New" w:hAnsi="Courier New"/>
          <w:sz w:val="12"/>
          <w:szCs w:val="12"/>
          <w:color w:val="auto"/>
        </w:rPr>
        <w:t>amounts so demanded or paid are or were due and</w:t>
      </w:r>
    </w:p>
    <w:p>
      <w:pPr>
        <w:ind w:left="700"/>
        <w:spacing w:after="0" w:line="237" w:lineRule="auto"/>
        <w:rPr>
          <w:sz w:val="20"/>
          <w:szCs w:val="20"/>
          <w:color w:val="auto"/>
        </w:rPr>
      </w:pPr>
      <w:r>
        <w:rPr>
          <w:rFonts w:ascii="Courier New" w:cs="Courier New" w:eastAsia="Courier New" w:hAnsi="Courier New"/>
          <w:sz w:val="12"/>
          <w:szCs w:val="12"/>
          <w:color w:val="auto"/>
        </w:rPr>
        <w:t>notwithstanding that the Borrower may dispute the validity</w:t>
      </w:r>
    </w:p>
    <w:p>
      <w:pPr>
        <w:ind w:left="700"/>
        <w:spacing w:after="0"/>
        <w:rPr>
          <w:sz w:val="20"/>
          <w:szCs w:val="20"/>
          <w:color w:val="auto"/>
        </w:rPr>
      </w:pPr>
      <w:r>
        <w:rPr>
          <w:rFonts w:ascii="Courier New" w:cs="Courier New" w:eastAsia="Courier New" w:hAnsi="Courier New"/>
          <w:sz w:val="12"/>
          <w:szCs w:val="12"/>
          <w:color w:val="auto"/>
        </w:rPr>
        <w:t>of any such request, demand or payment;</w:t>
      </w:r>
    </w:p>
    <w:p>
      <w:pPr>
        <w:spacing w:after="0" w:line="138"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4.3.7.2. confirms that the Bank deals in documents only and shall</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not be concerned with the legality of the claim or any other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underlying transaction or any set-off, counterclaim or</w:t>
      </w:r>
    </w:p>
    <w:p>
      <w:pPr>
        <w:ind w:left="700"/>
        <w:spacing w:after="0"/>
        <w:rPr>
          <w:sz w:val="20"/>
          <w:szCs w:val="20"/>
          <w:color w:val="auto"/>
        </w:rPr>
      </w:pPr>
      <w:r>
        <w:rPr>
          <w:rFonts w:ascii="Courier New" w:cs="Courier New" w:eastAsia="Courier New" w:hAnsi="Courier New"/>
          <w:sz w:val="12"/>
          <w:szCs w:val="12"/>
          <w:color w:val="auto"/>
        </w:rPr>
        <w:t>defence as between the Borrower and any beneficiary of an</w:t>
      </w:r>
    </w:p>
    <w:p>
      <w:pPr>
        <w:ind w:left="700"/>
        <w:spacing w:after="0" w:line="237" w:lineRule="auto"/>
        <w:rPr>
          <w:sz w:val="20"/>
          <w:szCs w:val="20"/>
          <w:color w:val="auto"/>
        </w:rPr>
      </w:pPr>
      <w:r>
        <w:rPr>
          <w:rFonts w:ascii="Courier New" w:cs="Courier New" w:eastAsia="Courier New" w:hAnsi="Courier New"/>
          <w:sz w:val="12"/>
          <w:szCs w:val="12"/>
          <w:color w:val="auto"/>
        </w:rPr>
        <w:t>Equipment L/C;</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4.3.7.3. agrees that, subject to the last sentence of this clause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4.3.7, the Bank need not have regard to the sufficiency,</w:t>
      </w:r>
    </w:p>
    <w:p>
      <w:pPr>
        <w:ind w:left="700"/>
        <w:spacing w:after="0"/>
        <w:rPr>
          <w:sz w:val="20"/>
          <w:szCs w:val="20"/>
          <w:color w:val="auto"/>
        </w:rPr>
      </w:pPr>
      <w:r>
        <w:rPr>
          <w:rFonts w:ascii="Courier New" w:cs="Courier New" w:eastAsia="Courier New" w:hAnsi="Courier New"/>
          <w:sz w:val="12"/>
          <w:szCs w:val="12"/>
          <w:color w:val="auto"/>
        </w:rPr>
        <w:t>accuracy or genuineness of any such demand or any</w:t>
      </w:r>
    </w:p>
    <w:p>
      <w:pPr>
        <w:ind w:left="700"/>
        <w:spacing w:after="0" w:line="237" w:lineRule="auto"/>
        <w:rPr>
          <w:sz w:val="20"/>
          <w:szCs w:val="20"/>
          <w:color w:val="auto"/>
        </w:rPr>
      </w:pPr>
      <w:r>
        <w:rPr>
          <w:rFonts w:ascii="Courier New" w:cs="Courier New" w:eastAsia="Courier New" w:hAnsi="Courier New"/>
          <w:sz w:val="12"/>
          <w:szCs w:val="12"/>
          <w:color w:val="auto"/>
        </w:rPr>
        <w:t>certificate or statement in connection therewith or any</w:t>
      </w:r>
    </w:p>
    <w:p>
      <w:pPr>
        <w:ind w:left="700"/>
        <w:spacing w:after="0"/>
        <w:rPr>
          <w:sz w:val="20"/>
          <w:szCs w:val="20"/>
          <w:color w:val="auto"/>
        </w:rPr>
      </w:pPr>
      <w:r>
        <w:rPr>
          <w:rFonts w:ascii="Courier New" w:cs="Courier New" w:eastAsia="Courier New" w:hAnsi="Courier New"/>
          <w:sz w:val="12"/>
          <w:szCs w:val="12"/>
          <w:color w:val="auto"/>
        </w:rPr>
        <w:t>incapacity of or limitation upon the powers of any person</w:t>
      </w:r>
    </w:p>
    <w:p>
      <w:pPr>
        <w:ind w:left="700"/>
        <w:spacing w:after="0" w:line="237" w:lineRule="auto"/>
        <w:rPr>
          <w:sz w:val="20"/>
          <w:szCs w:val="20"/>
          <w:color w:val="auto"/>
        </w:rPr>
      </w:pPr>
      <w:r>
        <w:rPr>
          <w:rFonts w:ascii="Courier New" w:cs="Courier New" w:eastAsia="Courier New" w:hAnsi="Courier New"/>
          <w:sz w:val="12"/>
          <w:szCs w:val="12"/>
          <w:color w:val="auto"/>
        </w:rPr>
        <w:t>signing or issuing such demand, certificate or statement</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which appears on its face to be in order and agrees that the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Bank shall not be obliged to enquire as to any such matters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may assume, unless notified to the contrary, that any</w:t>
      </w:r>
    </w:p>
    <w:p>
      <w:pPr>
        <w:ind w:left="700"/>
        <w:spacing w:after="0"/>
        <w:rPr>
          <w:sz w:val="20"/>
          <w:szCs w:val="20"/>
          <w:color w:val="auto"/>
        </w:rPr>
      </w:pPr>
      <w:r>
        <w:rPr>
          <w:rFonts w:ascii="Courier New" w:cs="Courier New" w:eastAsia="Courier New" w:hAnsi="Courier New"/>
          <w:sz w:val="12"/>
          <w:szCs w:val="12"/>
          <w:color w:val="auto"/>
        </w:rPr>
        <w:t>such demand, certificate or statement which appears on its</w:t>
      </w:r>
    </w:p>
    <w:p>
      <w:pPr>
        <w:ind w:left="700"/>
        <w:spacing w:after="0" w:line="237" w:lineRule="auto"/>
        <w:rPr>
          <w:sz w:val="20"/>
          <w:szCs w:val="20"/>
          <w:color w:val="auto"/>
        </w:rPr>
      </w:pPr>
      <w:r>
        <w:rPr>
          <w:rFonts w:ascii="Courier New" w:cs="Courier New" w:eastAsia="Courier New" w:hAnsi="Courier New"/>
          <w:sz w:val="12"/>
          <w:szCs w:val="12"/>
          <w:color w:val="auto"/>
        </w:rPr>
        <w:t>face to be in order is correct and properly made;</w:t>
      </w:r>
    </w:p>
    <w:p>
      <w:pPr>
        <w:spacing w:after="0" w:line="269"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- 15 -</w:t>
      </w:r>
    </w:p>
    <w:p>
      <w:pPr>
        <w:spacing w:after="0" w:line="391"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4.3.7.4. without prejudice to the preceding clauses, agrees that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subject to the last sentence of this clause 4.3.7, if the</w:t>
      </w:r>
    </w:p>
    <w:p>
      <w:pPr>
        <w:ind w:left="700"/>
        <w:spacing w:after="0"/>
        <w:rPr>
          <w:sz w:val="20"/>
          <w:szCs w:val="20"/>
          <w:color w:val="auto"/>
        </w:rPr>
      </w:pPr>
      <w:r>
        <w:rPr>
          <w:rFonts w:ascii="Courier New" w:cs="Courier New" w:eastAsia="Courier New" w:hAnsi="Courier New"/>
          <w:sz w:val="12"/>
          <w:szCs w:val="12"/>
          <w:color w:val="auto"/>
        </w:rPr>
        <w:t>Bank pays any such demand in accordance with the terms of</w:t>
      </w:r>
    </w:p>
    <w:p>
      <w:pPr>
        <w:ind w:left="700"/>
        <w:spacing w:after="0" w:line="237" w:lineRule="auto"/>
        <w:rPr>
          <w:sz w:val="20"/>
          <w:szCs w:val="20"/>
          <w:color w:val="auto"/>
        </w:rPr>
      </w:pPr>
      <w:r>
        <w:rPr>
          <w:rFonts w:ascii="Courier New" w:cs="Courier New" w:eastAsia="Courier New" w:hAnsi="Courier New"/>
          <w:sz w:val="12"/>
          <w:szCs w:val="12"/>
          <w:color w:val="auto"/>
        </w:rPr>
        <w:t>the relevant Equipment L/C which is not legally payable,</w:t>
      </w:r>
    </w:p>
    <w:p>
      <w:pPr>
        <w:ind w:left="700"/>
        <w:spacing w:after="0"/>
        <w:rPr>
          <w:sz w:val="20"/>
          <w:szCs w:val="20"/>
          <w:color w:val="auto"/>
        </w:rPr>
      </w:pPr>
      <w:r>
        <w:rPr>
          <w:rFonts w:ascii="Courier New" w:cs="Courier New" w:eastAsia="Courier New" w:hAnsi="Courier New"/>
          <w:sz w:val="12"/>
          <w:szCs w:val="12"/>
          <w:color w:val="auto"/>
        </w:rPr>
        <w:t>that amount shall nevertheless be regarded as having been</w:t>
      </w:r>
    </w:p>
    <w:p>
      <w:pPr>
        <w:ind w:left="700"/>
        <w:spacing w:after="0" w:line="237" w:lineRule="auto"/>
        <w:rPr>
          <w:sz w:val="20"/>
          <w:szCs w:val="20"/>
          <w:color w:val="auto"/>
        </w:rPr>
      </w:pPr>
      <w:r>
        <w:rPr>
          <w:rFonts w:ascii="Courier New" w:cs="Courier New" w:eastAsia="Courier New" w:hAnsi="Courier New"/>
          <w:sz w:val="12"/>
          <w:szCs w:val="12"/>
          <w:color w:val="auto"/>
        </w:rPr>
        <w:t>properly paid for the purposes of this Agreement; and</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4.3.7.5. agrees that subject to the last sentence of this clause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4.3.7, the Bank shall not be liable for any error, omission,</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interruption or delay in transmission, despatch or delivery</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of any message or advice, however transmitted, in connection</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with any Equipment L/C. The Borrower agrees that subject to</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last sentence of this clause 4.3.7, any action taken or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omitted by the Bank under or in connection with each</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Equipment L/C and the related drafts and documents, if done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in good faith, shall be binding upon the Borrower and shall</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not result in any liability on the part of the Bank to the</w:t>
      </w:r>
    </w:p>
    <w:p>
      <w:pPr>
        <w:ind w:left="700"/>
        <w:spacing w:after="0"/>
        <w:rPr>
          <w:sz w:val="20"/>
          <w:szCs w:val="20"/>
          <w:color w:val="auto"/>
        </w:rPr>
      </w:pPr>
      <w:r>
        <w:rPr>
          <w:rFonts w:ascii="Courier New" w:cs="Courier New" w:eastAsia="Courier New" w:hAnsi="Courier New"/>
          <w:sz w:val="12"/>
          <w:szCs w:val="12"/>
          <w:color w:val="auto"/>
        </w:rPr>
        <w:t>Borrower.</w:t>
      </w:r>
    </w:p>
    <w:p>
      <w:pPr>
        <w:spacing w:after="0" w:line="138"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Notwithstanding anything else herein, the Bank shall examine all</w:t>
      </w:r>
    </w:p>
    <w:p>
      <w:pPr>
        <w:spacing w:after="0" w:line="10"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documents (if any) stipulated in an Equipment L/C with reasonable</w:t>
      </w:r>
    </w:p>
    <w:p>
      <w:pPr>
        <w:spacing w:after="0" w:line="10"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care to ascertain whether or not they appear on their face to be</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in compliance with the terms and conditions of the relevant</w:t>
      </w:r>
    </w:p>
    <w:p>
      <w:pPr>
        <w:ind w:left="340"/>
        <w:spacing w:after="0"/>
        <w:rPr>
          <w:sz w:val="20"/>
          <w:szCs w:val="20"/>
          <w:color w:val="auto"/>
        </w:rPr>
      </w:pPr>
      <w:r>
        <w:rPr>
          <w:rFonts w:ascii="Courier New" w:cs="Courier New" w:eastAsia="Courier New" w:hAnsi="Courier New"/>
          <w:sz w:val="12"/>
          <w:szCs w:val="12"/>
          <w:color w:val="auto"/>
        </w:rPr>
        <w:t>Equipment L/C.</w:t>
      </w:r>
    </w:p>
    <w:p>
      <w:pPr>
        <w:spacing w:after="0" w:line="138" w:lineRule="exact"/>
        <w:rPr>
          <w:sz w:val="20"/>
          <w:szCs w:val="20"/>
          <w:color w:val="auto"/>
        </w:rPr>
      </w:pPr>
    </w:p>
    <w:p>
      <w:pPr>
        <w:ind w:left="340" w:right="4619" w:hanging="350"/>
        <w:spacing w:after="0" w:line="237" w:lineRule="auto"/>
        <w:rPr>
          <w:sz w:val="20"/>
          <w:szCs w:val="20"/>
          <w:color w:val="auto"/>
        </w:rPr>
      </w:pPr>
      <w:r>
        <w:rPr>
          <w:rFonts w:ascii="Courier New" w:cs="Courier New" w:eastAsia="Courier New" w:hAnsi="Courier New"/>
          <w:sz w:val="12"/>
          <w:szCs w:val="12"/>
          <w:color w:val="auto"/>
        </w:rPr>
        <w:t>4.3.8. The Borrower shall on demand indemnify and hold harmless the Bank from and against all liabilities, costs, losses, damages and expenses which the Bank incurs or sustains by reason of, or arising in any way whatsoever in connection with, or by reference to, the issue of any Equipment L/C or the Bank's performance of the obligations expressed to be assumed by it under or in respect of any Equipment L/C.</w:t>
      </w:r>
    </w:p>
    <w:p>
      <w:pPr>
        <w:spacing w:after="0" w:line="141" w:lineRule="exact"/>
        <w:rPr>
          <w:sz w:val="20"/>
          <w:szCs w:val="20"/>
          <w:color w:val="auto"/>
        </w:rPr>
      </w:pPr>
    </w:p>
    <w:p>
      <w:pPr>
        <w:ind w:left="340" w:right="4619" w:hanging="350"/>
        <w:spacing w:after="0" w:line="237" w:lineRule="auto"/>
        <w:rPr>
          <w:sz w:val="20"/>
          <w:szCs w:val="20"/>
          <w:color w:val="auto"/>
        </w:rPr>
      </w:pPr>
      <w:r>
        <w:rPr>
          <w:rFonts w:ascii="Courier New" w:cs="Courier New" w:eastAsia="Courier New" w:hAnsi="Courier New"/>
          <w:sz w:val="12"/>
          <w:szCs w:val="12"/>
          <w:color w:val="auto"/>
        </w:rPr>
        <w:t>4.3.9. The Borrower's obligations under clause 4.3.8 above shall, subject to the last sentence of clause 4.3.7 above, be absolute and unconditional under any and all circumstances and irrespective of the occurrence of any Equipment Facility Default or Equipment Facility Event of Default or any condition precedent whatsoever or any set-off, counterclaim or defence to payment which the Borrower may have or have had against the Bank or any beneficiary of an Equipment L/C.</w:t>
      </w:r>
    </w:p>
    <w:p>
      <w:pPr>
        <w:spacing w:after="0" w:line="273"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- 16 -</w:t>
      </w:r>
    </w:p>
    <w:p>
      <w:pPr>
        <w:spacing w:after="0" w:line="391" w:lineRule="exact"/>
        <w:rPr>
          <w:sz w:val="20"/>
          <w:szCs w:val="20"/>
          <w:color w:val="auto"/>
        </w:rPr>
      </w:pPr>
    </w:p>
    <w:p>
      <w:pPr>
        <w:ind w:left="340" w:right="4619" w:hanging="350"/>
        <w:spacing w:after="0" w:line="237" w:lineRule="auto"/>
        <w:rPr>
          <w:sz w:val="20"/>
          <w:szCs w:val="20"/>
          <w:color w:val="auto"/>
        </w:rPr>
      </w:pPr>
      <w:r>
        <w:rPr>
          <w:rFonts w:ascii="Courier New" w:cs="Courier New" w:eastAsia="Courier New" w:hAnsi="Courier New"/>
          <w:sz w:val="12"/>
          <w:szCs w:val="12"/>
          <w:color w:val="auto"/>
        </w:rPr>
        <w:t>4.3.10. The Bank shall subject to the last sentence of clause 4.3.7 above, be entitled to rely and shall be fully protected in relying upon, any Equipment L/C, draft, resolution, written notice, written consent, certificate, affidavit, letter, cablegram, telegram, telecopy, telex or teletype message, statement, Order or other document believed by it to be genuine and correct and to have been signed, sent or made by the proper person or persons, provided that any of the above may be transmitted by facsimile or electronic transmission, if permitted by the Equipment L/C.</w:t>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4.3.11. The Borrower's obligations under clause 4.3.8 above shall,</w:t>
      </w:r>
    </w:p>
    <w:p>
      <w:pPr>
        <w:ind w:left="340"/>
        <w:spacing w:after="0"/>
        <w:rPr>
          <w:sz w:val="20"/>
          <w:szCs w:val="20"/>
          <w:color w:val="auto"/>
        </w:rPr>
      </w:pPr>
      <w:r>
        <w:rPr>
          <w:rFonts w:ascii="Courier New" w:cs="Courier New" w:eastAsia="Courier New" w:hAnsi="Courier New"/>
          <w:sz w:val="12"/>
          <w:szCs w:val="12"/>
          <w:color w:val="auto"/>
        </w:rPr>
        <w:t>subject to the last sentence of clause 4.3.7 above, not be</w:t>
      </w:r>
    </w:p>
    <w:p>
      <w:pPr>
        <w:ind w:left="340"/>
        <w:spacing w:after="0" w:line="237" w:lineRule="auto"/>
        <w:rPr>
          <w:sz w:val="20"/>
          <w:szCs w:val="20"/>
          <w:color w:val="auto"/>
        </w:rPr>
      </w:pPr>
      <w:r>
        <w:rPr>
          <w:rFonts w:ascii="Courier New" w:cs="Courier New" w:eastAsia="Courier New" w:hAnsi="Courier New"/>
          <w:sz w:val="12"/>
          <w:szCs w:val="12"/>
          <w:color w:val="auto"/>
        </w:rPr>
        <w:t>affected by any act, omission, matter or thing which, but for</w:t>
      </w:r>
    </w:p>
    <w:p>
      <w:pPr>
        <w:ind w:left="340"/>
        <w:spacing w:after="0"/>
        <w:rPr>
          <w:sz w:val="20"/>
          <w:szCs w:val="20"/>
          <w:color w:val="auto"/>
        </w:rPr>
      </w:pPr>
      <w:r>
        <w:rPr>
          <w:rFonts w:ascii="Courier New" w:cs="Courier New" w:eastAsia="Courier New" w:hAnsi="Courier New"/>
          <w:sz w:val="12"/>
          <w:szCs w:val="12"/>
          <w:color w:val="auto"/>
        </w:rPr>
        <w:t>this provision, might reduce, release or prejudice any of its</w:t>
      </w:r>
    </w:p>
    <w:p>
      <w:pPr>
        <w:ind w:left="340"/>
        <w:spacing w:after="0" w:line="237" w:lineRule="auto"/>
        <w:rPr>
          <w:sz w:val="20"/>
          <w:szCs w:val="20"/>
          <w:color w:val="auto"/>
        </w:rPr>
      </w:pPr>
      <w:r>
        <w:rPr>
          <w:rFonts w:ascii="Courier New" w:cs="Courier New" w:eastAsia="Courier New" w:hAnsi="Courier New"/>
          <w:sz w:val="12"/>
          <w:szCs w:val="12"/>
          <w:color w:val="auto"/>
        </w:rPr>
        <w:t>obligations under clause 4.3.8 above in whole or in part,</w:t>
      </w:r>
    </w:p>
    <w:p>
      <w:pPr>
        <w:ind w:left="340"/>
        <w:spacing w:after="0"/>
        <w:rPr>
          <w:sz w:val="20"/>
          <w:szCs w:val="20"/>
          <w:color w:val="auto"/>
        </w:rPr>
      </w:pPr>
      <w:r>
        <w:rPr>
          <w:rFonts w:ascii="Courier New" w:cs="Courier New" w:eastAsia="Courier New" w:hAnsi="Courier New"/>
          <w:sz w:val="12"/>
          <w:szCs w:val="12"/>
          <w:color w:val="auto"/>
        </w:rPr>
        <w:t>including and whether or not known to it:</w:t>
      </w:r>
    </w:p>
    <w:p>
      <w:pPr>
        <w:spacing w:after="0" w:line="13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2"/>
          <w:szCs w:val="12"/>
          <w:color w:val="auto"/>
        </w:rPr>
        <w:t>4.3.11.1. any time or waiver granted to or composition with the</w:t>
      </w:r>
    </w:p>
    <w:p>
      <w:pPr>
        <w:jc w:val="center"/>
        <w:ind w:right="4419"/>
        <w:spacing w:after="0"/>
        <w:rPr>
          <w:sz w:val="20"/>
          <w:szCs w:val="20"/>
          <w:color w:val="auto"/>
        </w:rPr>
      </w:pPr>
      <w:r>
        <w:rPr>
          <w:rFonts w:ascii="Courier New" w:cs="Courier New" w:eastAsia="Courier New" w:hAnsi="Courier New"/>
          <w:sz w:val="12"/>
          <w:szCs w:val="12"/>
          <w:color w:val="auto"/>
        </w:rPr>
        <w:t>beneficiary of any Equipment L/C or any other person;</w:t>
      </w:r>
    </w:p>
    <w:p>
      <w:pPr>
        <w:spacing w:after="0" w:line="138"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4.3.11.2. any taking, variation, compromise, exchange, renewal or</w:t>
      </w:r>
    </w:p>
    <w:p>
      <w:pPr>
        <w:sectPr>
          <w:pgSz w:w="11900" w:h="16895" w:orient="portrait"/>
          <w:cols w:equalWidth="0" w:num="1">
            <w:col w:w="9539"/>
          </w:cols>
          <w:pgMar w:left="920" w:top="272" w:right="1440" w:bottom="0" w:gutter="0" w:footer="0" w:header="0"/>
        </w:sectPr>
      </w:pPr>
    </w:p>
    <w:bookmarkStart w:id="94" w:name="page95"/>
    <w:bookmarkEnd w:id="94"/>
    <w:p>
      <w:pPr>
        <w:spacing w:after="0" w:line="63"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release of, or refusal or neglect to perfect, take up or</w:t>
      </w:r>
    </w:p>
    <w:p>
      <w:pPr>
        <w:spacing w:after="0" w:line="4"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enforce, any rights, remedies or securities available to any</w:t>
      </w:r>
    </w:p>
    <w:p>
      <w:pPr>
        <w:spacing w:after="0" w:line="10"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Bank or other person or arising under any Equipment L/C; and</w:t>
      </w:r>
    </w:p>
    <w:p>
      <w:pPr>
        <w:spacing w:after="0" w:line="141"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4.3.11.3. any unenforceability, illegality or invalidity of any</w:t>
      </w:r>
    </w:p>
    <w:p>
      <w:pPr>
        <w:ind w:left="1408"/>
        <w:spacing w:after="0"/>
        <w:rPr>
          <w:sz w:val="20"/>
          <w:szCs w:val="20"/>
          <w:color w:val="auto"/>
        </w:rPr>
      </w:pPr>
      <w:r>
        <w:rPr>
          <w:rFonts w:ascii="Courier New" w:cs="Courier New" w:eastAsia="Courier New" w:hAnsi="Courier New"/>
          <w:sz w:val="12"/>
          <w:szCs w:val="12"/>
          <w:color w:val="auto"/>
        </w:rPr>
        <w:t>Equipment L/C (so that the Borrower's obligations under</w:t>
      </w:r>
    </w:p>
    <w:p>
      <w:pPr>
        <w:ind w:left="1408"/>
        <w:spacing w:after="0" w:line="237" w:lineRule="auto"/>
        <w:rPr>
          <w:sz w:val="20"/>
          <w:szCs w:val="20"/>
          <w:color w:val="auto"/>
        </w:rPr>
      </w:pPr>
      <w:r>
        <w:rPr>
          <w:rFonts w:ascii="Courier New" w:cs="Courier New" w:eastAsia="Courier New" w:hAnsi="Courier New"/>
          <w:sz w:val="12"/>
          <w:szCs w:val="12"/>
          <w:color w:val="auto"/>
        </w:rPr>
        <w:t>clause 4.3.8 above shall remain in full force and be</w:t>
      </w:r>
    </w:p>
    <w:p>
      <w:pPr>
        <w:ind w:left="1408"/>
        <w:spacing w:after="0"/>
        <w:rPr>
          <w:sz w:val="20"/>
          <w:szCs w:val="20"/>
          <w:color w:val="auto"/>
        </w:rPr>
      </w:pPr>
      <w:r>
        <w:rPr>
          <w:rFonts w:ascii="Courier New" w:cs="Courier New" w:eastAsia="Courier New" w:hAnsi="Courier New"/>
          <w:sz w:val="12"/>
          <w:szCs w:val="12"/>
          <w:color w:val="auto"/>
        </w:rPr>
        <w:t>construed as if there were not such defect).</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4.3.12. The indemnity under clause 4.3.8 above is a continuing</w:t>
      </w:r>
    </w:p>
    <w:p>
      <w:pPr>
        <w:ind w:left="1048"/>
        <w:spacing w:after="0"/>
        <w:rPr>
          <w:sz w:val="20"/>
          <w:szCs w:val="20"/>
          <w:color w:val="auto"/>
        </w:rPr>
      </w:pPr>
      <w:r>
        <w:rPr>
          <w:rFonts w:ascii="Courier New" w:cs="Courier New" w:eastAsia="Courier New" w:hAnsi="Courier New"/>
          <w:sz w:val="12"/>
          <w:szCs w:val="12"/>
          <w:color w:val="auto"/>
        </w:rPr>
        <w:t>indemnity, extends to the ultimate balance of the Borrower's</w:t>
      </w:r>
    </w:p>
    <w:p>
      <w:pPr>
        <w:ind w:left="1048"/>
        <w:spacing w:after="0" w:line="237" w:lineRule="auto"/>
        <w:rPr>
          <w:sz w:val="20"/>
          <w:szCs w:val="20"/>
          <w:color w:val="auto"/>
        </w:rPr>
      </w:pPr>
      <w:r>
        <w:rPr>
          <w:rFonts w:ascii="Courier New" w:cs="Courier New" w:eastAsia="Courier New" w:hAnsi="Courier New"/>
          <w:sz w:val="12"/>
          <w:szCs w:val="12"/>
          <w:color w:val="auto"/>
        </w:rPr>
        <w:t>obligations and liabilities under clause 4.3.8 above and shall</w:t>
      </w:r>
    </w:p>
    <w:p>
      <w:pPr>
        <w:ind w:left="1048"/>
        <w:spacing w:after="0"/>
        <w:rPr>
          <w:sz w:val="20"/>
          <w:szCs w:val="20"/>
          <w:color w:val="auto"/>
        </w:rPr>
      </w:pPr>
      <w:r>
        <w:rPr>
          <w:rFonts w:ascii="Courier New" w:cs="Courier New" w:eastAsia="Courier New" w:hAnsi="Courier New"/>
          <w:sz w:val="12"/>
          <w:szCs w:val="12"/>
          <w:color w:val="auto"/>
        </w:rPr>
        <w:t>continue in force notwithstanding any intermediate payment in</w:t>
      </w:r>
    </w:p>
    <w:p>
      <w:pPr>
        <w:ind w:left="1048"/>
        <w:spacing w:after="0" w:line="237" w:lineRule="auto"/>
        <w:rPr>
          <w:sz w:val="20"/>
          <w:szCs w:val="20"/>
          <w:color w:val="auto"/>
        </w:rPr>
      </w:pPr>
      <w:r>
        <w:rPr>
          <w:rFonts w:ascii="Courier New" w:cs="Courier New" w:eastAsia="Courier New" w:hAnsi="Courier New"/>
          <w:sz w:val="12"/>
          <w:szCs w:val="12"/>
          <w:color w:val="auto"/>
        </w:rPr>
        <w:t>whole or in part of those obligations or liabilities.</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- 17 -</w:t>
      </w:r>
    </w:p>
    <w:p>
      <w:pPr>
        <w:spacing w:after="0" w:line="386" w:lineRule="exact"/>
        <w:rPr>
          <w:sz w:val="20"/>
          <w:szCs w:val="20"/>
          <w:color w:val="auto"/>
        </w:rPr>
      </w:pPr>
    </w:p>
    <w:p>
      <w:pPr>
        <w:ind w:left="348" w:hanging="348"/>
        <w:spacing w:after="0"/>
        <w:tabs>
          <w:tab w:leader="none" w:pos="348" w:val="left"/>
        </w:tabs>
        <w:numPr>
          <w:ilvl w:val="0"/>
          <w:numId w:val="1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REPAYMENT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5.1. REPAYMENT OF LOANS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Borrower shall repay each Equipment Loan in full upon the earlier</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(a) the Final Equipment Facility Maturity date; and (b) the</w:t>
      </w:r>
    </w:p>
    <w:p>
      <w:pPr>
        <w:ind w:left="708"/>
        <w:spacing w:after="0"/>
        <w:rPr>
          <w:sz w:val="20"/>
          <w:szCs w:val="20"/>
          <w:color w:val="auto"/>
        </w:rPr>
      </w:pPr>
      <w:r>
        <w:rPr>
          <w:rFonts w:ascii="Courier New" w:cs="Courier New" w:eastAsia="Courier New" w:hAnsi="Courier New"/>
          <w:sz w:val="12"/>
          <w:szCs w:val="12"/>
          <w:color w:val="auto"/>
        </w:rPr>
        <w:t>Business Day immediately following the second anniversary of the</w:t>
      </w:r>
    </w:p>
    <w:p>
      <w:pPr>
        <w:ind w:left="708"/>
        <w:spacing w:after="0" w:line="237" w:lineRule="auto"/>
        <w:rPr>
          <w:sz w:val="20"/>
          <w:szCs w:val="20"/>
          <w:color w:val="auto"/>
        </w:rPr>
      </w:pPr>
      <w:r>
        <w:rPr>
          <w:rFonts w:ascii="Courier New" w:cs="Courier New" w:eastAsia="Courier New" w:hAnsi="Courier New"/>
          <w:sz w:val="12"/>
          <w:szCs w:val="12"/>
          <w:color w:val="auto"/>
        </w:rPr>
        <w:t>making of such Equipment Loan, subject to mandatory prepayment in</w:t>
      </w:r>
    </w:p>
    <w:p>
      <w:pPr>
        <w:ind w:left="708"/>
        <w:spacing w:after="0"/>
        <w:rPr>
          <w:sz w:val="20"/>
          <w:szCs w:val="20"/>
          <w:color w:val="auto"/>
        </w:rPr>
      </w:pPr>
      <w:r>
        <w:rPr>
          <w:rFonts w:ascii="Courier New" w:cs="Courier New" w:eastAsia="Courier New" w:hAnsi="Courier New"/>
          <w:sz w:val="12"/>
          <w:szCs w:val="12"/>
          <w:color w:val="auto"/>
        </w:rPr>
        <w:t>accordance with clause 6 below.</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5.2. PAYMENT OF ALL OTHER SUMS DUE ON THE FINAL MATURITY DATE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On the Final Equipment Facility Maturity Date, the Borrower</w:t>
      </w:r>
    </w:p>
    <w:p>
      <w:pPr>
        <w:ind w:left="708"/>
        <w:spacing w:after="0"/>
        <w:rPr>
          <w:sz w:val="20"/>
          <w:szCs w:val="20"/>
          <w:color w:val="auto"/>
        </w:rPr>
      </w:pPr>
      <w:r>
        <w:rPr>
          <w:rFonts w:ascii="Courier New" w:cs="Courier New" w:eastAsia="Courier New" w:hAnsi="Courier New"/>
          <w:sz w:val="12"/>
          <w:szCs w:val="12"/>
          <w:color w:val="auto"/>
        </w:rPr>
        <w:t>additionally shall pay to the Bank all other sums then outstanding</w:t>
      </w:r>
    </w:p>
    <w:p>
      <w:pPr>
        <w:ind w:left="708"/>
        <w:spacing w:after="0" w:line="237" w:lineRule="auto"/>
        <w:rPr>
          <w:sz w:val="20"/>
          <w:szCs w:val="20"/>
          <w:color w:val="auto"/>
        </w:rPr>
      </w:pPr>
      <w:r>
        <w:rPr>
          <w:rFonts w:ascii="Courier New" w:cs="Courier New" w:eastAsia="Courier New" w:hAnsi="Courier New"/>
          <w:sz w:val="12"/>
          <w:szCs w:val="12"/>
          <w:color w:val="auto"/>
        </w:rPr>
        <w:t>under this Agreement.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5.3. REPAYMENT IN CURRENCY OF LOAN</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For the removal of doubt, each Equipment Loan, as well as all Interest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thereon, shall be repaid in US Dollars.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5.4. REPAYMENTS (INCLUDING PREPAYMENT) TO CHARGED ACCOUNT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repayments as aforesaid and all prepayments (in accordance with</w:t>
      </w:r>
    </w:p>
    <w:p>
      <w:pPr>
        <w:ind w:left="708"/>
        <w:spacing w:after="0"/>
        <w:rPr>
          <w:sz w:val="20"/>
          <w:szCs w:val="20"/>
          <w:color w:val="auto"/>
        </w:rPr>
      </w:pPr>
      <w:r>
        <w:rPr>
          <w:rFonts w:ascii="Courier New" w:cs="Courier New" w:eastAsia="Courier New" w:hAnsi="Courier New"/>
          <w:sz w:val="12"/>
          <w:szCs w:val="12"/>
          <w:color w:val="auto"/>
        </w:rPr>
        <w:t>clause 6 below) shall be made by transfer to the Bank to the Charged</w:t>
      </w:r>
    </w:p>
    <w:p>
      <w:pPr>
        <w:ind w:left="708"/>
        <w:spacing w:after="0" w:line="237" w:lineRule="auto"/>
        <w:rPr>
          <w:sz w:val="20"/>
          <w:szCs w:val="20"/>
          <w:color w:val="auto"/>
        </w:rPr>
      </w:pPr>
      <w:r>
        <w:rPr>
          <w:rFonts w:ascii="Courier New" w:cs="Courier New" w:eastAsia="Courier New" w:hAnsi="Courier New"/>
          <w:sz w:val="12"/>
          <w:szCs w:val="12"/>
          <w:color w:val="auto"/>
        </w:rPr>
        <w:t>Account.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5.5. NO REBORROWING</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shall not be entitled to reborrow any part of an</w:t>
      </w:r>
    </w:p>
    <w:p>
      <w:pPr>
        <w:ind w:left="708"/>
        <w:spacing w:after="0"/>
        <w:rPr>
          <w:sz w:val="20"/>
          <w:szCs w:val="20"/>
          <w:color w:val="auto"/>
        </w:rPr>
      </w:pPr>
      <w:r>
        <w:rPr>
          <w:rFonts w:ascii="Courier New" w:cs="Courier New" w:eastAsia="Courier New" w:hAnsi="Courier New"/>
          <w:sz w:val="12"/>
          <w:szCs w:val="12"/>
          <w:color w:val="auto"/>
        </w:rPr>
        <w:t>Equipment Loan which is repaid. For removal of doubt: (a) the expiry</w:t>
      </w:r>
    </w:p>
    <w:p>
      <w:pPr>
        <w:ind w:left="708"/>
        <w:spacing w:after="0" w:line="237" w:lineRule="auto"/>
        <w:rPr>
          <w:sz w:val="20"/>
          <w:szCs w:val="20"/>
          <w:color w:val="auto"/>
        </w:rPr>
      </w:pPr>
      <w:r>
        <w:rPr>
          <w:rFonts w:ascii="Courier New" w:cs="Courier New" w:eastAsia="Courier New" w:hAnsi="Courier New"/>
          <w:sz w:val="12"/>
          <w:szCs w:val="12"/>
          <w:color w:val="auto"/>
        </w:rPr>
        <w:t>of an Equipment L/C (to the extent that it is not converted into an</w:t>
      </w:r>
    </w:p>
    <w:p>
      <w:pPr>
        <w:ind w:left="708"/>
        <w:spacing w:after="0"/>
        <w:rPr>
          <w:sz w:val="20"/>
          <w:szCs w:val="20"/>
          <w:color w:val="auto"/>
        </w:rPr>
      </w:pPr>
      <w:r>
        <w:rPr>
          <w:rFonts w:ascii="Courier New" w:cs="Courier New" w:eastAsia="Courier New" w:hAnsi="Courier New"/>
          <w:sz w:val="12"/>
          <w:szCs w:val="12"/>
          <w:color w:val="auto"/>
        </w:rPr>
        <w:t>Equipment Loan pursuant to clause 4.3.6) shall not reduce the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Commitment; and (b) the making of an Equipment Loan pursuant to clause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4.3.6 in respect of an Equipment L/C shall not constitute a</w:t>
      </w:r>
    </w:p>
    <w:p>
      <w:pPr>
        <w:ind w:left="708"/>
        <w:spacing w:after="0"/>
        <w:rPr>
          <w:sz w:val="20"/>
          <w:szCs w:val="20"/>
          <w:color w:val="auto"/>
        </w:rPr>
      </w:pPr>
      <w:r>
        <w:rPr>
          <w:rFonts w:ascii="Courier New" w:cs="Courier New" w:eastAsia="Courier New" w:hAnsi="Courier New"/>
          <w:sz w:val="12"/>
          <w:szCs w:val="12"/>
          <w:color w:val="auto"/>
        </w:rPr>
        <w:t>re-borrowing.</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5.6. CANCELLATION OF COMMITMENT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For the removal of doubt and subject to the clarifications set forth</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clause 5.5 above with respect to Equipment L/Cs, the Commitment of</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Bank shall be cancelled by any amount repaid or prepaid under this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Agreement.</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- 18 -</w:t>
      </w:r>
    </w:p>
    <w:p>
      <w:pPr>
        <w:spacing w:after="0" w:line="386" w:lineRule="exact"/>
        <w:rPr>
          <w:sz w:val="20"/>
          <w:szCs w:val="20"/>
          <w:color w:val="auto"/>
        </w:rPr>
      </w:pPr>
    </w:p>
    <w:p>
      <w:pPr>
        <w:ind w:left="348" w:hanging="348"/>
        <w:spacing w:after="0"/>
        <w:tabs>
          <w:tab w:leader="none" w:pos="348" w:val="left"/>
        </w:tabs>
        <w:numPr>
          <w:ilvl w:val="0"/>
          <w:numId w:val="1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PREPAYMENT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6.1. VOLUNTARY PREPAYMENT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provisions of clause 7 ("VOLUNTARY PREPAYMENTS") of the Facility</w:t>
      </w:r>
    </w:p>
    <w:p>
      <w:pPr>
        <w:ind w:left="708"/>
        <w:spacing w:after="0"/>
        <w:rPr>
          <w:sz w:val="20"/>
          <w:szCs w:val="20"/>
          <w:color w:val="auto"/>
        </w:rPr>
      </w:pPr>
      <w:r>
        <w:rPr>
          <w:rFonts w:ascii="Courier New" w:cs="Courier New" w:eastAsia="Courier New" w:hAnsi="Courier New"/>
          <w:sz w:val="12"/>
          <w:szCs w:val="12"/>
          <w:color w:val="auto"/>
        </w:rPr>
        <w:t>Agreement are hereby incorporated by reference and shall apply,</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MUTATIS MUTANDIS, as if all references therein to the "Banks" and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"Loans" were references to the "Bank", and "Equipment Loans",</w:t>
      </w:r>
    </w:p>
    <w:p>
      <w:pPr>
        <w:ind w:left="708"/>
        <w:spacing w:after="0"/>
        <w:rPr>
          <w:sz w:val="20"/>
          <w:szCs w:val="20"/>
          <w:color w:val="auto"/>
        </w:rPr>
      </w:pPr>
      <w:r>
        <w:rPr>
          <w:rFonts w:ascii="Courier New" w:cs="Courier New" w:eastAsia="Courier New" w:hAnsi="Courier New"/>
          <w:sz w:val="12"/>
          <w:szCs w:val="12"/>
          <w:color w:val="auto"/>
        </w:rPr>
        <w:t>respectively, each reference to a "Proportion" of a Loan shall be</w:t>
      </w:r>
    </w:p>
    <w:p>
      <w:pPr>
        <w:ind w:left="708"/>
        <w:spacing w:after="0" w:line="237" w:lineRule="auto"/>
        <w:rPr>
          <w:sz w:val="20"/>
          <w:szCs w:val="20"/>
          <w:color w:val="auto"/>
        </w:rPr>
      </w:pPr>
      <w:r>
        <w:rPr>
          <w:rFonts w:ascii="Courier New" w:cs="Courier New" w:eastAsia="Courier New" w:hAnsi="Courier New"/>
          <w:sz w:val="12"/>
          <w:szCs w:val="12"/>
          <w:color w:val="auto"/>
        </w:rPr>
        <w:t>deemed to refer to all of the Equipment Loans provided by the Bank,</w:t>
      </w:r>
    </w:p>
    <w:p>
      <w:pPr>
        <w:ind w:left="708"/>
        <w:spacing w:after="0"/>
        <w:rPr>
          <w:sz w:val="20"/>
          <w:szCs w:val="20"/>
          <w:color w:val="auto"/>
        </w:rPr>
      </w:pPr>
      <w:r>
        <w:rPr>
          <w:rFonts w:ascii="Courier New" w:cs="Courier New" w:eastAsia="Courier New" w:hAnsi="Courier New"/>
          <w:sz w:val="12"/>
          <w:szCs w:val="12"/>
          <w:color w:val="auto"/>
        </w:rPr>
        <w:t>and the reference in clause 7.1 of the Facility Agreement to "US</w:t>
      </w:r>
    </w:p>
    <w:p>
      <w:pPr>
        <w:ind w:left="708"/>
        <w:spacing w:after="0" w:line="237" w:lineRule="auto"/>
        <w:rPr>
          <w:sz w:val="20"/>
          <w:szCs w:val="20"/>
          <w:color w:val="auto"/>
        </w:rPr>
      </w:pPr>
      <w:r>
        <w:rPr>
          <w:rFonts w:ascii="Courier New" w:cs="Courier New" w:eastAsia="Courier New" w:hAnsi="Courier New"/>
          <w:sz w:val="12"/>
          <w:szCs w:val="12"/>
          <w:color w:val="auto"/>
        </w:rPr>
        <w:t>$10,000,000 (ten million United States Dollars)" shall be replaced</w:t>
      </w:r>
    </w:p>
    <w:p>
      <w:pPr>
        <w:ind w:left="708"/>
        <w:spacing w:after="0"/>
        <w:rPr>
          <w:sz w:val="20"/>
          <w:szCs w:val="20"/>
          <w:color w:val="auto"/>
        </w:rPr>
      </w:pPr>
      <w:r>
        <w:rPr>
          <w:rFonts w:ascii="Courier New" w:cs="Courier New" w:eastAsia="Courier New" w:hAnsi="Courier New"/>
          <w:sz w:val="12"/>
          <w:szCs w:val="12"/>
          <w:color w:val="auto"/>
        </w:rPr>
        <w:t>with "US $1,000,000 (one million United States Dollars)". For the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avoidance of doubt, the term "Total Outstanding" in clause 7.5 of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Facility Agreement refers only to the Loans under the Facility</w:t>
      </w:r>
    </w:p>
    <w:p>
      <w:pPr>
        <w:ind w:left="708"/>
        <w:spacing w:after="0"/>
        <w:rPr>
          <w:sz w:val="20"/>
          <w:szCs w:val="20"/>
          <w:color w:val="auto"/>
        </w:rPr>
      </w:pPr>
      <w:r>
        <w:rPr>
          <w:rFonts w:ascii="Courier New" w:cs="Courier New" w:eastAsia="Courier New" w:hAnsi="Courier New"/>
          <w:sz w:val="12"/>
          <w:szCs w:val="12"/>
          <w:color w:val="auto"/>
        </w:rPr>
        <w:t>Agreement and not to the Equipment Loans that may be made hereunder.</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6.2. MANDATORY PREPAYMENT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6.2.1. Upon the occurrence of a Triggering Quarter, the Borrower</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shall, immediately and on a PRO RATA basis, prepay the Equipment</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Loans and/or deposit funds in the Charged Account with respect to</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outstanding Equipment L/C's issued by the Bank at a rate of US</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$3,750,000 (three million seven hundred and fifty thousand United</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States Dollars) per Quarter, commencing on the last Business Day</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of each Quarter following the Triggering Quarter until the</w:t>
      </w:r>
    </w:p>
    <w:p>
      <w:pPr>
        <w:ind w:left="1048"/>
        <w:spacing w:after="0"/>
        <w:rPr>
          <w:sz w:val="20"/>
          <w:szCs w:val="20"/>
          <w:color w:val="auto"/>
        </w:rPr>
      </w:pPr>
      <w:r>
        <w:rPr>
          <w:rFonts w:ascii="Courier New" w:cs="Courier New" w:eastAsia="Courier New" w:hAnsi="Courier New"/>
          <w:sz w:val="12"/>
          <w:szCs w:val="12"/>
          <w:color w:val="auto"/>
        </w:rPr>
        <w:t>Equipment Loans are fully paid and until there shall have been</w:t>
      </w:r>
    </w:p>
    <w:p>
      <w:pPr>
        <w:ind w:left="1048"/>
        <w:spacing w:after="0" w:line="237" w:lineRule="auto"/>
        <w:rPr>
          <w:sz w:val="20"/>
          <w:szCs w:val="20"/>
          <w:color w:val="auto"/>
        </w:rPr>
      </w:pPr>
      <w:r>
        <w:rPr>
          <w:rFonts w:ascii="Courier New" w:cs="Courier New" w:eastAsia="Courier New" w:hAnsi="Courier New"/>
          <w:sz w:val="12"/>
          <w:szCs w:val="12"/>
          <w:color w:val="auto"/>
        </w:rPr>
        <w:t>deposited in the Charged Account and duly pledged in accordance</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with clause 4.3.2.4 above, an amount equal to the Maximum Drawing</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Amounts of all outstanding Equipment L/C's issued by the Bank.</w:t>
      </w:r>
    </w:p>
    <w:p>
      <w:pPr>
        <w:spacing w:after="0" w:line="269"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For the avoidance of doubt and by way of illustration only, if</w:t>
      </w:r>
    </w:p>
    <w:p>
      <w:pPr>
        <w:ind w:left="1048"/>
        <w:spacing w:after="0"/>
        <w:rPr>
          <w:sz w:val="20"/>
          <w:szCs w:val="20"/>
          <w:color w:val="auto"/>
        </w:rPr>
      </w:pPr>
      <w:r>
        <w:rPr>
          <w:rFonts w:ascii="Courier New" w:cs="Courier New" w:eastAsia="Courier New" w:hAnsi="Courier New"/>
          <w:sz w:val="12"/>
          <w:szCs w:val="12"/>
          <w:color w:val="auto"/>
        </w:rPr>
        <w:t>the Triggering Quarter is the Quarter ended March 31, 2008 and</w:t>
      </w:r>
    </w:p>
    <w:p>
      <w:pPr>
        <w:ind w:left="1048"/>
        <w:spacing w:after="0" w:line="237" w:lineRule="auto"/>
        <w:rPr>
          <w:sz w:val="20"/>
          <w:szCs w:val="20"/>
          <w:color w:val="auto"/>
        </w:rPr>
      </w:pPr>
      <w:r>
        <w:rPr>
          <w:rFonts w:ascii="Courier New" w:cs="Courier New" w:eastAsia="Courier New" w:hAnsi="Courier New"/>
          <w:sz w:val="12"/>
          <w:szCs w:val="12"/>
          <w:color w:val="auto"/>
        </w:rPr>
        <w:t>the then outstanding Equipment Facility Credits aggregate US</w:t>
      </w:r>
    </w:p>
    <w:p>
      <w:pPr>
        <w:ind w:left="1048"/>
        <w:spacing w:after="0"/>
        <w:rPr>
          <w:sz w:val="20"/>
          <w:szCs w:val="20"/>
          <w:color w:val="auto"/>
        </w:rPr>
      </w:pPr>
      <w:r>
        <w:rPr>
          <w:rFonts w:ascii="Courier New" w:cs="Courier New" w:eastAsia="Courier New" w:hAnsi="Courier New"/>
          <w:sz w:val="12"/>
          <w:szCs w:val="12"/>
          <w:color w:val="auto"/>
        </w:rPr>
        <w:t>$15,000,000 (fifteen million United States Dollars), consisting</w:t>
      </w:r>
    </w:p>
    <w:p>
      <w:pPr>
        <w:ind w:left="1048"/>
        <w:spacing w:after="0" w:line="237" w:lineRule="auto"/>
        <w:rPr>
          <w:sz w:val="20"/>
          <w:szCs w:val="20"/>
          <w:color w:val="auto"/>
        </w:rPr>
      </w:pPr>
      <w:r>
        <w:rPr>
          <w:rFonts w:ascii="Courier New" w:cs="Courier New" w:eastAsia="Courier New" w:hAnsi="Courier New"/>
          <w:sz w:val="12"/>
          <w:szCs w:val="12"/>
          <w:color w:val="auto"/>
        </w:rPr>
        <w:t>of US $10,000,000 (ten million United States Dollars) in</w:t>
      </w:r>
    </w:p>
    <w:p>
      <w:pPr>
        <w:ind w:left="1048"/>
        <w:spacing w:after="0"/>
        <w:rPr>
          <w:sz w:val="20"/>
          <w:szCs w:val="20"/>
          <w:color w:val="auto"/>
        </w:rPr>
      </w:pPr>
      <w:r>
        <w:rPr>
          <w:rFonts w:ascii="Courier New" w:cs="Courier New" w:eastAsia="Courier New" w:hAnsi="Courier New"/>
          <w:sz w:val="12"/>
          <w:szCs w:val="12"/>
          <w:color w:val="auto"/>
        </w:rPr>
        <w:t>Equipment loans and US $5,000,000 (five million United States</w:t>
      </w:r>
    </w:p>
    <w:p>
      <w:pPr>
        <w:ind w:left="1048"/>
        <w:spacing w:after="0" w:line="237" w:lineRule="auto"/>
        <w:rPr>
          <w:sz w:val="20"/>
          <w:szCs w:val="20"/>
          <w:color w:val="auto"/>
        </w:rPr>
      </w:pPr>
      <w:r>
        <w:rPr>
          <w:rFonts w:ascii="Courier New" w:cs="Courier New" w:eastAsia="Courier New" w:hAnsi="Courier New"/>
          <w:sz w:val="12"/>
          <w:szCs w:val="12"/>
          <w:color w:val="auto"/>
        </w:rPr>
        <w:t>Dollars) in Equipment L/C's, the Borrower shall prepay US</w:t>
      </w:r>
    </w:p>
    <w:p>
      <w:pPr>
        <w:ind w:left="1048"/>
        <w:spacing w:after="0"/>
        <w:rPr>
          <w:sz w:val="20"/>
          <w:szCs w:val="20"/>
          <w:color w:val="auto"/>
        </w:rPr>
      </w:pPr>
      <w:r>
        <w:rPr>
          <w:rFonts w:ascii="Courier New" w:cs="Courier New" w:eastAsia="Courier New" w:hAnsi="Courier New"/>
          <w:sz w:val="12"/>
          <w:szCs w:val="12"/>
          <w:color w:val="auto"/>
        </w:rPr>
        <w:t>$2,500,000 (two million five hundred thousand United States</w:t>
      </w:r>
    </w:p>
    <w:p>
      <w:pPr>
        <w:ind w:left="1048"/>
        <w:spacing w:after="0" w:line="237" w:lineRule="auto"/>
        <w:rPr>
          <w:sz w:val="20"/>
          <w:szCs w:val="20"/>
          <w:color w:val="auto"/>
        </w:rPr>
      </w:pPr>
      <w:r>
        <w:rPr>
          <w:rFonts w:ascii="Courier New" w:cs="Courier New" w:eastAsia="Courier New" w:hAnsi="Courier New"/>
          <w:sz w:val="12"/>
          <w:szCs w:val="12"/>
          <w:color w:val="auto"/>
        </w:rPr>
        <w:t>Dollars) of Equipment Loans and deposit US $1,250,000 (one</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million two hundred and fifty thousand United States Dollars) in</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Charged Account, duly pledged in accordance with clause</w:t>
      </w:r>
    </w:p>
    <w:p>
      <w:pPr>
        <w:ind w:left="1048"/>
        <w:spacing w:after="0"/>
        <w:rPr>
          <w:sz w:val="20"/>
          <w:szCs w:val="20"/>
          <w:color w:val="auto"/>
        </w:rPr>
      </w:pPr>
      <w:r>
        <w:rPr>
          <w:rFonts w:ascii="Courier New" w:cs="Courier New" w:eastAsia="Courier New" w:hAnsi="Courier New"/>
          <w:sz w:val="12"/>
          <w:szCs w:val="12"/>
          <w:color w:val="auto"/>
        </w:rPr>
        <w:t>4.3.2.4 above, on the last Business Day of each of the Quarters</w:t>
      </w:r>
    </w:p>
    <w:p>
      <w:pPr>
        <w:ind w:left="1048"/>
        <w:spacing w:after="0" w:line="237" w:lineRule="auto"/>
        <w:rPr>
          <w:sz w:val="20"/>
          <w:szCs w:val="20"/>
          <w:color w:val="auto"/>
        </w:rPr>
      </w:pPr>
      <w:r>
        <w:rPr>
          <w:rFonts w:ascii="Courier New" w:cs="Courier New" w:eastAsia="Courier New" w:hAnsi="Courier New"/>
          <w:sz w:val="12"/>
          <w:szCs w:val="12"/>
          <w:color w:val="auto"/>
        </w:rPr>
        <w:t>ended in June, September and December, 2008 and March, 2009.</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- 19 -</w:t>
      </w:r>
    </w:p>
    <w:p>
      <w:pPr>
        <w:spacing w:after="0" w:line="38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6.2.2. Upon the occurrence of an Accelerated Trigger Quarter, the</w:t>
      </w:r>
    </w:p>
    <w:p>
      <w:pPr>
        <w:ind w:left="1048"/>
        <w:spacing w:after="0"/>
        <w:rPr>
          <w:sz w:val="20"/>
          <w:szCs w:val="20"/>
          <w:color w:val="auto"/>
        </w:rPr>
      </w:pPr>
      <w:r>
        <w:rPr>
          <w:rFonts w:ascii="Courier New" w:cs="Courier New" w:eastAsia="Courier New" w:hAnsi="Courier New"/>
          <w:sz w:val="12"/>
          <w:szCs w:val="12"/>
          <w:color w:val="auto"/>
        </w:rPr>
        <w:t>Borrower shall, immediately and on a PRO RATA basis, prepay the</w:t>
      </w:r>
    </w:p>
    <w:p>
      <w:pPr>
        <w:ind w:left="1048"/>
        <w:spacing w:after="0" w:line="237" w:lineRule="auto"/>
        <w:rPr>
          <w:sz w:val="20"/>
          <w:szCs w:val="20"/>
          <w:color w:val="auto"/>
        </w:rPr>
      </w:pPr>
      <w:r>
        <w:rPr>
          <w:rFonts w:ascii="Courier New" w:cs="Courier New" w:eastAsia="Courier New" w:hAnsi="Courier New"/>
          <w:sz w:val="12"/>
          <w:szCs w:val="12"/>
          <w:color w:val="auto"/>
        </w:rPr>
        <w:t>Equipment Loans to the Bank and/or deposit funds in the Charged</w:t>
      </w:r>
    </w:p>
    <w:p>
      <w:pPr>
        <w:sectPr>
          <w:pgSz w:w="11900" w:h="16902" w:orient="portrait"/>
          <w:cols w:equalWidth="0" w:num="1">
            <w:col w:w="10247"/>
          </w:cols>
          <w:pgMar w:left="212" w:top="137" w:right="1440" w:bottom="0" w:gutter="0" w:footer="0" w:header="0"/>
        </w:sectPr>
      </w:pPr>
    </w:p>
    <w:bookmarkStart w:id="95" w:name="page96"/>
    <w:bookmarkEnd w:id="95"/>
    <w:p>
      <w:pPr>
        <w:ind w:left="1048"/>
        <w:spacing w:after="0"/>
        <w:rPr>
          <w:sz w:val="20"/>
          <w:szCs w:val="20"/>
          <w:color w:val="auto"/>
        </w:rPr>
      </w:pPr>
      <w:r>
        <w:rPr>
          <w:rFonts w:ascii="Courier New" w:cs="Courier New" w:eastAsia="Courier New" w:hAnsi="Courier New"/>
          <w:sz w:val="12"/>
          <w:szCs w:val="12"/>
          <w:color w:val="auto"/>
        </w:rPr>
        <w:t>Account with respect to Equipment L/C's issued by the Bank at a</w:t>
      </w:r>
    </w:p>
    <w:p>
      <w:pPr>
        <w:ind w:left="1048"/>
        <w:spacing w:after="0"/>
        <w:rPr>
          <w:sz w:val="20"/>
          <w:szCs w:val="20"/>
          <w:color w:val="auto"/>
        </w:rPr>
      </w:pPr>
      <w:r>
        <w:rPr>
          <w:rFonts w:ascii="Courier New" w:cs="Courier New" w:eastAsia="Courier New" w:hAnsi="Courier New"/>
          <w:sz w:val="12"/>
          <w:szCs w:val="12"/>
          <w:color w:val="auto"/>
        </w:rPr>
        <w:t>rate of US $ 6,250,000 (six million two hundred and fifty</w:t>
      </w:r>
    </w:p>
    <w:p>
      <w:pPr>
        <w:ind w:left="1048"/>
        <w:spacing w:after="0" w:line="237" w:lineRule="auto"/>
        <w:rPr>
          <w:sz w:val="20"/>
          <w:szCs w:val="20"/>
          <w:color w:val="auto"/>
        </w:rPr>
      </w:pPr>
      <w:r>
        <w:rPr>
          <w:rFonts w:ascii="Courier New" w:cs="Courier New" w:eastAsia="Courier New" w:hAnsi="Courier New"/>
          <w:sz w:val="12"/>
          <w:szCs w:val="12"/>
          <w:color w:val="auto"/>
        </w:rPr>
        <w:t>thousand United States Dollars) per Quarter, commencing on the</w:t>
      </w:r>
    </w:p>
    <w:p>
      <w:pPr>
        <w:ind w:left="1048"/>
        <w:spacing w:after="0"/>
        <w:rPr>
          <w:sz w:val="20"/>
          <w:szCs w:val="20"/>
          <w:color w:val="auto"/>
        </w:rPr>
      </w:pPr>
      <w:r>
        <w:rPr>
          <w:rFonts w:ascii="Courier New" w:cs="Courier New" w:eastAsia="Courier New" w:hAnsi="Courier New"/>
          <w:sz w:val="12"/>
          <w:szCs w:val="12"/>
          <w:color w:val="auto"/>
        </w:rPr>
        <w:t>last Business Day of each Quarter following the Accelerated</w:t>
      </w:r>
    </w:p>
    <w:p>
      <w:pPr>
        <w:ind w:left="1048"/>
        <w:spacing w:after="0" w:line="237" w:lineRule="auto"/>
        <w:rPr>
          <w:sz w:val="20"/>
          <w:szCs w:val="20"/>
          <w:color w:val="auto"/>
        </w:rPr>
      </w:pPr>
      <w:r>
        <w:rPr>
          <w:rFonts w:ascii="Courier New" w:cs="Courier New" w:eastAsia="Courier New" w:hAnsi="Courier New"/>
          <w:sz w:val="12"/>
          <w:szCs w:val="12"/>
          <w:color w:val="auto"/>
        </w:rPr>
        <w:t>Trigger Quarter until the Equipment Loans are fully paid and</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until there shall have been deposited in the Charged Account with</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Bank and duly pledged in accordance with clause 4.3.2.4</w:t>
      </w:r>
    </w:p>
    <w:p>
      <w:pPr>
        <w:ind w:left="1048"/>
        <w:spacing w:after="0"/>
        <w:rPr>
          <w:sz w:val="20"/>
          <w:szCs w:val="20"/>
          <w:color w:val="auto"/>
        </w:rPr>
      </w:pPr>
      <w:r>
        <w:rPr>
          <w:rFonts w:ascii="Courier New" w:cs="Courier New" w:eastAsia="Courier New" w:hAnsi="Courier New"/>
          <w:sz w:val="12"/>
          <w:szCs w:val="12"/>
          <w:color w:val="auto"/>
        </w:rPr>
        <w:t>above, an amount equal to Maximum Drawing Amounts of all</w:t>
      </w:r>
    </w:p>
    <w:p>
      <w:pPr>
        <w:ind w:left="1048"/>
        <w:spacing w:after="0" w:line="237" w:lineRule="auto"/>
        <w:rPr>
          <w:sz w:val="20"/>
          <w:szCs w:val="20"/>
          <w:color w:val="auto"/>
        </w:rPr>
      </w:pPr>
      <w:r>
        <w:rPr>
          <w:rFonts w:ascii="Courier New" w:cs="Courier New" w:eastAsia="Courier New" w:hAnsi="Courier New"/>
          <w:sz w:val="12"/>
          <w:szCs w:val="12"/>
          <w:color w:val="auto"/>
        </w:rPr>
        <w:t>outstanding Equipment L/C's issued by the Bank.</w:t>
      </w:r>
    </w:p>
    <w:p>
      <w:pPr>
        <w:spacing w:after="0" w:line="134"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For the avoidance of doubt and by way of illustration only, if</w:t>
      </w:r>
    </w:p>
    <w:p>
      <w:pPr>
        <w:ind w:left="1048"/>
        <w:spacing w:after="0"/>
        <w:rPr>
          <w:sz w:val="20"/>
          <w:szCs w:val="20"/>
          <w:color w:val="auto"/>
        </w:rPr>
      </w:pPr>
      <w:r>
        <w:rPr>
          <w:rFonts w:ascii="Courier New" w:cs="Courier New" w:eastAsia="Courier New" w:hAnsi="Courier New"/>
          <w:sz w:val="12"/>
          <w:szCs w:val="12"/>
          <w:color w:val="auto"/>
        </w:rPr>
        <w:t>the Accelerated Trigger Quarter is the Quarter ended March 31,</w:t>
      </w:r>
    </w:p>
    <w:p>
      <w:pPr>
        <w:ind w:left="1048"/>
        <w:spacing w:after="0" w:line="237" w:lineRule="auto"/>
        <w:rPr>
          <w:sz w:val="20"/>
          <w:szCs w:val="20"/>
          <w:color w:val="auto"/>
        </w:rPr>
      </w:pPr>
      <w:r>
        <w:rPr>
          <w:rFonts w:ascii="Courier New" w:cs="Courier New" w:eastAsia="Courier New" w:hAnsi="Courier New"/>
          <w:sz w:val="12"/>
          <w:szCs w:val="12"/>
          <w:color w:val="auto"/>
        </w:rPr>
        <w:t>2008 and the then outstanding Equipment Facility Credits</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aggregate US $15,000,000 (fifteen million United States Dollars),</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consisting of US $12,000,000 (twelve million United States</w:t>
      </w:r>
    </w:p>
    <w:p>
      <w:pPr>
        <w:ind w:left="1048"/>
        <w:spacing w:after="0"/>
        <w:rPr>
          <w:sz w:val="20"/>
          <w:szCs w:val="20"/>
          <w:color w:val="auto"/>
        </w:rPr>
      </w:pPr>
      <w:r>
        <w:rPr>
          <w:rFonts w:ascii="Courier New" w:cs="Courier New" w:eastAsia="Courier New" w:hAnsi="Courier New"/>
          <w:sz w:val="12"/>
          <w:szCs w:val="12"/>
          <w:color w:val="auto"/>
        </w:rPr>
        <w:t>Dollars) of Equipment Loans and US $3,000,000 (three million</w:t>
      </w:r>
    </w:p>
    <w:p>
      <w:pPr>
        <w:ind w:left="1048"/>
        <w:spacing w:after="0" w:line="237" w:lineRule="auto"/>
        <w:rPr>
          <w:sz w:val="20"/>
          <w:szCs w:val="20"/>
          <w:color w:val="auto"/>
        </w:rPr>
      </w:pPr>
      <w:r>
        <w:rPr>
          <w:rFonts w:ascii="Courier New" w:cs="Courier New" w:eastAsia="Courier New" w:hAnsi="Courier New"/>
          <w:sz w:val="12"/>
          <w:szCs w:val="12"/>
          <w:color w:val="auto"/>
        </w:rPr>
        <w:t>United States Dollars) in Equipment L/C's, the Borrower shall</w:t>
      </w:r>
    </w:p>
    <w:p>
      <w:pPr>
        <w:ind w:left="1048"/>
        <w:spacing w:after="0"/>
        <w:rPr>
          <w:sz w:val="20"/>
          <w:szCs w:val="20"/>
          <w:color w:val="auto"/>
        </w:rPr>
      </w:pPr>
      <w:r>
        <w:rPr>
          <w:rFonts w:ascii="Courier New" w:cs="Courier New" w:eastAsia="Courier New" w:hAnsi="Courier New"/>
          <w:sz w:val="12"/>
          <w:szCs w:val="12"/>
          <w:color w:val="auto"/>
        </w:rPr>
        <w:t>prepay approximately US $5,000,000 (five million United States</w:t>
      </w:r>
    </w:p>
    <w:p>
      <w:pPr>
        <w:ind w:left="1048"/>
        <w:spacing w:after="0" w:line="237" w:lineRule="auto"/>
        <w:rPr>
          <w:sz w:val="20"/>
          <w:szCs w:val="20"/>
          <w:color w:val="auto"/>
        </w:rPr>
      </w:pPr>
      <w:r>
        <w:rPr>
          <w:rFonts w:ascii="Courier New" w:cs="Courier New" w:eastAsia="Courier New" w:hAnsi="Courier New"/>
          <w:sz w:val="12"/>
          <w:szCs w:val="12"/>
          <w:color w:val="auto"/>
        </w:rPr>
        <w:t>Dollars) in Equipment Loans and deposit approximately US</w:t>
      </w:r>
    </w:p>
    <w:p>
      <w:pPr>
        <w:ind w:left="1048"/>
        <w:spacing w:after="0"/>
        <w:rPr>
          <w:sz w:val="20"/>
          <w:szCs w:val="20"/>
          <w:color w:val="auto"/>
        </w:rPr>
      </w:pPr>
      <w:r>
        <w:rPr>
          <w:rFonts w:ascii="Courier New" w:cs="Courier New" w:eastAsia="Courier New" w:hAnsi="Courier New"/>
          <w:sz w:val="12"/>
          <w:szCs w:val="12"/>
          <w:color w:val="auto"/>
        </w:rPr>
        <w:t>$1,250,000 (one million two hundred and fifty thousand United</w:t>
      </w:r>
    </w:p>
    <w:p>
      <w:pPr>
        <w:ind w:left="1048"/>
        <w:spacing w:after="0" w:line="237" w:lineRule="auto"/>
        <w:rPr>
          <w:sz w:val="20"/>
          <w:szCs w:val="20"/>
          <w:color w:val="auto"/>
        </w:rPr>
      </w:pPr>
      <w:r>
        <w:rPr>
          <w:rFonts w:ascii="Courier New" w:cs="Courier New" w:eastAsia="Courier New" w:hAnsi="Courier New"/>
          <w:sz w:val="12"/>
          <w:szCs w:val="12"/>
          <w:color w:val="auto"/>
        </w:rPr>
        <w:t>States Dollars) in the Charged Account, duly pledged in</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accordance with clause 4.3.2.4 above, on the last Business Day of</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each of the Quarters ended in June, September and December, 2008.</w:t>
      </w:r>
    </w:p>
    <w:p>
      <w:pPr>
        <w:spacing w:after="0" w:line="141"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6.2.3. If and to the extent the Equipment L/C's in respect of which</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deposits have been made pursuant to clauses 6.2.1 and 6.2.2 above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expire without any drawdown by the beneficiary thereof or any</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other liability thereunder to the Bank and no Equipment Facility</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Event of Default shall have occurred and be continuing, such</w:t>
      </w:r>
    </w:p>
    <w:p>
      <w:pPr>
        <w:ind w:left="1048"/>
        <w:spacing w:after="0"/>
        <w:rPr>
          <w:sz w:val="20"/>
          <w:szCs w:val="20"/>
          <w:color w:val="auto"/>
        </w:rPr>
      </w:pPr>
      <w:r>
        <w:rPr>
          <w:rFonts w:ascii="Courier New" w:cs="Courier New" w:eastAsia="Courier New" w:hAnsi="Courier New"/>
          <w:sz w:val="12"/>
          <w:szCs w:val="12"/>
          <w:color w:val="auto"/>
        </w:rPr>
        <w:t>deposits shall be released to the Borrower.</w:t>
      </w:r>
    </w:p>
    <w:p>
      <w:pPr>
        <w:spacing w:after="0" w:line="138" w:lineRule="exact"/>
        <w:rPr>
          <w:sz w:val="20"/>
          <w:szCs w:val="20"/>
          <w:color w:val="auto"/>
        </w:rPr>
      </w:pPr>
    </w:p>
    <w:p>
      <w:pPr>
        <w:ind w:left="708" w:right="4619" w:hanging="350"/>
        <w:spacing w:after="0" w:line="237" w:lineRule="auto"/>
        <w:rPr>
          <w:sz w:val="20"/>
          <w:szCs w:val="20"/>
          <w:color w:val="auto"/>
        </w:rPr>
      </w:pPr>
      <w:r>
        <w:rPr>
          <w:rFonts w:ascii="Courier New" w:cs="Courier New" w:eastAsia="Courier New" w:hAnsi="Courier New"/>
          <w:sz w:val="12"/>
          <w:szCs w:val="12"/>
          <w:color w:val="auto"/>
        </w:rPr>
        <w:t>6.3. The provisions of clauses 8.2 ("NO REBORROWING OF MANDATORY PREPAYMENT"), 8.4 ("MANDATORY PREPAYMENT TOGETHER WITH INTEREST AND OTHER SUMS OWED"), 8.5 ("CURRENCY FOR MANDATORY PREPAYMENT") and 8.6 ("SCHEDULE FOR MANDATORY PREPAYMENT") of the Facility Agreement are hereby incorporated by reference and shall apply, MUTATIS MUTANDIS, as if all references to "Loans" were to "Equipment Loans".</w:t>
      </w:r>
    </w:p>
    <w:p>
      <w:pPr>
        <w:spacing w:after="0" w:line="271"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- 20 -</w:t>
      </w:r>
    </w:p>
    <w:p>
      <w:pPr>
        <w:spacing w:after="0" w:line="386" w:lineRule="exact"/>
        <w:rPr>
          <w:sz w:val="20"/>
          <w:szCs w:val="20"/>
          <w:color w:val="auto"/>
        </w:rPr>
      </w:pPr>
    </w:p>
    <w:p>
      <w:pPr>
        <w:ind w:left="348" w:hanging="348"/>
        <w:spacing w:after="0"/>
        <w:tabs>
          <w:tab w:leader="none" w:pos="348" w:val="left"/>
        </w:tabs>
        <w:numPr>
          <w:ilvl w:val="0"/>
          <w:numId w:val="13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7.1. INTEREST RATE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rate of Interest applicable to the Equipment Loans in respect of</w:t>
      </w:r>
    </w:p>
    <w:p>
      <w:pPr>
        <w:ind w:left="708"/>
        <w:spacing w:after="0"/>
        <w:rPr>
          <w:sz w:val="20"/>
          <w:szCs w:val="20"/>
          <w:color w:val="auto"/>
        </w:rPr>
      </w:pPr>
      <w:r>
        <w:rPr>
          <w:rFonts w:ascii="Courier New" w:cs="Courier New" w:eastAsia="Courier New" w:hAnsi="Courier New"/>
          <w:sz w:val="12"/>
          <w:szCs w:val="12"/>
          <w:color w:val="auto"/>
        </w:rPr>
        <w:t>each Interest Period (provided that the first Interest Period in</w:t>
      </w:r>
    </w:p>
    <w:p>
      <w:pPr>
        <w:ind w:left="708"/>
        <w:spacing w:after="0" w:line="237" w:lineRule="auto"/>
        <w:rPr>
          <w:sz w:val="20"/>
          <w:szCs w:val="20"/>
          <w:color w:val="auto"/>
        </w:rPr>
      </w:pPr>
      <w:r>
        <w:rPr>
          <w:rFonts w:ascii="Courier New" w:cs="Courier New" w:eastAsia="Courier New" w:hAnsi="Courier New"/>
          <w:sz w:val="12"/>
          <w:szCs w:val="12"/>
          <w:color w:val="auto"/>
        </w:rPr>
        <w:t>respect of any Equipment Loan made other than on the first day of a</w:t>
      </w:r>
    </w:p>
    <w:p>
      <w:pPr>
        <w:ind w:left="708"/>
        <w:spacing w:after="0"/>
        <w:rPr>
          <w:sz w:val="20"/>
          <w:szCs w:val="20"/>
          <w:color w:val="auto"/>
        </w:rPr>
      </w:pPr>
      <w:r>
        <w:rPr>
          <w:rFonts w:ascii="Courier New" w:cs="Courier New" w:eastAsia="Courier New" w:hAnsi="Courier New"/>
          <w:sz w:val="12"/>
          <w:szCs w:val="12"/>
          <w:color w:val="auto"/>
        </w:rPr>
        <w:t>Quarter, shall commence on the date of the making of such Equipment</w:t>
      </w:r>
    </w:p>
    <w:p>
      <w:pPr>
        <w:ind w:left="708"/>
        <w:spacing w:after="0" w:line="237" w:lineRule="auto"/>
        <w:rPr>
          <w:sz w:val="20"/>
          <w:szCs w:val="20"/>
          <w:color w:val="auto"/>
        </w:rPr>
      </w:pPr>
      <w:r>
        <w:rPr>
          <w:rFonts w:ascii="Courier New" w:cs="Courier New" w:eastAsia="Courier New" w:hAnsi="Courier New"/>
          <w:sz w:val="12"/>
          <w:szCs w:val="12"/>
          <w:color w:val="auto"/>
        </w:rPr>
        <w:t>Loan and end on the last Business Day of the Quarter in which such</w:t>
      </w:r>
    </w:p>
    <w:p>
      <w:pPr>
        <w:ind w:left="708"/>
        <w:spacing w:after="0"/>
        <w:rPr>
          <w:sz w:val="20"/>
          <w:szCs w:val="20"/>
          <w:color w:val="auto"/>
        </w:rPr>
      </w:pPr>
      <w:r>
        <w:rPr>
          <w:rFonts w:ascii="Courier New" w:cs="Courier New" w:eastAsia="Courier New" w:hAnsi="Courier New"/>
          <w:sz w:val="12"/>
          <w:szCs w:val="12"/>
          <w:color w:val="auto"/>
        </w:rPr>
        <w:t>Equipment Loan is made) shall be the sum of: (a) the rate per annum</w:t>
      </w:r>
    </w:p>
    <w:p>
      <w:pPr>
        <w:ind w:left="708"/>
        <w:spacing w:after="0" w:line="237" w:lineRule="auto"/>
        <w:rPr>
          <w:sz w:val="20"/>
          <w:szCs w:val="20"/>
          <w:color w:val="auto"/>
        </w:rPr>
      </w:pPr>
      <w:r>
        <w:rPr>
          <w:rFonts w:ascii="Courier New" w:cs="Courier New" w:eastAsia="Courier New" w:hAnsi="Courier New"/>
          <w:sz w:val="12"/>
          <w:szCs w:val="12"/>
          <w:color w:val="auto"/>
        </w:rPr>
        <w:t>determined to be LIBOR in accordance with clause 1.1.94 of the</w:t>
      </w:r>
    </w:p>
    <w:p>
      <w:pPr>
        <w:ind w:left="708"/>
        <w:spacing w:after="0"/>
        <w:rPr>
          <w:sz w:val="20"/>
          <w:szCs w:val="20"/>
          <w:color w:val="auto"/>
        </w:rPr>
      </w:pPr>
      <w:r>
        <w:rPr>
          <w:rFonts w:ascii="Courier New" w:cs="Courier New" w:eastAsia="Courier New" w:hAnsi="Courier New"/>
          <w:sz w:val="12"/>
          <w:szCs w:val="12"/>
          <w:color w:val="auto"/>
        </w:rPr>
        <w:t>Facility Agreement on the Interest Determination Date for such</w:t>
      </w:r>
    </w:p>
    <w:p>
      <w:pPr>
        <w:ind w:left="708"/>
        <w:spacing w:after="0" w:line="237" w:lineRule="auto"/>
        <w:rPr>
          <w:sz w:val="20"/>
          <w:szCs w:val="20"/>
          <w:color w:val="auto"/>
        </w:rPr>
      </w:pPr>
      <w:r>
        <w:rPr>
          <w:rFonts w:ascii="Courier New" w:cs="Courier New" w:eastAsia="Courier New" w:hAnsi="Courier New"/>
          <w:sz w:val="12"/>
          <w:szCs w:val="12"/>
          <w:color w:val="auto"/>
        </w:rPr>
        <w:t>Interest Period; and (b) 3% (three percent) per annum.</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7.2. ACCRUAL OF INTEREST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Interest as aforesaid in clause 7.1 above in respect of the Equipment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Loans shall accrue from day to day and shall be calculated on the</w:t>
      </w:r>
    </w:p>
    <w:p>
      <w:pPr>
        <w:ind w:left="708"/>
        <w:spacing w:after="0"/>
        <w:rPr>
          <w:sz w:val="20"/>
          <w:szCs w:val="20"/>
          <w:color w:val="auto"/>
        </w:rPr>
      </w:pPr>
      <w:r>
        <w:rPr>
          <w:rFonts w:ascii="Courier New" w:cs="Courier New" w:eastAsia="Courier New" w:hAnsi="Courier New"/>
          <w:sz w:val="12"/>
          <w:szCs w:val="12"/>
          <w:color w:val="auto"/>
        </w:rPr>
        <w:t>basis of the actual number of days elapsed and a 360 (three hundred</w:t>
      </w:r>
    </w:p>
    <w:p>
      <w:pPr>
        <w:ind w:left="708"/>
        <w:spacing w:after="0" w:line="237" w:lineRule="auto"/>
        <w:rPr>
          <w:sz w:val="20"/>
          <w:szCs w:val="20"/>
          <w:color w:val="auto"/>
        </w:rPr>
      </w:pPr>
      <w:r>
        <w:rPr>
          <w:rFonts w:ascii="Courier New" w:cs="Courier New" w:eastAsia="Courier New" w:hAnsi="Courier New"/>
          <w:sz w:val="12"/>
          <w:szCs w:val="12"/>
          <w:color w:val="auto"/>
        </w:rPr>
        <w:t>and sixty) day year.</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7.3. PAYMENT OF INTEREST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All Interest accrued as aforesaid in clause 7.2 above on the Equipment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Loans shall be paid on each Interest Payment Date and on the Final</w:t>
      </w:r>
    </w:p>
    <w:p>
      <w:pPr>
        <w:ind w:left="708"/>
        <w:spacing w:after="0"/>
        <w:rPr>
          <w:sz w:val="20"/>
          <w:szCs w:val="20"/>
          <w:color w:val="auto"/>
        </w:rPr>
      </w:pPr>
      <w:r>
        <w:rPr>
          <w:rFonts w:ascii="Courier New" w:cs="Courier New" w:eastAsia="Courier New" w:hAnsi="Courier New"/>
          <w:sz w:val="12"/>
          <w:szCs w:val="12"/>
          <w:color w:val="auto"/>
        </w:rPr>
        <w:t>Equipment Facility Maturity Date. The Borrower shall pay to the Bank</w:t>
      </w:r>
    </w:p>
    <w:p>
      <w:pPr>
        <w:ind w:left="708"/>
        <w:spacing w:after="0" w:line="237" w:lineRule="auto"/>
        <w:rPr>
          <w:sz w:val="20"/>
          <w:szCs w:val="20"/>
          <w:color w:val="auto"/>
        </w:rPr>
      </w:pPr>
      <w:r>
        <w:rPr>
          <w:rFonts w:ascii="Courier New" w:cs="Courier New" w:eastAsia="Courier New" w:hAnsi="Courier New"/>
          <w:sz w:val="12"/>
          <w:szCs w:val="12"/>
          <w:color w:val="auto"/>
        </w:rPr>
        <w:t>all Interest payable as aforesaid into the Charged Account.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7.4. SUBSTITUTE INTEREST RATES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provisions of clause 10 ("SUBSTITUTE INTEREST RATES") of the</w:t>
      </w:r>
    </w:p>
    <w:p>
      <w:pPr>
        <w:ind w:left="708"/>
        <w:spacing w:after="0"/>
        <w:rPr>
          <w:sz w:val="20"/>
          <w:szCs w:val="20"/>
          <w:color w:val="auto"/>
        </w:rPr>
      </w:pPr>
      <w:r>
        <w:rPr>
          <w:rFonts w:ascii="Courier New" w:cs="Courier New" w:eastAsia="Courier New" w:hAnsi="Courier New"/>
          <w:sz w:val="12"/>
          <w:szCs w:val="12"/>
          <w:color w:val="auto"/>
        </w:rPr>
        <w:t>Facility Agreement are hereby incorporated by reference and shall</w:t>
      </w:r>
    </w:p>
    <w:p>
      <w:pPr>
        <w:ind w:left="708"/>
        <w:spacing w:after="0" w:line="237" w:lineRule="auto"/>
        <w:rPr>
          <w:sz w:val="20"/>
          <w:szCs w:val="20"/>
          <w:color w:val="auto"/>
        </w:rPr>
      </w:pPr>
      <w:r>
        <w:rPr>
          <w:rFonts w:ascii="Courier New" w:cs="Courier New" w:eastAsia="Courier New" w:hAnsi="Courier New"/>
          <w:sz w:val="12"/>
          <w:szCs w:val="12"/>
          <w:color w:val="auto"/>
        </w:rPr>
        <w:t>apply, MUTATIS MUTANDIS, to this Agreement as if all references</w:t>
      </w:r>
    </w:p>
    <w:p>
      <w:pPr>
        <w:ind w:left="708"/>
        <w:spacing w:after="0"/>
        <w:rPr>
          <w:sz w:val="20"/>
          <w:szCs w:val="20"/>
          <w:color w:val="auto"/>
        </w:rPr>
      </w:pPr>
      <w:r>
        <w:rPr>
          <w:rFonts w:ascii="Courier New" w:cs="Courier New" w:eastAsia="Courier New" w:hAnsi="Courier New"/>
          <w:sz w:val="12"/>
          <w:szCs w:val="12"/>
          <w:color w:val="auto"/>
        </w:rPr>
        <w:t>therein to the "Banks" and the "Loans" were references to the "Bank"</w:t>
      </w:r>
    </w:p>
    <w:p>
      <w:pPr>
        <w:ind w:left="708"/>
        <w:spacing w:after="0" w:line="237" w:lineRule="auto"/>
        <w:rPr>
          <w:sz w:val="20"/>
          <w:szCs w:val="20"/>
          <w:color w:val="auto"/>
        </w:rPr>
      </w:pPr>
      <w:r>
        <w:rPr>
          <w:rFonts w:ascii="Courier New" w:cs="Courier New" w:eastAsia="Courier New" w:hAnsi="Courier New"/>
          <w:sz w:val="12"/>
          <w:szCs w:val="12"/>
          <w:color w:val="auto"/>
        </w:rPr>
        <w:t>and the "Equipment Loans".</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- 21 -</w:t>
      </w:r>
    </w:p>
    <w:p>
      <w:pPr>
        <w:spacing w:after="0" w:line="391" w:lineRule="exact"/>
        <w:rPr>
          <w:sz w:val="20"/>
          <w:szCs w:val="20"/>
          <w:color w:val="auto"/>
        </w:rPr>
      </w:pPr>
    </w:p>
    <w:p>
      <w:pPr>
        <w:ind w:left="348" w:right="7779" w:hanging="348"/>
        <w:spacing w:after="0" w:line="520" w:lineRule="auto"/>
        <w:tabs>
          <w:tab w:leader="none" w:pos="348" w:val="left"/>
        </w:tabs>
        <w:numPr>
          <w:ilvl w:val="0"/>
          <w:numId w:val="135"/>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COMMISSIONS, FEES AND EXPENSES 8.1. COMMITMENT COMMISSION</w:t>
      </w:r>
    </w:p>
    <w:p>
      <w:pPr>
        <w:ind w:left="708"/>
        <w:spacing w:after="0"/>
        <w:rPr>
          <w:sz w:val="20"/>
          <w:szCs w:val="20"/>
          <w:color w:val="auto"/>
        </w:rPr>
      </w:pPr>
      <w:r>
        <w:rPr>
          <w:rFonts w:ascii="Courier New" w:cs="Courier New" w:eastAsia="Courier New" w:hAnsi="Courier New"/>
          <w:sz w:val="11"/>
          <w:szCs w:val="11"/>
          <w:color w:val="auto"/>
        </w:rPr>
        <w:t>The Borrower shall, in respect of the Availability Period, pay to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Bank a Commitment commission at the rate per annum of 0.25% (nought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point two five percent) on the Available Loan Commitment from time to</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time as from the date of signature of this Agreement until the last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day of the Availability Period. Such fee shall accrue from day to day</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and shall be calculated on the basis of the actual number of days</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elapsed and a 360 (three hundred and sixty) day year and shall be paid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 arrears on each Interest Payment Date during the Availability</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Period and on the Termination Date. "AVAILABLE LOAN COMMITMENT" means,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at any time, the Commitment at such time, less: (a) all Equipment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Loans outstanding at such time; and (b) the Maximum Drawing Amount of</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Equipment L/Cs outstanding at such time.</w:t>
      </w:r>
    </w:p>
    <w:p>
      <w:pPr>
        <w:spacing w:after="0" w:line="139" w:lineRule="exact"/>
        <w:rPr>
          <w:sz w:val="20"/>
          <w:szCs w:val="20"/>
          <w:color w:val="auto"/>
        </w:rPr>
      </w:pPr>
    </w:p>
    <w:p>
      <w:pPr>
        <w:ind w:left="708" w:right="4619" w:hanging="350"/>
        <w:spacing w:after="0" w:line="237" w:lineRule="auto"/>
        <w:rPr>
          <w:sz w:val="20"/>
          <w:szCs w:val="20"/>
          <w:color w:val="auto"/>
        </w:rPr>
      </w:pPr>
      <w:r>
        <w:rPr>
          <w:rFonts w:ascii="Courier New" w:cs="Courier New" w:eastAsia="Courier New" w:hAnsi="Courier New"/>
          <w:sz w:val="12"/>
          <w:szCs w:val="12"/>
          <w:color w:val="auto"/>
        </w:rPr>
        <w:t>8.2. The provisions of clauses 11.3 ("LEGAL AND OTHER COSTS"), 11.5 ("STAMP DUTIES AND LIKE TAXES"), 11.6 ("OTHER COMMISSIONS, FEES AND EXPENSES"), 11.7 ("CURRENCY FOR PAYMENT") and 11.8 ("VAT") of the Facility Agreement are hereby incorporated by reference and shall apply, MUTATIS MUTANDIS, to this Agreement as if all references therein to the "Banks" and the "Facility" were references to the "Bank" and the "Equipment Facility".</w:t>
      </w:r>
    </w:p>
    <w:p>
      <w:pPr>
        <w:spacing w:after="0" w:line="137" w:lineRule="exact"/>
        <w:rPr>
          <w:sz w:val="20"/>
          <w:szCs w:val="20"/>
          <w:color w:val="auto"/>
        </w:rPr>
      </w:pPr>
    </w:p>
    <w:p>
      <w:pPr>
        <w:ind w:left="348" w:hanging="348"/>
        <w:spacing w:after="0"/>
        <w:tabs>
          <w:tab w:leader="none" w:pos="348"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TAXES; INCREASED COSTS; ILLEGALITY</w:t>
      </w:r>
    </w:p>
    <w:p>
      <w:pPr>
        <w:spacing w:after="0" w:line="138" w:lineRule="exact"/>
        <w:rPr>
          <w:rFonts w:ascii="Courier New" w:cs="Courier New" w:eastAsia="Courier New" w:hAnsi="Courier New"/>
          <w:sz w:val="12"/>
          <w:szCs w:val="12"/>
          <w:color w:val="auto"/>
        </w:rPr>
      </w:pPr>
    </w:p>
    <w:p>
      <w:pPr>
        <w:ind w:left="348"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provisions of clauses 12 ("TAXES"), 13 ("INCREASED COSTS") and 14 ("ILLEGALITY") of the Facility Agreement are hereby incorporated by reference and shall apply, MUTATIS MUTANDIS, to this Agreement as if all references to the "Banks", the "Loans" and the "Total Outstandings" therein were references to the "Bank", the "Equipment Loans" and the "sum in Dollars of the outstanding Equipment Loans at such time", respectively.</w:t>
      </w:r>
    </w:p>
    <w:p>
      <w:pPr>
        <w:spacing w:after="0" w:line="125"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w:t>
      </w:r>
    </w:p>
    <w:p>
      <w:pPr>
        <w:spacing w:after="0" w:line="138" w:lineRule="exact"/>
        <w:rPr>
          <w:rFonts w:ascii="Courier New" w:cs="Courier New" w:eastAsia="Courier New" w:hAnsi="Courier New"/>
          <w:sz w:val="12"/>
          <w:szCs w:val="12"/>
          <w:color w:val="auto"/>
        </w:rPr>
      </w:pPr>
    </w:p>
    <w:p>
      <w:pPr>
        <w:jc w:val="right"/>
        <w:ind w:left="708" w:right="4699" w:hanging="351"/>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10.1. The provisions of clause 15 of the Facility Agreement, as amended by Amendment No. 1, dated September 10, 2007, are hereby incorporated by</w:t>
      </w:r>
    </w:p>
    <w:p>
      <w:pPr>
        <w:sectPr>
          <w:pgSz w:w="11900" w:h="16838" w:orient="portrait"/>
          <w:cols w:equalWidth="0" w:num="1">
            <w:col w:w="10247"/>
          </w:cols>
          <w:pgMar w:left="212" w:top="137" w:right="1440" w:bottom="0" w:gutter="0" w:footer="0" w:header="0"/>
        </w:sectPr>
      </w:pPr>
    </w:p>
    <w:bookmarkStart w:id="96" w:name="page97"/>
    <w:bookmarkEnd w:id="96"/>
    <w:p>
      <w:pPr>
        <w:spacing w:after="0" w:line="6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reference and shall apply, MUTATIS MUTANDIS, to this Agreement as if</w:t>
      </w:r>
    </w:p>
    <w:p>
      <w:pPr>
        <w:ind w:left="708"/>
        <w:spacing w:after="0"/>
        <w:rPr>
          <w:sz w:val="20"/>
          <w:szCs w:val="20"/>
          <w:color w:val="auto"/>
        </w:rPr>
      </w:pPr>
      <w:r>
        <w:rPr>
          <w:rFonts w:ascii="Courier New" w:cs="Courier New" w:eastAsia="Courier New" w:hAnsi="Courier New"/>
          <w:sz w:val="12"/>
          <w:szCs w:val="12"/>
          <w:color w:val="auto"/>
        </w:rPr>
        <w:t>all references to the "Banks" therein were references to the "Bank".</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- 22 -</w:t>
      </w:r>
    </w:p>
    <w:p>
      <w:pPr>
        <w:spacing w:after="0" w:line="386"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2"/>
          <w:szCs w:val="12"/>
          <w:color w:val="auto"/>
        </w:rPr>
        <w:t>10.2. The Borrower confirms that this Agreement is a "Finance Document" as</w:t>
      </w:r>
    </w:p>
    <w:p>
      <w:pPr>
        <w:ind w:left="708"/>
        <w:spacing w:after="0"/>
        <w:rPr>
          <w:sz w:val="20"/>
          <w:szCs w:val="20"/>
          <w:color w:val="auto"/>
        </w:rPr>
      </w:pPr>
      <w:r>
        <w:rPr>
          <w:rFonts w:ascii="Courier New" w:cs="Courier New" w:eastAsia="Courier New" w:hAnsi="Courier New"/>
          <w:sz w:val="12"/>
          <w:szCs w:val="12"/>
          <w:color w:val="auto"/>
        </w:rPr>
        <w:t>defined in the Facility Agreement and that, for the avoidance of</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doubt, all references to a Finance Document in the Facility Agreement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are, INTER ALIA, references to this Agreement.</w:t>
      </w:r>
    </w:p>
    <w:p>
      <w:pPr>
        <w:spacing w:after="0" w:line="134" w:lineRule="exact"/>
        <w:rPr>
          <w:sz w:val="20"/>
          <w:szCs w:val="20"/>
          <w:color w:val="auto"/>
        </w:rPr>
      </w:pPr>
    </w:p>
    <w:p>
      <w:pPr>
        <w:ind w:left="348" w:hanging="348"/>
        <w:spacing w:after="0"/>
        <w:tabs>
          <w:tab w:leader="none" w:pos="348" w:val="left"/>
        </w:tabs>
        <w:numPr>
          <w:ilvl w:val="0"/>
          <w:numId w:val="137"/>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UNDERTAKINGS</w:t>
      </w:r>
    </w:p>
    <w:p>
      <w:pPr>
        <w:spacing w:after="0" w:line="138" w:lineRule="exact"/>
        <w:rPr>
          <w:rFonts w:ascii="Courier New" w:cs="Courier New" w:eastAsia="Courier New" w:hAnsi="Courier New"/>
          <w:sz w:val="12"/>
          <w:szCs w:val="12"/>
          <w:color w:val="auto"/>
        </w:rPr>
      </w:pPr>
    </w:p>
    <w:p>
      <w:pPr>
        <w:ind w:left="348"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Without derogating from the Borrower's obligations under the Finance Documents, including the Facility Agreement and the Debenture, the Borrower undertakes to the Bank that, so long as any sum remains payable by the Borrower under this Agreement or the Bank is under any obligation to provide any Financial Indebtedness to the Borrower:</w:t>
      </w:r>
    </w:p>
    <w:p>
      <w:pPr>
        <w:spacing w:after="0" w:line="135"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11.1. NEGATIVE PLEDGE</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Borrower shall not create or permit to subsist any Encumbrance on</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whole or any part of the Ramp-Up Equipment or the Charged Account,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save for Permitted Encumbrances.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11.2. DISPOSAL OF RAMP-UP EQUIPMENT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will not and will procure that none of its Subsidiaries</w:t>
      </w:r>
    </w:p>
    <w:p>
      <w:pPr>
        <w:ind w:left="708"/>
        <w:spacing w:after="0"/>
        <w:rPr>
          <w:sz w:val="20"/>
          <w:szCs w:val="20"/>
          <w:color w:val="auto"/>
        </w:rPr>
      </w:pPr>
      <w:r>
        <w:rPr>
          <w:rFonts w:ascii="Courier New" w:cs="Courier New" w:eastAsia="Courier New" w:hAnsi="Courier New"/>
          <w:sz w:val="12"/>
          <w:szCs w:val="12"/>
          <w:color w:val="auto"/>
        </w:rPr>
        <w:t>will, either in a single transaction or in a series of transactions,</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whether related or not and whether voluntarily or involuntarily, sell,</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transfer, lease or otherwise dispose of all or any part of or interest</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the Ramp-Up Equipment to any person, except with the prior written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consent of the Bank.</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11.3. INSUFFICIENCY IN CHARGED ACCOUNT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acknowledges that neither any insufficiency of funds in</w:t>
      </w:r>
    </w:p>
    <w:p>
      <w:pPr>
        <w:ind w:left="708"/>
        <w:spacing w:after="0"/>
        <w:rPr>
          <w:sz w:val="20"/>
          <w:szCs w:val="20"/>
          <w:color w:val="auto"/>
        </w:rPr>
      </w:pPr>
      <w:r>
        <w:rPr>
          <w:rFonts w:ascii="Courier New" w:cs="Courier New" w:eastAsia="Courier New" w:hAnsi="Courier New"/>
          <w:sz w:val="12"/>
          <w:szCs w:val="12"/>
          <w:color w:val="auto"/>
        </w:rPr>
        <w:t>the Charged Account, nor any inability to apply any fund in the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Charged Account against any or all amounts owing under this Agreement,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shall at any time limit, reduce or otherwise affect the Borrower's</w:t>
      </w:r>
    </w:p>
    <w:p>
      <w:pPr>
        <w:ind w:left="708"/>
        <w:spacing w:after="0"/>
        <w:rPr>
          <w:sz w:val="20"/>
          <w:szCs w:val="20"/>
          <w:color w:val="auto"/>
        </w:rPr>
      </w:pPr>
      <w:r>
        <w:rPr>
          <w:rFonts w:ascii="Courier New" w:cs="Courier New" w:eastAsia="Courier New" w:hAnsi="Courier New"/>
          <w:sz w:val="12"/>
          <w:szCs w:val="12"/>
          <w:color w:val="auto"/>
        </w:rPr>
        <w:t>payment obligations under this Agreement.</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11.4. FURTHER CHARGES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Without derogating from the Borrower's obligations under the Facility</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Agreement and Debenture, the Borrower undertakes that it shall, from</w:t>
      </w:r>
    </w:p>
    <w:p>
      <w:pPr>
        <w:ind w:left="708"/>
        <w:spacing w:after="0"/>
        <w:rPr>
          <w:sz w:val="20"/>
          <w:szCs w:val="20"/>
          <w:color w:val="auto"/>
        </w:rPr>
      </w:pPr>
      <w:r>
        <w:rPr>
          <w:rFonts w:ascii="Courier New" w:cs="Courier New" w:eastAsia="Courier New" w:hAnsi="Courier New"/>
          <w:sz w:val="12"/>
          <w:szCs w:val="12"/>
          <w:color w:val="auto"/>
        </w:rPr>
        <w:t>time to time as requested by the Bank, execute:</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- 23 -</w:t>
      </w:r>
    </w:p>
    <w:p>
      <w:pPr>
        <w:spacing w:after="0" w:line="38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11.4.1. a Supplement to the Debenture relating, INTER ALIA, to the</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Ramp-Up Equipment and other assets and rights required under the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Debenture to be pledged by way of first-ranking fixed charge in</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favour of the Banks, but not as yet specifically included in the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Debenture and shall cause such Supplement to be perfected and</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duly registered with the Registrar of Companies and the Registrar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of Pledges and the Borrower shall deliver all documents as</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referred to in clause 3.2 of the Debenture (MUTATIS MUTANDIS) and</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shall sign all other documents and forms required for the</w:t>
      </w:r>
    </w:p>
    <w:p>
      <w:pPr>
        <w:ind w:left="1048"/>
        <w:spacing w:after="0"/>
        <w:rPr>
          <w:sz w:val="20"/>
          <w:szCs w:val="20"/>
          <w:color w:val="auto"/>
        </w:rPr>
      </w:pPr>
      <w:r>
        <w:rPr>
          <w:rFonts w:ascii="Courier New" w:cs="Courier New" w:eastAsia="Courier New" w:hAnsi="Courier New"/>
          <w:sz w:val="12"/>
          <w:szCs w:val="12"/>
          <w:color w:val="auto"/>
        </w:rPr>
        <w:t>purposes of the aforegoing; provided that, if any Equipment</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Lender is not a Bank, the Borrower undertakes promptly to execute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such further documents evidencing the pledge of the Ramp-Up</w:t>
      </w:r>
    </w:p>
    <w:p>
      <w:pPr>
        <w:ind w:left="1048"/>
        <w:spacing w:after="0"/>
        <w:rPr>
          <w:sz w:val="20"/>
          <w:szCs w:val="20"/>
          <w:color w:val="auto"/>
        </w:rPr>
      </w:pPr>
      <w:r>
        <w:rPr>
          <w:rFonts w:ascii="Courier New" w:cs="Courier New" w:eastAsia="Courier New" w:hAnsi="Courier New"/>
          <w:sz w:val="12"/>
          <w:szCs w:val="12"/>
          <w:color w:val="auto"/>
        </w:rPr>
        <w:t>Equipment by way of first-ranking fixed charge in favour of the</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Bank in such forms as shall be requested by the Bank from time to</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time;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11.4.2. notices of assignment by way of charge of all Material</w:t>
      </w:r>
    </w:p>
    <w:p>
      <w:pPr>
        <w:ind w:left="1048"/>
        <w:spacing w:after="0"/>
        <w:rPr>
          <w:sz w:val="20"/>
          <w:szCs w:val="20"/>
          <w:color w:val="auto"/>
        </w:rPr>
      </w:pPr>
      <w:r>
        <w:rPr>
          <w:rFonts w:ascii="Courier New" w:cs="Courier New" w:eastAsia="Courier New" w:hAnsi="Courier New"/>
          <w:sz w:val="12"/>
          <w:szCs w:val="12"/>
          <w:color w:val="auto"/>
        </w:rPr>
        <w:t>Contracts relating to the Ramp-Up Equipment (other than those</w:t>
      </w:r>
    </w:p>
    <w:p>
      <w:pPr>
        <w:ind w:left="1048"/>
        <w:spacing w:after="0" w:line="237" w:lineRule="auto"/>
        <w:rPr>
          <w:sz w:val="20"/>
          <w:szCs w:val="20"/>
          <w:color w:val="auto"/>
        </w:rPr>
      </w:pPr>
      <w:r>
        <w:rPr>
          <w:rFonts w:ascii="Courier New" w:cs="Courier New" w:eastAsia="Courier New" w:hAnsi="Courier New"/>
          <w:sz w:val="12"/>
          <w:szCs w:val="12"/>
          <w:color w:val="auto"/>
        </w:rPr>
        <w:t>referred to in clauses 1.1.36(c)(i) and (ii) of the Facility</w:t>
      </w:r>
    </w:p>
    <w:p>
      <w:pPr>
        <w:ind w:left="1048"/>
        <w:spacing w:after="0"/>
        <w:rPr>
          <w:sz w:val="20"/>
          <w:szCs w:val="20"/>
          <w:color w:val="auto"/>
        </w:rPr>
      </w:pPr>
      <w:r>
        <w:rPr>
          <w:rFonts w:ascii="Courier New" w:cs="Courier New" w:eastAsia="Courier New" w:hAnsi="Courier New"/>
          <w:sz w:val="12"/>
          <w:szCs w:val="12"/>
          <w:color w:val="auto"/>
        </w:rPr>
        <w:t>Agreement); and</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11.4.3. notices to insurers and acknowledgements of such notices, as</w:t>
      </w:r>
    </w:p>
    <w:p>
      <w:pPr>
        <w:ind w:left="1048"/>
        <w:spacing w:after="0"/>
        <w:rPr>
          <w:sz w:val="20"/>
          <w:szCs w:val="20"/>
          <w:color w:val="auto"/>
        </w:rPr>
      </w:pPr>
      <w:r>
        <w:rPr>
          <w:rFonts w:ascii="Courier New" w:cs="Courier New" w:eastAsia="Courier New" w:hAnsi="Courier New"/>
          <w:sz w:val="12"/>
          <w:szCs w:val="12"/>
          <w:color w:val="auto"/>
        </w:rPr>
        <w:t>referred to in clause 3.2 of the Debenture with respect to the</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Ramp-Up Equipment (other than under Insurance Policies in respect</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of liability of the Borrower to third parties or of liability of</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Borrower for damage to property of third parties or of the</w:t>
      </w:r>
    </w:p>
    <w:p>
      <w:pPr>
        <w:ind w:left="1048"/>
        <w:spacing w:after="0"/>
        <w:rPr>
          <w:sz w:val="20"/>
          <w:szCs w:val="20"/>
          <w:color w:val="auto"/>
        </w:rPr>
      </w:pPr>
      <w:r>
        <w:rPr>
          <w:rFonts w:ascii="Courier New" w:cs="Courier New" w:eastAsia="Courier New" w:hAnsi="Courier New"/>
          <w:sz w:val="12"/>
          <w:szCs w:val="12"/>
          <w:color w:val="auto"/>
        </w:rPr>
        <w:t>type listed in Schedule 16.10.6(d) to the Facility Agreement).</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11.5. EQUIPMENT L/CS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Upon the issuance of each Equipment L/C, the Borrower shall promptly</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give TIC written notice of the terms and conditions thereof, including</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amount to be paid thereunder and the expiry date thereof, which</w:t>
      </w:r>
    </w:p>
    <w:p>
      <w:pPr>
        <w:ind w:left="708"/>
        <w:spacing w:after="0"/>
        <w:rPr>
          <w:sz w:val="20"/>
          <w:szCs w:val="20"/>
          <w:color w:val="auto"/>
        </w:rPr>
      </w:pPr>
      <w:r>
        <w:rPr>
          <w:rFonts w:ascii="Courier New" w:cs="Courier New" w:eastAsia="Courier New" w:hAnsi="Courier New"/>
          <w:sz w:val="12"/>
          <w:szCs w:val="12"/>
          <w:color w:val="auto"/>
        </w:rPr>
        <w:t>notification shall include a reference to the Undertaking and TIC's</w:t>
      </w:r>
    </w:p>
    <w:p>
      <w:pPr>
        <w:ind w:left="708"/>
        <w:spacing w:after="0" w:line="237" w:lineRule="auto"/>
        <w:rPr>
          <w:sz w:val="20"/>
          <w:szCs w:val="20"/>
          <w:color w:val="auto"/>
        </w:rPr>
      </w:pPr>
      <w:r>
        <w:rPr>
          <w:rFonts w:ascii="Courier New" w:cs="Courier New" w:eastAsia="Courier New" w:hAnsi="Courier New"/>
          <w:sz w:val="12"/>
          <w:szCs w:val="12"/>
          <w:color w:val="auto"/>
        </w:rPr>
        <w:t>responsibility to provide Permitted Subordinated TIC Debt in</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connection therewith. The Borrower shall, at the same time as it gives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such notice to TIC, provide the Bank with a copy thereof.</w:t>
      </w:r>
    </w:p>
    <w:p>
      <w:pPr>
        <w:spacing w:after="0" w:line="134" w:lineRule="exact"/>
        <w:rPr>
          <w:sz w:val="20"/>
          <w:szCs w:val="20"/>
          <w:color w:val="auto"/>
        </w:rPr>
      </w:pPr>
    </w:p>
    <w:p>
      <w:pPr>
        <w:ind w:left="348" w:hanging="348"/>
        <w:spacing w:after="0"/>
        <w:tabs>
          <w:tab w:leader="none" w:pos="348" w:val="left"/>
        </w:tabs>
        <w:numPr>
          <w:ilvl w:val="0"/>
          <w:numId w:val="1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DEFAULT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12.1. EVENTS OF DEFAULT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Each of the events set out in clause 12.2 to clause 12.9 is an event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of default ("AN EQUIPMENT FACILITY EVENT OF DEFAULT") (whether or not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caused by any reason outside the control of the Borrower or of any</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other person). Promptly after the occurrence of an Equipment Facility</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Event of Default, the Borrower will notify the Bank that such</w:t>
      </w:r>
    </w:p>
    <w:p>
      <w:pPr>
        <w:ind w:left="708"/>
        <w:spacing w:after="0"/>
        <w:rPr>
          <w:sz w:val="20"/>
          <w:szCs w:val="20"/>
          <w:color w:val="auto"/>
        </w:rPr>
      </w:pPr>
      <w:r>
        <w:rPr>
          <w:rFonts w:ascii="Courier New" w:cs="Courier New" w:eastAsia="Courier New" w:hAnsi="Courier New"/>
          <w:sz w:val="12"/>
          <w:szCs w:val="12"/>
          <w:color w:val="auto"/>
        </w:rPr>
        <w:t>Equipment Facility Event of Default has occurred.</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- 24 -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12.2. NON-PAYMENT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does not pay any amount payable by it under this</w:t>
      </w:r>
    </w:p>
    <w:p>
      <w:pPr>
        <w:ind w:left="708"/>
        <w:spacing w:after="0"/>
        <w:rPr>
          <w:sz w:val="20"/>
          <w:szCs w:val="20"/>
          <w:color w:val="auto"/>
        </w:rPr>
      </w:pPr>
      <w:r>
        <w:rPr>
          <w:rFonts w:ascii="Courier New" w:cs="Courier New" w:eastAsia="Courier New" w:hAnsi="Courier New"/>
          <w:sz w:val="12"/>
          <w:szCs w:val="12"/>
          <w:color w:val="auto"/>
        </w:rPr>
        <w:t>Agreement at the place and in the funds expressed to be payable,</w:t>
      </w:r>
    </w:p>
    <w:p>
      <w:pPr>
        <w:ind w:left="708"/>
        <w:spacing w:after="0" w:line="237" w:lineRule="auto"/>
        <w:rPr>
          <w:sz w:val="20"/>
          <w:szCs w:val="20"/>
          <w:color w:val="auto"/>
        </w:rPr>
      </w:pPr>
      <w:r>
        <w:rPr>
          <w:rFonts w:ascii="Courier New" w:cs="Courier New" w:eastAsia="Courier New" w:hAnsi="Courier New"/>
          <w:sz w:val="12"/>
          <w:szCs w:val="12"/>
          <w:color w:val="auto"/>
        </w:rPr>
        <w:t>within the earlier of: (a) 7 (seven) Business Days; or (b) 10 (ten)</w:t>
      </w:r>
    </w:p>
    <w:p>
      <w:pPr>
        <w:ind w:left="708"/>
        <w:spacing w:after="0"/>
        <w:rPr>
          <w:sz w:val="20"/>
          <w:szCs w:val="20"/>
          <w:color w:val="auto"/>
        </w:rPr>
      </w:pPr>
      <w:r>
        <w:rPr>
          <w:rFonts w:ascii="Courier New" w:cs="Courier New" w:eastAsia="Courier New" w:hAnsi="Courier New"/>
          <w:sz w:val="12"/>
          <w:szCs w:val="12"/>
          <w:color w:val="auto"/>
        </w:rPr>
        <w:t>days, of the due date for payment.</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12.3. BREACH OF OBLIGATIONS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There is any breach of any undertaking by the Borrower in this</w:t>
      </w:r>
    </w:p>
    <w:p>
      <w:pPr>
        <w:ind w:left="708"/>
        <w:spacing w:after="0"/>
        <w:rPr>
          <w:sz w:val="20"/>
          <w:szCs w:val="20"/>
          <w:color w:val="auto"/>
        </w:rPr>
      </w:pPr>
      <w:r>
        <w:rPr>
          <w:rFonts w:ascii="Courier New" w:cs="Courier New" w:eastAsia="Courier New" w:hAnsi="Courier New"/>
          <w:sz w:val="12"/>
          <w:szCs w:val="12"/>
          <w:color w:val="auto"/>
        </w:rPr>
        <w:t>Agreement and, if such default is capable of remedy within such</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period, within 7 (seven) days after receipt by the Borrower of written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notice from the Banks requiring the failure to be remedied, the</w:t>
      </w:r>
    </w:p>
    <w:p>
      <w:pPr>
        <w:ind w:left="708"/>
        <w:spacing w:after="0"/>
        <w:rPr>
          <w:sz w:val="20"/>
          <w:szCs w:val="20"/>
          <w:color w:val="auto"/>
        </w:rPr>
      </w:pPr>
      <w:r>
        <w:rPr>
          <w:rFonts w:ascii="Courier New" w:cs="Courier New" w:eastAsia="Courier New" w:hAnsi="Courier New"/>
          <w:sz w:val="12"/>
          <w:szCs w:val="12"/>
          <w:color w:val="auto"/>
        </w:rPr>
        <w:t>Borrower shall have failed to cure such default.</w:t>
      </w:r>
    </w:p>
    <w:p>
      <w:pPr>
        <w:sectPr>
          <w:pgSz w:w="11900" w:h="16903" w:orient="portrait"/>
          <w:cols w:equalWidth="0" w:num="1">
            <w:col w:w="10247"/>
          </w:cols>
          <w:pgMar w:left="212" w:top="137" w:right="1440" w:bottom="0" w:gutter="0" w:footer="0" w:header="0"/>
        </w:sectPr>
      </w:pPr>
    </w:p>
    <w:bookmarkStart w:id="97" w:name="page98"/>
    <w:bookmarkEnd w:id="97"/>
    <w:p>
      <w:pPr>
        <w:spacing w:after="0"/>
        <w:rPr>
          <w:sz w:val="20"/>
          <w:szCs w:val="20"/>
          <w:color w:val="auto"/>
        </w:rPr>
      </w:pPr>
      <w:r>
        <w:rPr>
          <w:rFonts w:ascii="Courier New" w:cs="Courier New" w:eastAsia="Courier New" w:hAnsi="Courier New"/>
          <w:sz w:val="12"/>
          <w:szCs w:val="12"/>
          <w:color w:val="auto"/>
        </w:rPr>
        <w:t>12.4. MISREPRESENTATION/BREACH OF WARRANTIES</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Any representation or warranty made or repeated by or on behalf of the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Borrower in this Agreement (including through incorporation by</w:t>
      </w:r>
    </w:p>
    <w:p>
      <w:pPr>
        <w:ind w:left="360"/>
        <w:spacing w:after="0"/>
        <w:rPr>
          <w:sz w:val="20"/>
          <w:szCs w:val="20"/>
          <w:color w:val="auto"/>
        </w:rPr>
      </w:pPr>
      <w:r>
        <w:rPr>
          <w:rFonts w:ascii="Courier New" w:cs="Courier New" w:eastAsia="Courier New" w:hAnsi="Courier New"/>
          <w:sz w:val="12"/>
          <w:szCs w:val="12"/>
          <w:color w:val="auto"/>
        </w:rPr>
        <w:t>reference into this Agreement), or in any certificate or statement</w:t>
      </w:r>
    </w:p>
    <w:p>
      <w:pPr>
        <w:ind w:left="360"/>
        <w:spacing w:after="0" w:line="237" w:lineRule="auto"/>
        <w:rPr>
          <w:sz w:val="20"/>
          <w:szCs w:val="20"/>
          <w:color w:val="auto"/>
        </w:rPr>
      </w:pPr>
      <w:r>
        <w:rPr>
          <w:rFonts w:ascii="Courier New" w:cs="Courier New" w:eastAsia="Courier New" w:hAnsi="Courier New"/>
          <w:sz w:val="12"/>
          <w:szCs w:val="12"/>
          <w:color w:val="auto"/>
        </w:rPr>
        <w:t>delivered by or on behalf of the Borrower or under this Agreement is</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incorrect or misleading in any material respect when made or deemed to</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be made or repeated.</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12.5. INVALIDITY</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This Agreement shall cease to be in full force and effect in any</w:t>
      </w:r>
    </w:p>
    <w:p>
      <w:pPr>
        <w:ind w:left="360"/>
        <w:spacing w:after="0"/>
        <w:rPr>
          <w:sz w:val="20"/>
          <w:szCs w:val="20"/>
          <w:color w:val="auto"/>
        </w:rPr>
      </w:pPr>
      <w:r>
        <w:rPr>
          <w:rFonts w:ascii="Courier New" w:cs="Courier New" w:eastAsia="Courier New" w:hAnsi="Courier New"/>
          <w:sz w:val="12"/>
          <w:szCs w:val="12"/>
          <w:color w:val="auto"/>
        </w:rPr>
        <w:t>respect or shall cease to constitute the legal, valid, binding and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enforceable obligation of the Borrower or in the case of any Security</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Document, fail to provide effective perfected security in favour of</w:t>
      </w:r>
    </w:p>
    <w:p>
      <w:pPr>
        <w:ind w:left="360"/>
        <w:spacing w:after="0"/>
        <w:rPr>
          <w:sz w:val="20"/>
          <w:szCs w:val="20"/>
          <w:color w:val="auto"/>
        </w:rPr>
      </w:pPr>
      <w:r>
        <w:rPr>
          <w:rFonts w:ascii="Courier New" w:cs="Courier New" w:eastAsia="Courier New" w:hAnsi="Courier New"/>
          <w:sz w:val="12"/>
          <w:szCs w:val="12"/>
          <w:color w:val="auto"/>
        </w:rPr>
        <w:t>the Bank over the Ramp-Up Equipment.</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12.6. DEFAULT UNDER THE FACILITY AGREEMENT</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A Default or Event of Default has occurred and is continuing. For the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avoidance of doubt, default under or a breach of the terms and</w:t>
      </w:r>
    </w:p>
    <w:p>
      <w:pPr>
        <w:ind w:left="360"/>
        <w:spacing w:after="0"/>
        <w:rPr>
          <w:sz w:val="20"/>
          <w:szCs w:val="20"/>
          <w:color w:val="auto"/>
        </w:rPr>
      </w:pPr>
      <w:r>
        <w:rPr>
          <w:rFonts w:ascii="Courier New" w:cs="Courier New" w:eastAsia="Courier New" w:hAnsi="Courier New"/>
          <w:sz w:val="12"/>
          <w:szCs w:val="12"/>
          <w:color w:val="auto"/>
        </w:rPr>
        <w:t>conditions of Permitted Subordinated Debt (including the Permitted</w:t>
      </w:r>
    </w:p>
    <w:p>
      <w:pPr>
        <w:ind w:left="360"/>
        <w:spacing w:after="0" w:line="237" w:lineRule="auto"/>
        <w:rPr>
          <w:sz w:val="20"/>
          <w:szCs w:val="20"/>
          <w:color w:val="auto"/>
        </w:rPr>
      </w:pPr>
      <w:r>
        <w:rPr>
          <w:rFonts w:ascii="Courier New" w:cs="Courier New" w:eastAsia="Courier New" w:hAnsi="Courier New"/>
          <w:sz w:val="12"/>
          <w:szCs w:val="12"/>
          <w:color w:val="auto"/>
        </w:rPr>
        <w:t>Subordinated TIC Debt) constitutes an Event of Default under clause</w:t>
      </w:r>
    </w:p>
    <w:p>
      <w:pPr>
        <w:ind w:left="360"/>
        <w:spacing w:after="0"/>
        <w:rPr>
          <w:sz w:val="20"/>
          <w:szCs w:val="20"/>
          <w:color w:val="auto"/>
        </w:rPr>
      </w:pPr>
      <w:r>
        <w:rPr>
          <w:rFonts w:ascii="Courier New" w:cs="Courier New" w:eastAsia="Courier New" w:hAnsi="Courier New"/>
          <w:sz w:val="12"/>
          <w:szCs w:val="12"/>
          <w:color w:val="auto"/>
        </w:rPr>
        <w:t>17.6.5 of the Facility Agreement.</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- 25 -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12.7. NO ENCUMBRANCE</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There shall exist no Encumbrance over the Ramp-Up Equipment other than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Permitted Encumbrances.</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12.8. EXECUTION OR OTHER PROCESS</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Any execution, attachment, sequestration or other process arising out</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of any claim by any third party against the Borrower, save where: (a)</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the Borrower is in good faith on reasonable grounds, contesting the</w:t>
      </w:r>
    </w:p>
    <w:p>
      <w:pPr>
        <w:ind w:left="360"/>
        <w:spacing w:after="0"/>
        <w:rPr>
          <w:sz w:val="20"/>
          <w:szCs w:val="20"/>
          <w:color w:val="auto"/>
        </w:rPr>
      </w:pPr>
      <w:r>
        <w:rPr>
          <w:rFonts w:ascii="Courier New" w:cs="Courier New" w:eastAsia="Courier New" w:hAnsi="Courier New"/>
          <w:sz w:val="12"/>
          <w:szCs w:val="12"/>
          <w:color w:val="auto"/>
        </w:rPr>
        <w:t>execution, attachment, sequestration or other process by appropriate</w:t>
      </w:r>
    </w:p>
    <w:p>
      <w:pPr>
        <w:ind w:left="360"/>
        <w:spacing w:after="0" w:line="237" w:lineRule="auto"/>
        <w:rPr>
          <w:sz w:val="20"/>
          <w:szCs w:val="20"/>
          <w:color w:val="auto"/>
        </w:rPr>
      </w:pPr>
      <w:r>
        <w:rPr>
          <w:rFonts w:ascii="Courier New" w:cs="Courier New" w:eastAsia="Courier New" w:hAnsi="Courier New"/>
          <w:sz w:val="12"/>
          <w:szCs w:val="12"/>
          <w:color w:val="auto"/>
        </w:rPr>
        <w:t>Proceedings diligently pursued; (b) the Bank is satisfied that the</w:t>
      </w:r>
    </w:p>
    <w:p>
      <w:pPr>
        <w:ind w:left="360"/>
        <w:spacing w:after="0"/>
        <w:rPr>
          <w:sz w:val="20"/>
          <w:szCs w:val="20"/>
          <w:color w:val="auto"/>
        </w:rPr>
      </w:pPr>
      <w:r>
        <w:rPr>
          <w:rFonts w:ascii="Courier New" w:cs="Courier New" w:eastAsia="Courier New" w:hAnsi="Courier New"/>
          <w:sz w:val="12"/>
          <w:szCs w:val="12"/>
          <w:color w:val="auto"/>
        </w:rPr>
        <w:t>ability of the Borrower to comply with its respective obligations</w:t>
      </w:r>
    </w:p>
    <w:p>
      <w:pPr>
        <w:ind w:left="360"/>
        <w:spacing w:after="0" w:line="237" w:lineRule="auto"/>
        <w:rPr>
          <w:sz w:val="20"/>
          <w:szCs w:val="20"/>
          <w:color w:val="auto"/>
        </w:rPr>
      </w:pPr>
      <w:r>
        <w:rPr>
          <w:rFonts w:ascii="Courier New" w:cs="Courier New" w:eastAsia="Courier New" w:hAnsi="Courier New"/>
          <w:sz w:val="12"/>
          <w:szCs w:val="12"/>
          <w:color w:val="auto"/>
        </w:rPr>
        <w:t>under this Agreement will not be adversely affected whilst such</w:t>
      </w:r>
    </w:p>
    <w:p>
      <w:pPr>
        <w:ind w:left="360"/>
        <w:spacing w:after="0"/>
        <w:rPr>
          <w:sz w:val="20"/>
          <w:szCs w:val="20"/>
          <w:color w:val="auto"/>
        </w:rPr>
      </w:pPr>
      <w:r>
        <w:rPr>
          <w:rFonts w:ascii="Courier New" w:cs="Courier New" w:eastAsia="Courier New" w:hAnsi="Courier New"/>
          <w:sz w:val="12"/>
          <w:szCs w:val="12"/>
          <w:color w:val="auto"/>
        </w:rPr>
        <w:t>distress, execution, attachment, diligence or other process is being</w:t>
      </w:r>
    </w:p>
    <w:p>
      <w:pPr>
        <w:ind w:left="360"/>
        <w:spacing w:after="0" w:line="237" w:lineRule="auto"/>
        <w:rPr>
          <w:sz w:val="20"/>
          <w:szCs w:val="20"/>
          <w:color w:val="auto"/>
        </w:rPr>
      </w:pPr>
      <w:r>
        <w:rPr>
          <w:rFonts w:ascii="Courier New" w:cs="Courier New" w:eastAsia="Courier New" w:hAnsi="Courier New"/>
          <w:sz w:val="12"/>
          <w:szCs w:val="12"/>
          <w:color w:val="auto"/>
        </w:rPr>
        <w:t>so contested; and (c) such process as aforesaid is cancelled or</w:t>
      </w:r>
    </w:p>
    <w:p>
      <w:pPr>
        <w:ind w:left="360"/>
        <w:spacing w:after="0"/>
        <w:rPr>
          <w:sz w:val="20"/>
          <w:szCs w:val="20"/>
          <w:color w:val="auto"/>
        </w:rPr>
      </w:pPr>
      <w:r>
        <w:rPr>
          <w:rFonts w:ascii="Courier New" w:cs="Courier New" w:eastAsia="Courier New" w:hAnsi="Courier New"/>
          <w:sz w:val="12"/>
          <w:szCs w:val="12"/>
          <w:color w:val="auto"/>
        </w:rPr>
        <w:t>withdrawn not later than 45 (forty-five) days after the institution</w:t>
      </w:r>
    </w:p>
    <w:p>
      <w:pPr>
        <w:ind w:left="360"/>
        <w:spacing w:after="0" w:line="237" w:lineRule="auto"/>
        <w:rPr>
          <w:sz w:val="20"/>
          <w:szCs w:val="20"/>
          <w:color w:val="auto"/>
        </w:rPr>
      </w:pPr>
      <w:r>
        <w:rPr>
          <w:rFonts w:ascii="Courier New" w:cs="Courier New" w:eastAsia="Courier New" w:hAnsi="Courier New"/>
          <w:sz w:val="12"/>
          <w:szCs w:val="12"/>
          <w:color w:val="auto"/>
        </w:rPr>
        <w:t>thereof.</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12.9. TIC UNDERTAKING</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12.9.1. Any of the representations and warranties by TIC in the</w:t>
      </w:r>
    </w:p>
    <w:p>
      <w:pPr>
        <w:ind w:left="700"/>
        <w:spacing w:after="0"/>
        <w:rPr>
          <w:sz w:val="20"/>
          <w:szCs w:val="20"/>
          <w:color w:val="auto"/>
        </w:rPr>
      </w:pPr>
      <w:r>
        <w:rPr>
          <w:rFonts w:ascii="Courier New" w:cs="Courier New" w:eastAsia="Courier New" w:hAnsi="Courier New"/>
          <w:sz w:val="12"/>
          <w:szCs w:val="12"/>
          <w:color w:val="auto"/>
        </w:rPr>
        <w:t>Undertaking are incorrect or misleading in any material respect</w:t>
      </w:r>
    </w:p>
    <w:p>
      <w:pPr>
        <w:ind w:left="700"/>
        <w:spacing w:after="0" w:line="237" w:lineRule="auto"/>
        <w:rPr>
          <w:sz w:val="20"/>
          <w:szCs w:val="20"/>
          <w:color w:val="auto"/>
        </w:rPr>
      </w:pPr>
      <w:r>
        <w:rPr>
          <w:rFonts w:ascii="Courier New" w:cs="Courier New" w:eastAsia="Courier New" w:hAnsi="Courier New"/>
          <w:sz w:val="12"/>
          <w:szCs w:val="12"/>
          <w:color w:val="auto"/>
        </w:rPr>
        <w:t>when made or deemed to be made or repeated.</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12.9.2. TIC fails to comply with any undertaking or obligation</w:t>
      </w:r>
    </w:p>
    <w:p>
      <w:pPr>
        <w:ind w:left="700"/>
        <w:spacing w:after="0"/>
        <w:rPr>
          <w:sz w:val="20"/>
          <w:szCs w:val="20"/>
          <w:color w:val="auto"/>
        </w:rPr>
      </w:pPr>
      <w:r>
        <w:rPr>
          <w:rFonts w:ascii="Courier New" w:cs="Courier New" w:eastAsia="Courier New" w:hAnsi="Courier New"/>
          <w:sz w:val="12"/>
          <w:szCs w:val="12"/>
          <w:color w:val="auto"/>
        </w:rPr>
        <w:t>contained in the Undertaking and, if such default is capable of</w:t>
      </w:r>
    </w:p>
    <w:p>
      <w:pPr>
        <w:ind w:left="700"/>
        <w:spacing w:after="0" w:line="237" w:lineRule="auto"/>
        <w:rPr>
          <w:sz w:val="20"/>
          <w:szCs w:val="20"/>
          <w:color w:val="auto"/>
        </w:rPr>
      </w:pPr>
      <w:r>
        <w:rPr>
          <w:rFonts w:ascii="Courier New" w:cs="Courier New" w:eastAsia="Courier New" w:hAnsi="Courier New"/>
          <w:sz w:val="12"/>
          <w:szCs w:val="12"/>
          <w:color w:val="auto"/>
        </w:rPr>
        <w:t>remedy within such period, within 7 (seven) days after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earlier of TIC becoming aware of such default and receipt by TIC</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of written notice from the Bank requiring the failure to be</w:t>
      </w:r>
    </w:p>
    <w:p>
      <w:pPr>
        <w:ind w:left="700"/>
        <w:spacing w:after="0"/>
        <w:rPr>
          <w:sz w:val="20"/>
          <w:szCs w:val="20"/>
          <w:color w:val="auto"/>
        </w:rPr>
      </w:pPr>
      <w:r>
        <w:rPr>
          <w:rFonts w:ascii="Courier New" w:cs="Courier New" w:eastAsia="Courier New" w:hAnsi="Courier New"/>
          <w:sz w:val="12"/>
          <w:szCs w:val="12"/>
          <w:color w:val="auto"/>
        </w:rPr>
        <w:t>remedied, that TIC shall have failed to cure such default.</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12.9.3. The Undertaking shall cease to be in full force and effect in</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any material respect or shall cease to constitute the legal,</w:t>
      </w:r>
    </w:p>
    <w:p>
      <w:pPr>
        <w:ind w:left="700"/>
        <w:spacing w:after="0"/>
        <w:rPr>
          <w:sz w:val="20"/>
          <w:szCs w:val="20"/>
          <w:color w:val="auto"/>
        </w:rPr>
      </w:pPr>
      <w:r>
        <w:rPr>
          <w:rFonts w:ascii="Courier New" w:cs="Courier New" w:eastAsia="Courier New" w:hAnsi="Courier New"/>
          <w:sz w:val="12"/>
          <w:szCs w:val="12"/>
          <w:color w:val="auto"/>
        </w:rPr>
        <w:t>valid, binding and enforceable obligation of TIC or it shall be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unlawful for TIC to perform any of its material obligations under</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Undertaking, unless it expires in accordance with its terms.</w:t>
      </w:r>
    </w:p>
    <w:p>
      <w:pPr>
        <w:spacing w:after="0" w:line="141"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12.9.4. TIC repudiates the Undertaking.</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- 26 -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12.10. ACCELERATION</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Upon the occurrence of an Equipment Event of Default and at any time</w:t>
      </w:r>
    </w:p>
    <w:p>
      <w:pPr>
        <w:ind w:left="360"/>
        <w:spacing w:after="0"/>
        <w:rPr>
          <w:sz w:val="20"/>
          <w:szCs w:val="20"/>
          <w:color w:val="auto"/>
        </w:rPr>
      </w:pPr>
      <w:r>
        <w:rPr>
          <w:rFonts w:ascii="Courier New" w:cs="Courier New" w:eastAsia="Courier New" w:hAnsi="Courier New"/>
          <w:sz w:val="12"/>
          <w:szCs w:val="12"/>
          <w:color w:val="auto"/>
        </w:rPr>
        <w:t>thereafter while the same is continuing, the Bank may, by notice to</w:t>
      </w:r>
    </w:p>
    <w:p>
      <w:pPr>
        <w:ind w:left="360"/>
        <w:spacing w:after="0" w:line="237" w:lineRule="auto"/>
        <w:rPr>
          <w:sz w:val="20"/>
          <w:szCs w:val="20"/>
          <w:color w:val="auto"/>
        </w:rPr>
      </w:pPr>
      <w:r>
        <w:rPr>
          <w:rFonts w:ascii="Courier New" w:cs="Courier New" w:eastAsia="Courier New" w:hAnsi="Courier New"/>
          <w:sz w:val="12"/>
          <w:szCs w:val="12"/>
          <w:color w:val="auto"/>
        </w:rPr>
        <w:t>the Borrower:</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12.10.1. declare that an Equipment Facility Event of Default has</w:t>
      </w:r>
    </w:p>
    <w:p>
      <w:pPr>
        <w:ind w:left="700"/>
        <w:spacing w:after="0"/>
        <w:rPr>
          <w:sz w:val="20"/>
          <w:szCs w:val="20"/>
          <w:color w:val="auto"/>
        </w:rPr>
      </w:pPr>
      <w:r>
        <w:rPr>
          <w:rFonts w:ascii="Courier New" w:cs="Courier New" w:eastAsia="Courier New" w:hAnsi="Courier New"/>
          <w:sz w:val="12"/>
          <w:szCs w:val="12"/>
          <w:color w:val="auto"/>
        </w:rPr>
        <w:t>occurred; and/or</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12.10.2. declare that the Equipment Loans together with all Interest</w:t>
      </w:r>
    </w:p>
    <w:p>
      <w:pPr>
        <w:ind w:left="700"/>
        <w:spacing w:after="0"/>
        <w:rPr>
          <w:sz w:val="20"/>
          <w:szCs w:val="20"/>
          <w:color w:val="auto"/>
        </w:rPr>
      </w:pPr>
      <w:r>
        <w:rPr>
          <w:rFonts w:ascii="Courier New" w:cs="Courier New" w:eastAsia="Courier New" w:hAnsi="Courier New"/>
          <w:sz w:val="12"/>
          <w:szCs w:val="12"/>
          <w:color w:val="auto"/>
        </w:rPr>
        <w:t>accrued on all Equipment Loans and all other amounts (including</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amounts due under clause 14, to the extent applicable) payable by</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Borrower under this Agreement from time to time, shall</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thenceforth be repayable on demand being made by the Bank (and in</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event of any such demand, the Equipment Loans, such Interest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such other amounts shall be immediately due and payable);</w:t>
      </w:r>
    </w:p>
    <w:p>
      <w:pPr>
        <w:ind w:left="700"/>
        <w:spacing w:after="0"/>
        <w:rPr>
          <w:sz w:val="20"/>
          <w:szCs w:val="20"/>
          <w:color w:val="auto"/>
        </w:rPr>
      </w:pPr>
      <w:r>
        <w:rPr>
          <w:rFonts w:ascii="Courier New" w:cs="Courier New" w:eastAsia="Courier New" w:hAnsi="Courier New"/>
          <w:sz w:val="12"/>
          <w:szCs w:val="12"/>
          <w:color w:val="auto"/>
        </w:rPr>
        <w:t>and/or</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12.10.3. declare the Equipment Loans immediately due and payable,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whereupon they shall become immediately due and payable, together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with all Interest accrued on the Equipment Loans and all other</w:t>
      </w:r>
    </w:p>
    <w:p>
      <w:pPr>
        <w:ind w:left="700"/>
        <w:spacing w:after="0"/>
        <w:rPr>
          <w:sz w:val="20"/>
          <w:szCs w:val="20"/>
          <w:color w:val="auto"/>
        </w:rPr>
      </w:pPr>
      <w:r>
        <w:rPr>
          <w:rFonts w:ascii="Courier New" w:cs="Courier New" w:eastAsia="Courier New" w:hAnsi="Courier New"/>
          <w:sz w:val="12"/>
          <w:szCs w:val="12"/>
          <w:color w:val="auto"/>
        </w:rPr>
        <w:t>amounts payable by the Borrower (including, amounts due under</w:t>
      </w:r>
    </w:p>
    <w:p>
      <w:pPr>
        <w:ind w:left="700"/>
        <w:spacing w:after="0" w:line="237" w:lineRule="auto"/>
        <w:rPr>
          <w:sz w:val="20"/>
          <w:szCs w:val="20"/>
          <w:color w:val="auto"/>
        </w:rPr>
      </w:pPr>
      <w:r>
        <w:rPr>
          <w:rFonts w:ascii="Courier New" w:cs="Courier New" w:eastAsia="Courier New" w:hAnsi="Courier New"/>
          <w:sz w:val="12"/>
          <w:szCs w:val="12"/>
          <w:color w:val="auto"/>
        </w:rPr>
        <w:t>clause 14, to the extent applicable); and/or</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12.10.4. declare that the following amounts shall be payable on</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demand, or demand that the Borrower immediately place on deposit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in the Charged Account, such deposit to be duly charged, by way</w:t>
      </w:r>
    </w:p>
    <w:p>
      <w:pPr>
        <w:ind w:left="700"/>
        <w:spacing w:after="0"/>
        <w:rPr>
          <w:sz w:val="20"/>
          <w:szCs w:val="20"/>
          <w:color w:val="auto"/>
        </w:rPr>
      </w:pPr>
      <w:r>
        <w:rPr>
          <w:rFonts w:ascii="Courier New" w:cs="Courier New" w:eastAsia="Courier New" w:hAnsi="Courier New"/>
          <w:sz w:val="12"/>
          <w:szCs w:val="12"/>
          <w:color w:val="auto"/>
        </w:rPr>
        <w:t>of a first-ranking fixed pledge and charge, to the satisfaction</w:t>
      </w:r>
    </w:p>
    <w:p>
      <w:pPr>
        <w:ind w:left="700"/>
        <w:spacing w:after="0" w:line="237" w:lineRule="auto"/>
        <w:rPr>
          <w:sz w:val="20"/>
          <w:szCs w:val="20"/>
          <w:color w:val="auto"/>
        </w:rPr>
      </w:pPr>
      <w:r>
        <w:rPr>
          <w:rFonts w:ascii="Courier New" w:cs="Courier New" w:eastAsia="Courier New" w:hAnsi="Courier New"/>
          <w:sz w:val="12"/>
          <w:szCs w:val="12"/>
          <w:color w:val="auto"/>
        </w:rPr>
        <w:t>of the Bank, an aggregate amount equal to the aggregate Maximum</w:t>
      </w:r>
    </w:p>
    <w:p>
      <w:pPr>
        <w:ind w:left="700"/>
        <w:spacing w:after="0"/>
        <w:rPr>
          <w:sz w:val="20"/>
          <w:szCs w:val="20"/>
          <w:color w:val="auto"/>
        </w:rPr>
      </w:pPr>
      <w:r>
        <w:rPr>
          <w:rFonts w:ascii="Courier New" w:cs="Courier New" w:eastAsia="Courier New" w:hAnsi="Courier New"/>
          <w:sz w:val="12"/>
          <w:szCs w:val="12"/>
          <w:color w:val="auto"/>
        </w:rPr>
        <w:t>Drawing Amounts of all Equipment L/Cs issued by the Bank.</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12.11. EQUIPMENT LOANS DUE ON DEMAND</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If, pursuant to clause 12.10.2 above the Bank declares the Equipment</w:t>
      </w:r>
    </w:p>
    <w:p>
      <w:pPr>
        <w:ind w:left="360"/>
        <w:spacing w:after="0"/>
        <w:rPr>
          <w:sz w:val="20"/>
          <w:szCs w:val="20"/>
          <w:color w:val="auto"/>
        </w:rPr>
      </w:pPr>
      <w:r>
        <w:rPr>
          <w:rFonts w:ascii="Courier New" w:cs="Courier New" w:eastAsia="Courier New" w:hAnsi="Courier New"/>
          <w:sz w:val="12"/>
          <w:szCs w:val="12"/>
          <w:color w:val="auto"/>
        </w:rPr>
        <w:t>Loans to be due and payable on demand, then and at any time</w:t>
      </w:r>
    </w:p>
    <w:p>
      <w:pPr>
        <w:ind w:left="360"/>
        <w:spacing w:after="0" w:line="237" w:lineRule="auto"/>
        <w:rPr>
          <w:sz w:val="20"/>
          <w:szCs w:val="20"/>
          <w:color w:val="auto"/>
        </w:rPr>
      </w:pPr>
      <w:r>
        <w:rPr>
          <w:rFonts w:ascii="Courier New" w:cs="Courier New" w:eastAsia="Courier New" w:hAnsi="Courier New"/>
          <w:sz w:val="12"/>
          <w:szCs w:val="12"/>
          <w:color w:val="auto"/>
        </w:rPr>
        <w:t>thereafter, so long as any Equipment Facility Event of Default is</w:t>
      </w:r>
    </w:p>
    <w:p>
      <w:pPr>
        <w:ind w:left="360"/>
        <w:spacing w:after="0"/>
        <w:rPr>
          <w:sz w:val="20"/>
          <w:szCs w:val="20"/>
          <w:color w:val="auto"/>
        </w:rPr>
      </w:pPr>
      <w:r>
        <w:rPr>
          <w:rFonts w:ascii="Courier New" w:cs="Courier New" w:eastAsia="Courier New" w:hAnsi="Courier New"/>
          <w:sz w:val="12"/>
          <w:szCs w:val="12"/>
          <w:color w:val="auto"/>
        </w:rPr>
        <w:t>continuing or has not been waived, the Bank may by written notice to</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the Borrower require repayment of the Equipment Loans on such date as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the Bank may specify in such notice (whereupon the same shall become</w:t>
      </w:r>
    </w:p>
    <w:p>
      <w:pPr>
        <w:ind w:left="360"/>
        <w:spacing w:after="0"/>
        <w:rPr>
          <w:sz w:val="20"/>
          <w:szCs w:val="20"/>
          <w:color w:val="auto"/>
        </w:rPr>
      </w:pPr>
      <w:r>
        <w:rPr>
          <w:rFonts w:ascii="Courier New" w:cs="Courier New" w:eastAsia="Courier New" w:hAnsi="Courier New"/>
          <w:sz w:val="12"/>
          <w:szCs w:val="12"/>
          <w:color w:val="auto"/>
        </w:rPr>
        <w:t>due and payable on such date together with accrued Interest thereon</w:t>
      </w:r>
    </w:p>
    <w:p>
      <w:pPr>
        <w:ind w:left="360"/>
        <w:spacing w:after="0" w:line="237" w:lineRule="auto"/>
        <w:rPr>
          <w:sz w:val="20"/>
          <w:szCs w:val="20"/>
          <w:color w:val="auto"/>
        </w:rPr>
      </w:pPr>
      <w:r>
        <w:rPr>
          <w:rFonts w:ascii="Courier New" w:cs="Courier New" w:eastAsia="Courier New" w:hAnsi="Courier New"/>
          <w:sz w:val="12"/>
          <w:szCs w:val="12"/>
          <w:color w:val="auto"/>
        </w:rPr>
        <w:t>and any other sums then owed by the Borrower hereunder) or withdraw</w:t>
      </w:r>
    </w:p>
    <w:p>
      <w:pPr>
        <w:ind w:left="360"/>
        <w:spacing w:after="0"/>
        <w:rPr>
          <w:sz w:val="20"/>
          <w:szCs w:val="20"/>
          <w:color w:val="auto"/>
        </w:rPr>
      </w:pPr>
      <w:r>
        <w:rPr>
          <w:rFonts w:ascii="Courier New" w:cs="Courier New" w:eastAsia="Courier New" w:hAnsi="Courier New"/>
          <w:sz w:val="12"/>
          <w:szCs w:val="12"/>
          <w:color w:val="auto"/>
        </w:rPr>
        <w:t>such declaration with effect from such date as they may specify in</w:t>
      </w:r>
    </w:p>
    <w:p>
      <w:pPr>
        <w:ind w:left="360"/>
        <w:spacing w:after="0" w:line="237" w:lineRule="auto"/>
        <w:rPr>
          <w:sz w:val="20"/>
          <w:szCs w:val="20"/>
          <w:color w:val="auto"/>
        </w:rPr>
      </w:pPr>
      <w:r>
        <w:rPr>
          <w:rFonts w:ascii="Courier New" w:cs="Courier New" w:eastAsia="Courier New" w:hAnsi="Courier New"/>
          <w:sz w:val="12"/>
          <w:szCs w:val="12"/>
          <w:color w:val="auto"/>
        </w:rPr>
        <w:t>such notice.</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- 27 -</w:t>
      </w:r>
    </w:p>
    <w:p>
      <w:pPr>
        <w:sectPr>
          <w:pgSz w:w="11900" w:h="16838" w:orient="portrait"/>
          <w:cols w:equalWidth="0" w:num="1">
            <w:col w:w="9899"/>
          </w:cols>
          <w:pgMar w:left="560" w:top="272" w:right="1440" w:bottom="0" w:gutter="0" w:footer="0" w:header="0"/>
        </w:sectPr>
      </w:pPr>
    </w:p>
    <w:bookmarkStart w:id="98" w:name="page99"/>
    <w:bookmarkEnd w:id="98"/>
    <w:p>
      <w:pPr>
        <w:ind w:left="348"/>
        <w:spacing w:after="0"/>
        <w:rPr>
          <w:sz w:val="20"/>
          <w:szCs w:val="20"/>
          <w:color w:val="auto"/>
        </w:rPr>
      </w:pPr>
      <w:r>
        <w:rPr>
          <w:rFonts w:ascii="Courier New" w:cs="Courier New" w:eastAsia="Courier New" w:hAnsi="Courier New"/>
          <w:sz w:val="12"/>
          <w:szCs w:val="12"/>
          <w:color w:val="auto"/>
        </w:rPr>
        <w:t>12.12. COLLECTION</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the event of acceleration of the Equipment Loans pursuant to clause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12.10.3 above or of a written notice under clause 12.11 above, then,</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without derogating from any other remedies or relief available to the</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Bank under law or under this Agreement, the Bank shall be entitled to</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take all steps as it deems fit in order to collect all sums owed by</w:t>
      </w:r>
    </w:p>
    <w:p>
      <w:pPr>
        <w:ind w:left="708"/>
        <w:spacing w:after="0"/>
        <w:rPr>
          <w:sz w:val="20"/>
          <w:szCs w:val="20"/>
          <w:color w:val="auto"/>
        </w:rPr>
      </w:pPr>
      <w:r>
        <w:rPr>
          <w:rFonts w:ascii="Courier New" w:cs="Courier New" w:eastAsia="Courier New" w:hAnsi="Courier New"/>
          <w:sz w:val="12"/>
          <w:szCs w:val="12"/>
          <w:color w:val="auto"/>
        </w:rPr>
        <w:t>the Borrower to the Bank under or in connection with this Agreement</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(including all sums referred to in clause 12.10 above), including, to</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realise all or any of the assets secured under the Security Documents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with respect to the Equipment Loans, all at the expense of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Borrower and to utilise the sums received to repay in part or in full</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amounts owed by the Borrower hereunder.</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12.13. INDEMNITY</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shall indemnify the Bank against any losses, charges or</w:t>
      </w:r>
    </w:p>
    <w:p>
      <w:pPr>
        <w:ind w:left="708"/>
        <w:spacing w:after="0"/>
        <w:rPr>
          <w:sz w:val="20"/>
          <w:szCs w:val="20"/>
          <w:color w:val="auto"/>
        </w:rPr>
      </w:pPr>
      <w:r>
        <w:rPr>
          <w:rFonts w:ascii="Courier New" w:cs="Courier New" w:eastAsia="Courier New" w:hAnsi="Courier New"/>
          <w:sz w:val="12"/>
          <w:szCs w:val="12"/>
          <w:color w:val="auto"/>
        </w:rPr>
        <w:t>expenses which the Bank may sustain or incur as a consequence of:</w:t>
      </w:r>
    </w:p>
    <w:p>
      <w:pPr>
        <w:spacing w:after="0" w:line="138"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12.13.1. the occurrence of any Equipment Facility Event of Default or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Equipment Facility Default; or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12.13.2. the operation of clauses 12.10, 12.11 or 12.12,</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including, any losses, charges or expenses on account of funds</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acquired, contracted for or utilised to fund any amount payable under</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this Agreement or any amount repaid or prepaid. A certificate of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Bank as to the amount of any such loss or expense shall be PRIMA FACIE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evidence in the absence of manifest error.</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12.14. TERMINATION OF COMMITMENT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the event of the operation of clause 12.10 above, the Bank shall be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entitled to terminate its Commitment. For the removal of doubt, such</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termination shall not derogate from any obligations of the Borrower to</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Bank under this Agreement.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12.15. NO DEROGATION OF RIGHTS UNDER FACILITY AGREEMENT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For the avoidance of doubt, nothing in this Agreement shall derogate</w:t>
      </w:r>
    </w:p>
    <w:p>
      <w:pPr>
        <w:ind w:left="708"/>
        <w:spacing w:after="0"/>
        <w:rPr>
          <w:sz w:val="20"/>
          <w:szCs w:val="20"/>
          <w:color w:val="auto"/>
        </w:rPr>
      </w:pPr>
      <w:r>
        <w:rPr>
          <w:rFonts w:ascii="Courier New" w:cs="Courier New" w:eastAsia="Courier New" w:hAnsi="Courier New"/>
          <w:sz w:val="12"/>
          <w:szCs w:val="12"/>
          <w:color w:val="auto"/>
        </w:rPr>
        <w:t>from the rights of the Banks to declare, upon the occurrence of an</w:t>
      </w:r>
    </w:p>
    <w:p>
      <w:pPr>
        <w:ind w:left="708"/>
        <w:spacing w:after="0" w:line="237" w:lineRule="auto"/>
        <w:rPr>
          <w:sz w:val="20"/>
          <w:szCs w:val="20"/>
          <w:color w:val="auto"/>
        </w:rPr>
      </w:pPr>
      <w:r>
        <w:rPr>
          <w:rFonts w:ascii="Courier New" w:cs="Courier New" w:eastAsia="Courier New" w:hAnsi="Courier New"/>
          <w:sz w:val="12"/>
          <w:szCs w:val="12"/>
          <w:color w:val="auto"/>
        </w:rPr>
        <w:t>Equipment Facility Event of Default, that an Event of Default under</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Facility Agreement has occurred and to exercise any and all rights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the Banks in connection therewith, including, INTER ALIA, to</w:t>
      </w:r>
    </w:p>
    <w:p>
      <w:pPr>
        <w:ind w:left="708"/>
        <w:spacing w:after="0"/>
        <w:rPr>
          <w:sz w:val="20"/>
          <w:szCs w:val="20"/>
          <w:color w:val="auto"/>
        </w:rPr>
      </w:pPr>
      <w:r>
        <w:rPr>
          <w:rFonts w:ascii="Courier New" w:cs="Courier New" w:eastAsia="Courier New" w:hAnsi="Courier New"/>
          <w:sz w:val="12"/>
          <w:szCs w:val="12"/>
          <w:color w:val="auto"/>
        </w:rPr>
        <w:t>declare all of the Loans under the Facility Agreement to be</w:t>
      </w:r>
    </w:p>
    <w:p>
      <w:pPr>
        <w:ind w:left="708"/>
        <w:spacing w:after="0" w:line="237" w:lineRule="auto"/>
        <w:rPr>
          <w:sz w:val="20"/>
          <w:szCs w:val="20"/>
          <w:color w:val="auto"/>
        </w:rPr>
      </w:pPr>
      <w:r>
        <w:rPr>
          <w:rFonts w:ascii="Courier New" w:cs="Courier New" w:eastAsia="Courier New" w:hAnsi="Courier New"/>
          <w:sz w:val="12"/>
          <w:szCs w:val="12"/>
          <w:color w:val="auto"/>
        </w:rPr>
        <w:t>immediately due and payable.</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- 28 -</w:t>
      </w:r>
    </w:p>
    <w:p>
      <w:pPr>
        <w:spacing w:after="0" w:line="386" w:lineRule="exact"/>
        <w:rPr>
          <w:sz w:val="20"/>
          <w:szCs w:val="20"/>
          <w:color w:val="auto"/>
        </w:rPr>
      </w:pPr>
    </w:p>
    <w:p>
      <w:pPr>
        <w:ind w:left="348" w:hanging="348"/>
        <w:spacing w:after="0"/>
        <w:tabs>
          <w:tab w:leader="none" w:pos="348" w:val="left"/>
        </w:tabs>
        <w:numPr>
          <w:ilvl w:val="0"/>
          <w:numId w:val="1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DEFAULT INTEREST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13.1. DEFAULT RATE PERIODS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If any sum due and payable by the Borrower hereunder is not paid (or,</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the case of the sums referred to in clause 12.10.4 above, not paid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or deposited) on the due date therefor in accordance with the</w:t>
      </w:r>
    </w:p>
    <w:p>
      <w:pPr>
        <w:ind w:left="708"/>
        <w:spacing w:after="0"/>
        <w:rPr>
          <w:sz w:val="20"/>
          <w:szCs w:val="20"/>
          <w:color w:val="auto"/>
        </w:rPr>
      </w:pPr>
      <w:r>
        <w:rPr>
          <w:rFonts w:ascii="Courier New" w:cs="Courier New" w:eastAsia="Courier New" w:hAnsi="Courier New"/>
          <w:sz w:val="12"/>
          <w:szCs w:val="12"/>
          <w:color w:val="auto"/>
        </w:rPr>
        <w:t>provisions of this Agreement ("UNPAID SUM"), the period beginning on</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such due date and ending on the date upon which the obligation of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Borrower to pay the Unpaid Sum is discharged, shall be divided into</w:t>
      </w:r>
    </w:p>
    <w:p>
      <w:pPr>
        <w:ind w:left="708"/>
        <w:spacing w:after="0"/>
        <w:rPr>
          <w:sz w:val="20"/>
          <w:szCs w:val="20"/>
          <w:color w:val="auto"/>
        </w:rPr>
      </w:pPr>
      <w:r>
        <w:rPr>
          <w:rFonts w:ascii="Courier New" w:cs="Courier New" w:eastAsia="Courier New" w:hAnsi="Courier New"/>
          <w:sz w:val="12"/>
          <w:szCs w:val="12"/>
          <w:color w:val="auto"/>
        </w:rPr>
        <w:t>successive periods, each of which (other than the first) shall start</w:t>
      </w:r>
    </w:p>
    <w:p>
      <w:pPr>
        <w:ind w:left="708"/>
        <w:spacing w:after="0" w:line="237" w:lineRule="auto"/>
        <w:rPr>
          <w:sz w:val="20"/>
          <w:szCs w:val="20"/>
          <w:color w:val="auto"/>
        </w:rPr>
      </w:pPr>
      <w:r>
        <w:rPr>
          <w:rFonts w:ascii="Courier New" w:cs="Courier New" w:eastAsia="Courier New" w:hAnsi="Courier New"/>
          <w:sz w:val="12"/>
          <w:szCs w:val="12"/>
          <w:color w:val="auto"/>
        </w:rPr>
        <w:t>on the last day of such preceding period and the duration of each of</w:t>
      </w:r>
    </w:p>
    <w:p>
      <w:pPr>
        <w:ind w:left="708"/>
        <w:spacing w:after="0"/>
        <w:rPr>
          <w:sz w:val="20"/>
          <w:szCs w:val="20"/>
          <w:color w:val="auto"/>
        </w:rPr>
      </w:pPr>
      <w:r>
        <w:rPr>
          <w:rFonts w:ascii="Courier New" w:cs="Courier New" w:eastAsia="Courier New" w:hAnsi="Courier New"/>
          <w:sz w:val="12"/>
          <w:szCs w:val="12"/>
          <w:color w:val="auto"/>
        </w:rPr>
        <w:t>which shall (except as otherwise provided in this clause 13) be</w:t>
      </w:r>
    </w:p>
    <w:p>
      <w:pPr>
        <w:ind w:left="708"/>
        <w:spacing w:after="0" w:line="237" w:lineRule="auto"/>
        <w:rPr>
          <w:sz w:val="20"/>
          <w:szCs w:val="20"/>
          <w:color w:val="auto"/>
        </w:rPr>
      </w:pPr>
      <w:r>
        <w:rPr>
          <w:rFonts w:ascii="Courier New" w:cs="Courier New" w:eastAsia="Courier New" w:hAnsi="Courier New"/>
          <w:sz w:val="12"/>
          <w:szCs w:val="12"/>
          <w:color w:val="auto"/>
        </w:rPr>
        <w:t>selected by the Bank (such periods selected as aforesaid "INTEREST</w:t>
      </w:r>
    </w:p>
    <w:p>
      <w:pPr>
        <w:ind w:left="708"/>
        <w:spacing w:after="0"/>
        <w:rPr>
          <w:sz w:val="20"/>
          <w:szCs w:val="20"/>
          <w:color w:val="auto"/>
        </w:rPr>
      </w:pPr>
      <w:r>
        <w:rPr>
          <w:rFonts w:ascii="Courier New" w:cs="Courier New" w:eastAsia="Courier New" w:hAnsi="Courier New"/>
          <w:sz w:val="12"/>
          <w:szCs w:val="12"/>
          <w:color w:val="auto"/>
        </w:rPr>
        <w:t>PERIODS").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13.2. DEFAULT INTEREST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During each such Interest Period as is mentioned in clause 13.1 above,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 Unpaid Sum shall bear Interest at the rate per annum which is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sum from time to time of: (a) 3% (three percent); and (b) the Interest</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rate in respect of such Interest Period as would have been determined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 accordance with clause 7.1 above (provided that, if, for any such</w:t>
      </w:r>
    </w:p>
    <w:p>
      <w:pPr>
        <w:ind w:left="708"/>
        <w:spacing w:after="0"/>
        <w:rPr>
          <w:sz w:val="20"/>
          <w:szCs w:val="20"/>
          <w:color w:val="auto"/>
        </w:rPr>
      </w:pPr>
      <w:r>
        <w:rPr>
          <w:rFonts w:ascii="Courier New" w:cs="Courier New" w:eastAsia="Courier New" w:hAnsi="Courier New"/>
          <w:sz w:val="12"/>
          <w:szCs w:val="12"/>
          <w:color w:val="auto"/>
        </w:rPr>
        <w:t>Interest Period LIBOR cannot be determined, the rate of Interest</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applicable to such Unpaid Sum shall be the rate per annum which is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sum of: (i) 3% (three percent); and (ii) 3% (three percent) plus a</w:t>
      </w:r>
    </w:p>
    <w:p>
      <w:pPr>
        <w:ind w:left="708"/>
        <w:spacing w:after="0"/>
        <w:rPr>
          <w:sz w:val="20"/>
          <w:szCs w:val="20"/>
          <w:color w:val="auto"/>
        </w:rPr>
      </w:pPr>
      <w:r>
        <w:rPr>
          <w:rFonts w:ascii="Courier New" w:cs="Courier New" w:eastAsia="Courier New" w:hAnsi="Courier New"/>
          <w:sz w:val="12"/>
          <w:szCs w:val="12"/>
          <w:color w:val="auto"/>
        </w:rPr>
        <w:t>rate as certified by the Bank in accordance with clause 7.4 above.</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13.3. PAYMENT OF DEFAULT INTEREST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Any Interest which shall have accrued under clause 13.2 above in</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respect of an Unpaid Sum shall be due and payable and shall be paid by</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Borrower at the end of each Interest Period by reference to which</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it is calculated or on such other dates as the Bank may specify by</w:t>
      </w:r>
    </w:p>
    <w:p>
      <w:pPr>
        <w:ind w:left="708"/>
        <w:spacing w:after="0"/>
        <w:rPr>
          <w:sz w:val="20"/>
          <w:szCs w:val="20"/>
          <w:color w:val="auto"/>
        </w:rPr>
      </w:pPr>
      <w:r>
        <w:rPr>
          <w:rFonts w:ascii="Courier New" w:cs="Courier New" w:eastAsia="Courier New" w:hAnsi="Courier New"/>
          <w:sz w:val="12"/>
          <w:szCs w:val="12"/>
          <w:color w:val="auto"/>
        </w:rPr>
        <w:t>written notice to the Borrower.</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- 29 -</w:t>
      </w:r>
    </w:p>
    <w:p>
      <w:pPr>
        <w:spacing w:after="0" w:line="391" w:lineRule="exact"/>
        <w:rPr>
          <w:sz w:val="20"/>
          <w:szCs w:val="20"/>
          <w:color w:val="auto"/>
        </w:rPr>
      </w:pPr>
    </w:p>
    <w:p>
      <w:pPr>
        <w:ind w:left="348" w:right="8219" w:hanging="348"/>
        <w:spacing w:after="0" w:line="520" w:lineRule="auto"/>
        <w:tabs>
          <w:tab w:leader="none" w:pos="348" w:val="left"/>
        </w:tabs>
        <w:numPr>
          <w:ilvl w:val="0"/>
          <w:numId w:val="140"/>
        </w:numPr>
        <w:rPr>
          <w:rFonts w:ascii="Courier New" w:cs="Courier New" w:eastAsia="Courier New" w:hAnsi="Courier New"/>
          <w:sz w:val="11"/>
          <w:szCs w:val="11"/>
          <w:color w:val="auto"/>
        </w:rPr>
      </w:pPr>
      <w:r>
        <w:rPr>
          <w:rFonts w:ascii="Courier New" w:cs="Courier New" w:eastAsia="Courier New" w:hAnsi="Courier New"/>
          <w:sz w:val="11"/>
          <w:szCs w:val="11"/>
          <w:color w:val="auto"/>
        </w:rPr>
        <w:t>BROKEN FUNDING INDEMNITY 14.1. BROKEN FUNDING</w:t>
      </w:r>
    </w:p>
    <w:p>
      <w:pPr>
        <w:ind w:left="708"/>
        <w:spacing w:after="0"/>
        <w:rPr>
          <w:sz w:val="20"/>
          <w:szCs w:val="20"/>
          <w:color w:val="auto"/>
        </w:rPr>
      </w:pPr>
      <w:r>
        <w:rPr>
          <w:rFonts w:ascii="Courier New" w:cs="Courier New" w:eastAsia="Courier New" w:hAnsi="Courier New"/>
          <w:sz w:val="11"/>
          <w:szCs w:val="11"/>
          <w:color w:val="auto"/>
        </w:rPr>
        <w:t>If the Bank receives or recovers all or any part of any Equipment Loan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otherwise than on the scheduled date of repayment of such amount</w:t>
      </w:r>
    </w:p>
    <w:p>
      <w:pPr>
        <w:ind w:left="708"/>
        <w:spacing w:after="0"/>
        <w:rPr>
          <w:sz w:val="20"/>
          <w:szCs w:val="20"/>
          <w:color w:val="auto"/>
        </w:rPr>
      </w:pPr>
      <w:r>
        <w:rPr>
          <w:rFonts w:ascii="Courier New" w:cs="Courier New" w:eastAsia="Courier New" w:hAnsi="Courier New"/>
          <w:sz w:val="12"/>
          <w:szCs w:val="12"/>
          <w:color w:val="auto"/>
        </w:rPr>
        <w:t>relating to such Equipment Loan, the Borrower shall on the first</w:t>
      </w:r>
    </w:p>
    <w:p>
      <w:pPr>
        <w:ind w:left="708"/>
        <w:spacing w:after="0" w:line="237" w:lineRule="auto"/>
        <w:rPr>
          <w:sz w:val="20"/>
          <w:szCs w:val="20"/>
          <w:color w:val="auto"/>
        </w:rPr>
      </w:pPr>
      <w:r>
        <w:rPr>
          <w:rFonts w:ascii="Courier New" w:cs="Courier New" w:eastAsia="Courier New" w:hAnsi="Courier New"/>
          <w:sz w:val="12"/>
          <w:szCs w:val="12"/>
          <w:color w:val="auto"/>
        </w:rPr>
        <w:t>Interest Payment Date following such repayment on demand pay to the</w:t>
      </w:r>
    </w:p>
    <w:p>
      <w:pPr>
        <w:ind w:left="708"/>
        <w:spacing w:after="0"/>
        <w:rPr>
          <w:sz w:val="20"/>
          <w:szCs w:val="20"/>
          <w:color w:val="auto"/>
        </w:rPr>
      </w:pPr>
      <w:r>
        <w:rPr>
          <w:rFonts w:ascii="Courier New" w:cs="Courier New" w:eastAsia="Courier New" w:hAnsi="Courier New"/>
          <w:sz w:val="12"/>
          <w:szCs w:val="12"/>
          <w:color w:val="auto"/>
        </w:rPr>
        <w:t>Bank an amount equal to the amount (if any) by which: (a) the</w:t>
      </w:r>
    </w:p>
    <w:p>
      <w:pPr>
        <w:ind w:left="708"/>
        <w:spacing w:after="0" w:line="237" w:lineRule="auto"/>
        <w:rPr>
          <w:sz w:val="20"/>
          <w:szCs w:val="20"/>
          <w:color w:val="auto"/>
        </w:rPr>
      </w:pPr>
      <w:r>
        <w:rPr>
          <w:rFonts w:ascii="Courier New" w:cs="Courier New" w:eastAsia="Courier New" w:hAnsi="Courier New"/>
          <w:sz w:val="12"/>
          <w:szCs w:val="12"/>
          <w:color w:val="auto"/>
        </w:rPr>
        <w:t>additional amount of Interest which would, in accordance with the</w:t>
      </w:r>
    </w:p>
    <w:p>
      <w:pPr>
        <w:ind w:left="708"/>
        <w:spacing w:after="0"/>
        <w:rPr>
          <w:sz w:val="20"/>
          <w:szCs w:val="20"/>
          <w:color w:val="auto"/>
        </w:rPr>
      </w:pPr>
      <w:r>
        <w:rPr>
          <w:rFonts w:ascii="Courier New" w:cs="Courier New" w:eastAsia="Courier New" w:hAnsi="Courier New"/>
          <w:sz w:val="12"/>
          <w:szCs w:val="12"/>
          <w:color w:val="auto"/>
        </w:rPr>
        <w:t>terms of this Agreement, have been payable on the amount so received</w:t>
      </w:r>
    </w:p>
    <w:p>
      <w:pPr>
        <w:ind w:left="708"/>
        <w:spacing w:after="0" w:line="237" w:lineRule="auto"/>
        <w:rPr>
          <w:sz w:val="20"/>
          <w:szCs w:val="20"/>
          <w:color w:val="auto"/>
        </w:rPr>
      </w:pPr>
      <w:r>
        <w:rPr>
          <w:rFonts w:ascii="Courier New" w:cs="Courier New" w:eastAsia="Courier New" w:hAnsi="Courier New"/>
          <w:sz w:val="12"/>
          <w:szCs w:val="12"/>
          <w:color w:val="auto"/>
        </w:rPr>
        <w:t>or recovered had it been received or recovered on the following</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Interest Payment Date exceeds (b) the amount of Interest which, in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opinion of the Bank, would have been payable to the Bank on the last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day of such Interest Period in respect of a deposit in the currency of</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relevant Loan, of an amount equal to the amount so received or</w:t>
      </w:r>
    </w:p>
    <w:p>
      <w:pPr>
        <w:ind w:left="708"/>
        <w:spacing w:after="0"/>
        <w:rPr>
          <w:sz w:val="20"/>
          <w:szCs w:val="20"/>
          <w:color w:val="auto"/>
        </w:rPr>
      </w:pPr>
      <w:r>
        <w:rPr>
          <w:rFonts w:ascii="Courier New" w:cs="Courier New" w:eastAsia="Courier New" w:hAnsi="Courier New"/>
          <w:sz w:val="12"/>
          <w:szCs w:val="12"/>
          <w:color w:val="auto"/>
        </w:rPr>
        <w:t>recovered, had such an amount been placed by it with a prime bank in</w:t>
      </w:r>
    </w:p>
    <w:p>
      <w:pPr>
        <w:ind w:left="708"/>
        <w:spacing w:after="0" w:line="237" w:lineRule="auto"/>
        <w:rPr>
          <w:sz w:val="20"/>
          <w:szCs w:val="20"/>
          <w:color w:val="auto"/>
        </w:rPr>
      </w:pPr>
      <w:r>
        <w:rPr>
          <w:rFonts w:ascii="Courier New" w:cs="Courier New" w:eastAsia="Courier New" w:hAnsi="Courier New"/>
          <w:sz w:val="12"/>
          <w:szCs w:val="12"/>
          <w:color w:val="auto"/>
        </w:rPr>
        <w:t>London for a period starting on the date of such receipt or recovery</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and ending on the following Interest Payment Date. For the removal of</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doubt: (i) with respect to all or any part of any Equipment Loan</w:t>
      </w:r>
    </w:p>
    <w:p>
      <w:pPr>
        <w:ind w:left="708"/>
        <w:spacing w:after="0"/>
        <w:rPr>
          <w:sz w:val="20"/>
          <w:szCs w:val="20"/>
          <w:color w:val="auto"/>
        </w:rPr>
      </w:pPr>
      <w:r>
        <w:rPr>
          <w:rFonts w:ascii="Courier New" w:cs="Courier New" w:eastAsia="Courier New" w:hAnsi="Courier New"/>
          <w:sz w:val="12"/>
          <w:szCs w:val="12"/>
          <w:color w:val="auto"/>
        </w:rPr>
        <w:t>received or recovered otherwise than on the scheduled date of</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repayment of such amount relating to such Equipment Loan, the payment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set forth above shall only be made once; and (ii) voluntary or</w:t>
      </w:r>
    </w:p>
    <w:p>
      <w:pPr>
        <w:ind w:left="708"/>
        <w:spacing w:after="0"/>
        <w:rPr>
          <w:sz w:val="20"/>
          <w:szCs w:val="20"/>
          <w:color w:val="auto"/>
        </w:rPr>
      </w:pPr>
      <w:r>
        <w:rPr>
          <w:rFonts w:ascii="Courier New" w:cs="Courier New" w:eastAsia="Courier New" w:hAnsi="Courier New"/>
          <w:sz w:val="12"/>
          <w:szCs w:val="12"/>
          <w:color w:val="auto"/>
        </w:rPr>
        <w:t>mandatory prepayments made in accordance with clause 6 above on an</w:t>
      </w:r>
    </w:p>
    <w:p>
      <w:pPr>
        <w:ind w:left="708"/>
        <w:spacing w:after="0" w:line="237" w:lineRule="auto"/>
        <w:rPr>
          <w:sz w:val="20"/>
          <w:szCs w:val="20"/>
          <w:color w:val="auto"/>
        </w:rPr>
      </w:pPr>
      <w:r>
        <w:rPr>
          <w:rFonts w:ascii="Courier New" w:cs="Courier New" w:eastAsia="Courier New" w:hAnsi="Courier New"/>
          <w:sz w:val="12"/>
          <w:szCs w:val="12"/>
          <w:color w:val="auto"/>
        </w:rPr>
        <w:t>Interest Payment Date shall not be subject to a payment of broken</w:t>
      </w:r>
    </w:p>
    <w:p>
      <w:pPr>
        <w:ind w:left="708"/>
        <w:spacing w:after="0"/>
        <w:rPr>
          <w:sz w:val="20"/>
          <w:szCs w:val="20"/>
          <w:color w:val="auto"/>
        </w:rPr>
      </w:pPr>
      <w:r>
        <w:rPr>
          <w:rFonts w:ascii="Courier New" w:cs="Courier New" w:eastAsia="Courier New" w:hAnsi="Courier New"/>
          <w:sz w:val="12"/>
          <w:szCs w:val="12"/>
          <w:color w:val="auto"/>
        </w:rPr>
        <w:t>funding in accordance with this clause 14.1.</w:t>
      </w:r>
    </w:p>
    <w:p>
      <w:pPr>
        <w:sectPr>
          <w:pgSz w:w="11900" w:h="16838" w:orient="portrait"/>
          <w:cols w:equalWidth="0" w:num="1">
            <w:col w:w="10247"/>
          </w:cols>
          <w:pgMar w:left="212" w:top="407" w:right="1440" w:bottom="0" w:gutter="0" w:footer="0" w:header="0"/>
        </w:sectPr>
      </w:pPr>
    </w:p>
    <w:bookmarkStart w:id="99" w:name="page100"/>
    <w:bookmarkEnd w:id="99"/>
    <w:p>
      <w:pPr>
        <w:ind w:left="348"/>
        <w:spacing w:after="0"/>
        <w:rPr>
          <w:sz w:val="20"/>
          <w:szCs w:val="20"/>
          <w:color w:val="auto"/>
        </w:rPr>
      </w:pPr>
      <w:r>
        <w:rPr>
          <w:rFonts w:ascii="Courier New" w:cs="Courier New" w:eastAsia="Courier New" w:hAnsi="Courier New"/>
          <w:sz w:val="12"/>
          <w:szCs w:val="12"/>
          <w:color w:val="auto"/>
        </w:rPr>
        <w:t>14.2. FAILURE TO DRAW AN EQUIPMENT LOAN</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 the event that the Borrower shall make any Drawdown Request, but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shall not be entitled to receive the relevant Equipment Loan by reason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not having fulfilled all of the conditions therefor listed in</w:t>
      </w:r>
    </w:p>
    <w:p>
      <w:pPr>
        <w:ind w:left="708"/>
        <w:spacing w:after="0"/>
        <w:rPr>
          <w:sz w:val="20"/>
          <w:szCs w:val="20"/>
          <w:color w:val="auto"/>
        </w:rPr>
      </w:pPr>
      <w:r>
        <w:rPr>
          <w:rFonts w:ascii="Courier New" w:cs="Courier New" w:eastAsia="Courier New" w:hAnsi="Courier New"/>
          <w:sz w:val="12"/>
          <w:szCs w:val="12"/>
          <w:color w:val="auto"/>
        </w:rPr>
        <w:t>clauses 4.1 or 4.2 above, then, without derogating from any other</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right of the Bank hereunder and under any applicable law, the Borrower</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shall indemnify and compensate the Bank for any and all of the Bank's</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costs and expenses in financing the amount requested by the Borrower,</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liquidation of any such funds and including loss of profit of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Bank by reason of any such event.</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- 30 -</w:t>
      </w:r>
    </w:p>
    <w:p>
      <w:pPr>
        <w:spacing w:after="0" w:line="386" w:lineRule="exact"/>
        <w:rPr>
          <w:sz w:val="20"/>
          <w:szCs w:val="20"/>
          <w:color w:val="auto"/>
        </w:rPr>
      </w:pPr>
    </w:p>
    <w:p>
      <w:pPr>
        <w:ind w:left="348" w:hanging="348"/>
        <w:spacing w:after="0"/>
        <w:tabs>
          <w:tab w:leader="none" w:pos="348" w:val="left"/>
        </w:tabs>
        <w:numPr>
          <w:ilvl w:val="0"/>
          <w:numId w:val="1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15.1. PAYMENTS BY BORROWER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payments to be made by the Borrower to the Bank shall be made in</w:t>
      </w:r>
    </w:p>
    <w:p>
      <w:pPr>
        <w:ind w:left="708"/>
        <w:spacing w:after="0"/>
        <w:rPr>
          <w:sz w:val="20"/>
          <w:szCs w:val="20"/>
          <w:color w:val="auto"/>
        </w:rPr>
      </w:pPr>
      <w:r>
        <w:rPr>
          <w:rFonts w:ascii="Courier New" w:cs="Courier New" w:eastAsia="Courier New" w:hAnsi="Courier New"/>
          <w:sz w:val="12"/>
          <w:szCs w:val="12"/>
          <w:color w:val="auto"/>
        </w:rPr>
        <w:t>same day funds to the Charged Account, which account shall be duly</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charged in favour of the Bank (or if all of the Equipment Lenders are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Banks, in favour of the Banks) by way of a first-ranking fixed</w:t>
      </w:r>
    </w:p>
    <w:p>
      <w:pPr>
        <w:ind w:left="708"/>
        <w:spacing w:after="0"/>
        <w:rPr>
          <w:sz w:val="20"/>
          <w:szCs w:val="20"/>
          <w:color w:val="auto"/>
        </w:rPr>
      </w:pPr>
      <w:r>
        <w:rPr>
          <w:rFonts w:ascii="Courier New" w:cs="Courier New" w:eastAsia="Courier New" w:hAnsi="Courier New"/>
          <w:sz w:val="12"/>
          <w:szCs w:val="12"/>
          <w:color w:val="auto"/>
        </w:rPr>
        <w:t>pledge and charge under the Debenture. All payments required to be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made by the Borrower under this Agreement shall be calculated without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reference to any set-off or counterclaim and shall be made free and</w:t>
      </w:r>
    </w:p>
    <w:p>
      <w:pPr>
        <w:ind w:left="708"/>
        <w:spacing w:after="0"/>
        <w:rPr>
          <w:sz w:val="20"/>
          <w:szCs w:val="20"/>
          <w:color w:val="auto"/>
        </w:rPr>
      </w:pPr>
      <w:r>
        <w:rPr>
          <w:rFonts w:ascii="Courier New" w:cs="Courier New" w:eastAsia="Courier New" w:hAnsi="Courier New"/>
          <w:sz w:val="12"/>
          <w:szCs w:val="12"/>
          <w:color w:val="auto"/>
        </w:rPr>
        <w:t>clear of and without any deduction for or on account of, any set-off</w:t>
      </w:r>
    </w:p>
    <w:p>
      <w:pPr>
        <w:ind w:left="708"/>
        <w:spacing w:after="0" w:line="237" w:lineRule="auto"/>
        <w:rPr>
          <w:sz w:val="20"/>
          <w:szCs w:val="20"/>
          <w:color w:val="auto"/>
        </w:rPr>
      </w:pPr>
      <w:r>
        <w:rPr>
          <w:rFonts w:ascii="Courier New" w:cs="Courier New" w:eastAsia="Courier New" w:hAnsi="Courier New"/>
          <w:sz w:val="12"/>
          <w:szCs w:val="12"/>
          <w:color w:val="auto"/>
        </w:rPr>
        <w:t>or counterclaim.</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15.2. PAYMENTS BY BANK TO BORROWER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payments to be made by the Bank to the Borrower in respect of</w:t>
      </w:r>
    </w:p>
    <w:p>
      <w:pPr>
        <w:ind w:left="708"/>
        <w:spacing w:after="0"/>
        <w:rPr>
          <w:sz w:val="20"/>
          <w:szCs w:val="20"/>
          <w:color w:val="auto"/>
        </w:rPr>
      </w:pPr>
      <w:r>
        <w:rPr>
          <w:rFonts w:ascii="Courier New" w:cs="Courier New" w:eastAsia="Courier New" w:hAnsi="Courier New"/>
          <w:sz w:val="12"/>
          <w:szCs w:val="12"/>
          <w:color w:val="auto"/>
        </w:rPr>
        <w:t>Advances shall be made by transfer of such payment to the Charged</w:t>
      </w:r>
    </w:p>
    <w:p>
      <w:pPr>
        <w:ind w:left="708"/>
        <w:spacing w:after="0" w:line="237" w:lineRule="auto"/>
        <w:rPr>
          <w:sz w:val="20"/>
          <w:szCs w:val="20"/>
          <w:color w:val="auto"/>
        </w:rPr>
      </w:pPr>
      <w:r>
        <w:rPr>
          <w:rFonts w:ascii="Courier New" w:cs="Courier New" w:eastAsia="Courier New" w:hAnsi="Courier New"/>
          <w:sz w:val="12"/>
          <w:szCs w:val="12"/>
          <w:color w:val="auto"/>
        </w:rPr>
        <w:t>Account.</w:t>
      </w:r>
    </w:p>
    <w:p>
      <w:pPr>
        <w:spacing w:after="0" w:line="134" w:lineRule="exact"/>
        <w:rPr>
          <w:sz w:val="20"/>
          <w:szCs w:val="20"/>
          <w:color w:val="auto"/>
        </w:rPr>
      </w:pPr>
    </w:p>
    <w:p>
      <w:pPr>
        <w:ind w:left="348" w:hanging="348"/>
        <w:spacing w:after="0"/>
        <w:tabs>
          <w:tab w:leader="none" w:pos="348" w:val="left"/>
        </w:tabs>
        <w:numPr>
          <w:ilvl w:val="0"/>
          <w:numId w:val="1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CALCULATIONS AND EVIDENCE OF DEBT</w:t>
      </w:r>
    </w:p>
    <w:p>
      <w:pPr>
        <w:spacing w:after="0" w:line="138" w:lineRule="exact"/>
        <w:rPr>
          <w:rFonts w:ascii="Courier New" w:cs="Courier New" w:eastAsia="Courier New" w:hAnsi="Courier New"/>
          <w:sz w:val="12"/>
          <w:szCs w:val="12"/>
          <w:color w:val="auto"/>
        </w:rPr>
      </w:pPr>
    </w:p>
    <w:p>
      <w:pPr>
        <w:ind w:left="348" w:right="483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provisions of clause 21 ("SET-OFF"), clause 22 ("APPLICATION OF PAYMENTS") and clause 23 ("CALCULATIONS AND EVIDENCE OF DEBT") of the Facility Agreement are hereby incorporated by reference and shall apply, MUTATIS MUTANDIS, as if all references therein to the "Banks" or any of them were references to the "Bank".</w:t>
      </w:r>
    </w:p>
    <w:p>
      <w:pPr>
        <w:spacing w:after="0" w:line="135"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138" w:lineRule="exact"/>
        <w:rPr>
          <w:rFonts w:ascii="Courier New" w:cs="Courier New" w:eastAsia="Courier New" w:hAnsi="Courier New"/>
          <w:sz w:val="12"/>
          <w:szCs w:val="12"/>
          <w:color w:val="auto"/>
        </w:rPr>
      </w:pPr>
    </w:p>
    <w:p>
      <w:pPr>
        <w:ind w:left="348"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provisions of clause 25 ("ASSIGNMENTS AND TRANSFERS"), clause 26 ("REMEDIES AND WAIVERS"), clause 27 ("NOTICES") (other than clause 27.2.2), clause 28 ("AMENDMENTS"), clause 29 ("COUNTERPARTS"), clause 30 ("GOVERNING LAW AND JURISDICTION"), clause 31 ("ENTIRE AGREEMENT"), clause 32 ("CONFIDENTIALITY") and clause 33 ("BANKS REPRESENTATION") of the Facility Agreement are hereby incorporated by reference and shall apply, MUTATIS MUTANDIS, as if all references therein to the "Banks" or any of them or the "Loans" were references to the "Bank" and the "Equipment Loans".</w:t>
      </w:r>
    </w:p>
    <w:p>
      <w:pPr>
        <w:spacing w:after="0" w:line="258"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31 -</w:t>
      </w:r>
    </w:p>
    <w:p>
      <w:pPr>
        <w:spacing w:after="0" w:line="391" w:lineRule="exact"/>
        <w:rPr>
          <w:sz w:val="20"/>
          <w:szCs w:val="20"/>
          <w:color w:val="auto"/>
        </w:rPr>
      </w:pPr>
    </w:p>
    <w:p>
      <w:pPr>
        <w:ind w:left="8" w:right="4619"/>
        <w:spacing w:after="0" w:line="235" w:lineRule="auto"/>
        <w:rPr>
          <w:sz w:val="20"/>
          <w:szCs w:val="20"/>
          <w:color w:val="auto"/>
        </w:rPr>
      </w:pPr>
      <w:r>
        <w:rPr>
          <w:rFonts w:ascii="Courier New" w:cs="Courier New" w:eastAsia="Courier New" w:hAnsi="Courier New"/>
          <w:sz w:val="12"/>
          <w:szCs w:val="12"/>
          <w:color w:val="auto"/>
        </w:rPr>
        <w:t>IN WITNESS WHEREOF, THE PARTIES HAVE SIGNED THIS EQUIPMENT FACILITY AGREEMENT ON THE DATE FIRST MENTIONED ABOVE.</w:t>
      </w:r>
    </w:p>
    <w:p>
      <w:pPr>
        <w:spacing w:after="0" w:line="270" w:lineRule="exact"/>
        <w:rPr>
          <w:sz w:val="20"/>
          <w:szCs w:val="20"/>
          <w:color w:val="auto"/>
        </w:rPr>
      </w:pPr>
    </w:p>
    <w:p>
      <w:pPr>
        <w:ind w:left="8"/>
        <w:spacing w:after="0"/>
        <w:tabs>
          <w:tab w:leader="none" w:pos="468" w:val="left"/>
        </w:tabs>
        <w:rPr>
          <w:sz w:val="20"/>
          <w:szCs w:val="20"/>
          <w:color w:val="auto"/>
        </w:rPr>
      </w:pPr>
      <w:r>
        <w:rPr>
          <w:rFonts w:ascii="Courier New" w:cs="Courier New" w:eastAsia="Courier New" w:hAnsi="Courier New"/>
          <w:sz w:val="12"/>
          <w:szCs w:val="12"/>
          <w:color w:val="auto"/>
        </w:rPr>
        <w:t>for:</w:t>
        <w:tab/>
        <w:t>TOWER SEMICONDUCTOR LTD.</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By:</w:t>
      </w:r>
    </w:p>
    <w:p>
      <w:pPr>
        <w:ind w:left="488"/>
        <w:spacing w:after="0"/>
        <w:rPr>
          <w:sz w:val="20"/>
          <w:szCs w:val="20"/>
          <w:color w:val="auto"/>
        </w:rPr>
      </w:pPr>
      <w:r>
        <w:rPr>
          <w:rFonts w:ascii="Courier New" w:cs="Courier New" w:eastAsia="Courier New" w:hAnsi="Courier New"/>
          <w:sz w:val="12"/>
          <w:szCs w:val="12"/>
          <w:color w:val="auto"/>
        </w:rPr>
        <w:t>_____________________________</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Title:</w:t>
      </w:r>
    </w:p>
    <w:p>
      <w:pPr>
        <w:ind w:left="488"/>
        <w:spacing w:after="0"/>
        <w:rPr>
          <w:sz w:val="20"/>
          <w:szCs w:val="20"/>
          <w:color w:val="auto"/>
        </w:rPr>
      </w:pPr>
      <w:r>
        <w:rPr>
          <w:rFonts w:ascii="Courier New" w:cs="Courier New" w:eastAsia="Courier New" w:hAnsi="Courier New"/>
          <w:sz w:val="12"/>
          <w:szCs w:val="12"/>
          <w:color w:val="auto"/>
        </w:rPr>
        <w:t>_____________________________</w:t>
      </w:r>
    </w:p>
    <w:p>
      <w:pPr>
        <w:spacing w:after="0" w:line="269" w:lineRule="exact"/>
        <w:rPr>
          <w:sz w:val="20"/>
          <w:szCs w:val="20"/>
          <w:color w:val="auto"/>
        </w:rPr>
      </w:pPr>
    </w:p>
    <w:p>
      <w:pPr>
        <w:ind w:left="8"/>
        <w:spacing w:after="0"/>
        <w:tabs>
          <w:tab w:leader="none" w:pos="468" w:val="left"/>
        </w:tabs>
        <w:rPr>
          <w:sz w:val="20"/>
          <w:szCs w:val="20"/>
          <w:color w:val="auto"/>
        </w:rPr>
      </w:pPr>
      <w:r>
        <w:rPr>
          <w:rFonts w:ascii="Courier New" w:cs="Courier New" w:eastAsia="Courier New" w:hAnsi="Courier New"/>
          <w:sz w:val="12"/>
          <w:szCs w:val="12"/>
          <w:color w:val="auto"/>
        </w:rPr>
        <w:t>for:</w:t>
        <w:tab/>
        <w:t>BANK LEUMI LE-ISRAEL B.M.</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By:</w:t>
      </w:r>
    </w:p>
    <w:p>
      <w:pPr>
        <w:ind w:left="488"/>
        <w:spacing w:after="0"/>
        <w:rPr>
          <w:sz w:val="20"/>
          <w:szCs w:val="20"/>
          <w:color w:val="auto"/>
        </w:rPr>
      </w:pPr>
      <w:r>
        <w:rPr>
          <w:rFonts w:ascii="Courier New" w:cs="Courier New" w:eastAsia="Courier New" w:hAnsi="Courier New"/>
          <w:sz w:val="12"/>
          <w:szCs w:val="12"/>
          <w:color w:val="auto"/>
        </w:rPr>
        <w:t>_____________________________</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Title:</w:t>
      </w:r>
    </w:p>
    <w:p>
      <w:pPr>
        <w:ind w:left="488"/>
        <w:spacing w:after="0"/>
        <w:rPr>
          <w:sz w:val="20"/>
          <w:szCs w:val="20"/>
          <w:color w:val="auto"/>
        </w:rPr>
      </w:pPr>
      <w:r>
        <w:rPr>
          <w:rFonts w:ascii="Courier New" w:cs="Courier New" w:eastAsia="Courier New" w:hAnsi="Courier New"/>
          <w:sz w:val="12"/>
          <w:szCs w:val="12"/>
          <w:color w:val="auto"/>
        </w:rPr>
        <w:t>_____________________________</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- 32 -</w:t>
      </w:r>
    </w:p>
    <w:p>
      <w:pPr>
        <w:sectPr>
          <w:pgSz w:w="11900" w:h="16838" w:orient="portrait"/>
          <w:cols w:equalWidth="0" w:num="1">
            <w:col w:w="10247"/>
          </w:cols>
          <w:pgMar w:left="212" w:top="137" w:right="1440" w:bottom="1440" w:gutter="0" w:footer="0" w:header="0"/>
        </w:sectPr>
      </w:pPr>
    </w:p>
    <w:bookmarkStart w:id="100" w:name="page101"/>
    <w:bookmarkEnd w:id="100"/>
    <w:p>
      <w:pPr>
        <w:jc w:val="center"/>
        <w:ind w:right="-148"/>
        <w:spacing w:after="0"/>
        <w:rPr>
          <w:sz w:val="20"/>
          <w:szCs w:val="20"/>
          <w:color w:val="auto"/>
        </w:rPr>
      </w:pPr>
      <w:r>
        <w:rPr>
          <w:rFonts w:ascii="Courier New" w:cs="Courier New" w:eastAsia="Courier New" w:hAnsi="Courier New"/>
          <w:sz w:val="11"/>
          <w:szCs w:val="11"/>
          <w:color w:val="auto"/>
        </w:rPr>
        <w:t>EXHIBIT 4.84</w:t>
      </w:r>
    </w:p>
    <w:p>
      <w:pPr>
        <w:spacing w:after="0" w:line="141" w:lineRule="exact"/>
        <w:rPr>
          <w:sz w:val="20"/>
          <w:szCs w:val="20"/>
          <w:color w:val="auto"/>
        </w:rPr>
      </w:pPr>
    </w:p>
    <w:p>
      <w:pPr>
        <w:jc w:val="center"/>
        <w:ind w:right="4611"/>
        <w:spacing w:after="0"/>
        <w:rPr>
          <w:sz w:val="20"/>
          <w:szCs w:val="20"/>
          <w:color w:val="auto"/>
        </w:rPr>
      </w:pPr>
      <w:r>
        <w:rPr>
          <w:rFonts w:ascii="Courier New" w:cs="Courier New" w:eastAsia="Courier New" w:hAnsi="Courier New"/>
          <w:sz w:val="12"/>
          <w:szCs w:val="12"/>
          <w:color w:val="auto"/>
        </w:rPr>
        <w:t>EQUIPMENT FACILITY AGREEMENT</w:t>
      </w:r>
    </w:p>
    <w:p>
      <w:pPr>
        <w:spacing w:after="0" w:line="139" w:lineRule="exact"/>
        <w:rPr>
          <w:sz w:val="20"/>
          <w:szCs w:val="20"/>
          <w:color w:val="auto"/>
        </w:rPr>
      </w:pPr>
    </w:p>
    <w:p>
      <w:pPr>
        <w:ind w:left="8" w:right="4699"/>
        <w:spacing w:after="0" w:line="235" w:lineRule="auto"/>
        <w:rPr>
          <w:sz w:val="20"/>
          <w:szCs w:val="20"/>
          <w:color w:val="auto"/>
        </w:rPr>
      </w:pPr>
      <w:r>
        <w:rPr>
          <w:rFonts w:ascii="Courier New" w:cs="Courier New" w:eastAsia="Courier New" w:hAnsi="Courier New"/>
          <w:sz w:val="12"/>
          <w:szCs w:val="12"/>
          <w:color w:val="auto"/>
        </w:rPr>
        <w:t>THIS EQUIPMENT FACILITY AGREEMENT ("THIS AGREEMENT") is made on the 10th day of September, 2007,</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BETWEEN:</w:t>
      </w:r>
    </w:p>
    <w:p>
      <w:pPr>
        <w:spacing w:after="0" w:line="139" w:lineRule="exact"/>
        <w:rPr>
          <w:sz w:val="20"/>
          <w:szCs w:val="20"/>
          <w:color w:val="auto"/>
        </w:rPr>
      </w:pPr>
    </w:p>
    <w:p>
      <w:pPr>
        <w:ind w:left="348" w:right="4759" w:hanging="348"/>
        <w:spacing w:after="0" w:line="236" w:lineRule="auto"/>
        <w:tabs>
          <w:tab w:leader="none" w:pos="348" w:val="left"/>
        </w:tabs>
        <w:numPr>
          <w:ilvl w:val="0"/>
          <w:numId w:val="1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a company incorporated under the laws of Israel (company no. 52-004199-7), whose registered office is at P.O. Box 619, Industrial Area, Migdal Haemek 23105, Israel ("THE BORROWER");</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AND</w:t>
      </w:r>
    </w:p>
    <w:p>
      <w:pPr>
        <w:spacing w:after="0" w:line="134" w:lineRule="exact"/>
        <w:rPr>
          <w:sz w:val="20"/>
          <w:szCs w:val="20"/>
          <w:color w:val="auto"/>
        </w:rPr>
      </w:pPr>
    </w:p>
    <w:p>
      <w:pPr>
        <w:ind w:left="348" w:hanging="348"/>
        <w:spacing w:after="0"/>
        <w:tabs>
          <w:tab w:leader="none" w:pos="348" w:val="left"/>
        </w:tabs>
        <w:numPr>
          <w:ilvl w:val="0"/>
          <w:numId w:val="144"/>
        </w:numPr>
        <w:rPr>
          <w:rFonts w:ascii="Courier New" w:cs="Courier New" w:eastAsia="Courier New" w:hAnsi="Courier New"/>
          <w:sz w:val="12"/>
          <w:szCs w:val="12"/>
          <w:color w:val="auto"/>
        </w:rPr>
      </w:pPr>
      <w:r>
        <w:rPr>
          <w:rFonts w:ascii="Courier New" w:cs="Courier New" w:eastAsia="Courier New" w:hAnsi="Courier New"/>
          <w:sz w:val="12"/>
          <w:szCs w:val="12"/>
          <w:color w:val="auto"/>
        </w:rPr>
        <w:t>ISRAEL CORPORATION LTD. ("TIC")</w:t>
      </w:r>
    </w:p>
    <w:p>
      <w:pPr>
        <w:sectPr>
          <w:pgSz w:w="11900" w:h="16838" w:orient="portrait"/>
          <w:cols w:equalWidth="0" w:num="1">
            <w:col w:w="10247"/>
          </w:cols>
          <w:pgMar w:left="212" w:top="411" w:right="1440" w:bottom="0" w:gutter="0" w:footer="0" w:header="0"/>
        </w:sectPr>
      </w:pP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the Borrower carries on business as an independent "foundry"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manufacturer of semiconductor integrated circuits and a provider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of related design services and the Borrower wishes to purchase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Ramp-Up Equipment (as defined in Schedule 1.2) and requires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financing for payment of the cost of acquisition of the Ramp-Up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Equipment;</w:t>
      </w:r>
    </w:p>
    <w:p>
      <w:pPr>
        <w:spacing w:after="0" w:line="139" w:lineRule="exact"/>
        <w:rPr>
          <w:sz w:val="20"/>
          <w:szCs w:val="20"/>
          <w:color w:val="auto"/>
        </w:rPr>
      </w:pPr>
    </w:p>
    <w:p>
      <w:pPr>
        <w:sectPr>
          <w:pgSz w:w="11900" w:h="16838" w:orient="portrait"/>
          <w:cols w:equalWidth="0" w:num="2">
            <w:col w:w="568" w:space="480"/>
            <w:col w:w="9199"/>
          </w:cols>
          <w:pgMar w:left="212" w:top="411" w:right="1440" w:bottom="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AND 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Bank Hapoalim B.M. and the Borrower are parties to an Equipment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Facility Agreement, dated September 10, 2007 and Bank Leumi</w:t>
      </w:r>
    </w:p>
    <w:p>
      <w:pPr>
        <w:spacing w:after="0"/>
        <w:rPr>
          <w:sz w:val="20"/>
          <w:szCs w:val="20"/>
          <w:color w:val="auto"/>
        </w:rPr>
      </w:pPr>
      <w:r>
        <w:rPr>
          <w:rFonts w:ascii="Courier New" w:cs="Courier New" w:eastAsia="Courier New" w:hAnsi="Courier New"/>
          <w:sz w:val="12"/>
          <w:szCs w:val="12"/>
          <w:color w:val="auto"/>
        </w:rPr>
        <w:t>le-Israel B.M. and the Borrower are parties to an Equipment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Facility Agreement, dated September 10, 2007 (collectively,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BANKS' EQUIPMENT FACILITY AGREEMENTS");</w:t>
      </w:r>
    </w:p>
    <w:p>
      <w:pPr>
        <w:spacing w:after="0" w:line="134" w:lineRule="exact"/>
        <w:rPr>
          <w:sz w:val="20"/>
          <w:szCs w:val="20"/>
          <w:color w:val="auto"/>
        </w:rPr>
      </w:pPr>
    </w:p>
    <w:p>
      <w:pPr>
        <w:sectPr>
          <w:pgSz w:w="11900" w:h="16838" w:orient="portrait"/>
          <w:cols w:equalWidth="0" w:num="2">
            <w:col w:w="848" w:space="200"/>
            <w:col w:w="9199"/>
          </w:cols>
          <w:pgMar w:left="212" w:top="411" w:right="1440" w:bottom="0" w:gutter="0" w:footer="0" w:header="0"/>
          <w:type w:val="continuous"/>
        </w:sectPr>
      </w:pPr>
    </w:p>
    <w:p>
      <w:pPr>
        <w:spacing w:after="0" w:line="5"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AND 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as a condition precedent to the respective obligations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Banks under each of the Banks' Equipment Facility Agreements, TIC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shall deliver to the Banks the irrevocable and unconditional</w:t>
      </w:r>
    </w:p>
    <w:p>
      <w:pPr>
        <w:spacing w:after="0"/>
        <w:rPr>
          <w:sz w:val="20"/>
          <w:szCs w:val="20"/>
          <w:color w:val="auto"/>
        </w:rPr>
      </w:pPr>
      <w:r>
        <w:rPr>
          <w:rFonts w:ascii="Courier New" w:cs="Courier New" w:eastAsia="Courier New" w:hAnsi="Courier New"/>
          <w:sz w:val="12"/>
          <w:szCs w:val="12"/>
          <w:color w:val="auto"/>
        </w:rPr>
        <w:t>undertaking in the form attached hereto as ANNEX A ("THE</w:t>
      </w:r>
    </w:p>
    <w:p>
      <w:pPr>
        <w:spacing w:after="0" w:line="237" w:lineRule="auto"/>
        <w:rPr>
          <w:sz w:val="20"/>
          <w:szCs w:val="20"/>
          <w:color w:val="auto"/>
        </w:rPr>
      </w:pPr>
      <w:r>
        <w:rPr>
          <w:rFonts w:ascii="Courier New" w:cs="Courier New" w:eastAsia="Courier New" w:hAnsi="Courier New"/>
          <w:sz w:val="12"/>
          <w:szCs w:val="12"/>
          <w:color w:val="auto"/>
        </w:rPr>
        <w:t>UNDERTAKING");</w:t>
      </w:r>
    </w:p>
    <w:p>
      <w:pPr>
        <w:spacing w:after="0" w:line="200" w:lineRule="exact"/>
        <w:rPr>
          <w:sz w:val="20"/>
          <w:szCs w:val="20"/>
          <w:color w:val="auto"/>
        </w:rPr>
      </w:pPr>
    </w:p>
    <w:p>
      <w:pPr>
        <w:sectPr>
          <w:pgSz w:w="11900" w:h="16838" w:orient="portrait"/>
          <w:cols w:equalWidth="0" w:num="2">
            <w:col w:w="848" w:space="200"/>
            <w:col w:w="9199"/>
          </w:cols>
          <w:pgMar w:left="212" w:top="411" w:right="1440" w:bottom="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1048" w:right="4699" w:hanging="1053"/>
        <w:spacing w:after="0" w:line="237" w:lineRule="auto"/>
        <w:tabs>
          <w:tab w:leader="none" w:pos="1028" w:val="left"/>
        </w:tabs>
        <w:rPr>
          <w:sz w:val="20"/>
          <w:szCs w:val="20"/>
          <w:color w:val="auto"/>
        </w:rPr>
      </w:pPr>
      <w:r>
        <w:rPr>
          <w:rFonts w:ascii="Courier New" w:cs="Courier New" w:eastAsia="Courier New" w:hAnsi="Courier New"/>
          <w:sz w:val="12"/>
          <w:szCs w:val="12"/>
          <w:color w:val="auto"/>
        </w:rPr>
        <w:t>AND WHEREAS:</w:t>
        <w:tab/>
        <w:t>subject to the terms and conditions of this Agreement, including the fulfilment of the conditions precedent set out below, TIC is willing to make available to the Borrower an unsecured US Dollar credit facility, subordinate to the Banks as set forth in clause 6A below, in order to partially finance the cost of acquisition of the Ramp-Up Equipment,</w:t>
      </w:r>
    </w:p>
    <w:p>
      <w:pPr>
        <w:spacing w:after="0" w:line="136"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NOW, THEREFORE, IT IS HEREBY AGREED AS FOLLOWS:</w:t>
      </w:r>
    </w:p>
    <w:p>
      <w:pPr>
        <w:spacing w:after="0" w:line="134" w:lineRule="exact"/>
        <w:rPr>
          <w:sz w:val="20"/>
          <w:szCs w:val="20"/>
          <w:color w:val="auto"/>
        </w:rPr>
      </w:pPr>
    </w:p>
    <w:p>
      <w:pPr>
        <w:ind w:left="348" w:hanging="348"/>
        <w:spacing w:after="0"/>
        <w:tabs>
          <w:tab w:leader="none" w:pos="348" w:val="left"/>
        </w:tabs>
        <w:numPr>
          <w:ilvl w:val="0"/>
          <w:numId w:val="145"/>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INTERPRETATION</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1.1. DEFINITIONS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 this Agreement, the following terms have the meanings given to them</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 this clause 1.1:</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 "AVAILABILITY PERIOD" - means the period commencing on the</w:t>
      </w:r>
    </w:p>
    <w:p>
      <w:pPr>
        <w:ind w:left="1048"/>
        <w:spacing w:after="0"/>
        <w:rPr>
          <w:sz w:val="20"/>
          <w:szCs w:val="20"/>
          <w:color w:val="auto"/>
        </w:rPr>
      </w:pPr>
      <w:r>
        <w:rPr>
          <w:rFonts w:ascii="Courier New" w:cs="Courier New" w:eastAsia="Courier New" w:hAnsi="Courier New"/>
          <w:sz w:val="12"/>
          <w:szCs w:val="12"/>
          <w:color w:val="auto"/>
        </w:rPr>
        <w:t>Closing Date and ending on the Termination Date;</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1.1.2. "AVAILABLE COMMITMENT" - means the Commitment less: (a) all</w:t>
      </w:r>
    </w:p>
    <w:p>
      <w:pPr>
        <w:ind w:left="1048"/>
        <w:spacing w:after="0"/>
        <w:rPr>
          <w:sz w:val="20"/>
          <w:szCs w:val="20"/>
          <w:color w:val="auto"/>
        </w:rPr>
      </w:pPr>
      <w:r>
        <w:rPr>
          <w:rFonts w:ascii="Courier New" w:cs="Courier New" w:eastAsia="Courier New" w:hAnsi="Courier New"/>
          <w:sz w:val="12"/>
          <w:szCs w:val="12"/>
          <w:color w:val="auto"/>
        </w:rPr>
        <w:t>outstanding Equipment Facility Credits provided by TIC; (b) any</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such Equipment Facility Credits that have been requested and are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due to be made under the Equipment Facility on or before the</w:t>
      </w:r>
    </w:p>
    <w:p>
      <w:pPr>
        <w:ind w:left="1048"/>
        <w:spacing w:after="0"/>
        <w:rPr>
          <w:sz w:val="20"/>
          <w:szCs w:val="20"/>
          <w:color w:val="auto"/>
        </w:rPr>
      </w:pPr>
      <w:r>
        <w:rPr>
          <w:rFonts w:ascii="Courier New" w:cs="Courier New" w:eastAsia="Courier New" w:hAnsi="Courier New"/>
          <w:sz w:val="12"/>
          <w:szCs w:val="12"/>
          <w:color w:val="auto"/>
        </w:rPr>
        <w:t>proposed Drawdown Date (for the removal of doubt, Equipment</w:t>
      </w:r>
    </w:p>
    <w:p>
      <w:pPr>
        <w:ind w:left="1048"/>
        <w:spacing w:after="0" w:line="237" w:lineRule="auto"/>
        <w:rPr>
          <w:sz w:val="20"/>
          <w:szCs w:val="20"/>
          <w:color w:val="auto"/>
        </w:rPr>
      </w:pPr>
      <w:r>
        <w:rPr>
          <w:rFonts w:ascii="Courier New" w:cs="Courier New" w:eastAsia="Courier New" w:hAnsi="Courier New"/>
          <w:sz w:val="12"/>
          <w:szCs w:val="12"/>
          <w:color w:val="auto"/>
        </w:rPr>
        <w:t>Facility Credits that have been requested in connection with</w:t>
      </w:r>
    </w:p>
    <w:p>
      <w:pPr>
        <w:ind w:left="1048"/>
        <w:spacing w:after="0"/>
        <w:rPr>
          <w:sz w:val="20"/>
          <w:szCs w:val="20"/>
          <w:color w:val="auto"/>
        </w:rPr>
      </w:pPr>
      <w:r>
        <w:rPr>
          <w:rFonts w:ascii="Courier New" w:cs="Courier New" w:eastAsia="Courier New" w:hAnsi="Courier New"/>
          <w:sz w:val="12"/>
          <w:szCs w:val="12"/>
          <w:color w:val="auto"/>
        </w:rPr>
        <w:t>Equipment L/Cs (as such term is defined in the Banks' Equipment</w:t>
      </w:r>
    </w:p>
    <w:p>
      <w:pPr>
        <w:ind w:left="1048"/>
        <w:spacing w:after="0" w:line="237" w:lineRule="auto"/>
        <w:rPr>
          <w:sz w:val="20"/>
          <w:szCs w:val="20"/>
          <w:color w:val="auto"/>
        </w:rPr>
      </w:pPr>
      <w:r>
        <w:rPr>
          <w:rFonts w:ascii="Courier New" w:cs="Courier New" w:eastAsia="Courier New" w:hAnsi="Courier New"/>
          <w:sz w:val="12"/>
          <w:szCs w:val="12"/>
          <w:color w:val="auto"/>
        </w:rPr>
        <w:t>Facility Agreements) which have expired or the Maximum Drawing</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Amount thereof has been reduced (to the extent of such reduction)</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shall not reduce the Commitment);</w:t>
      </w:r>
    </w:p>
    <w:p>
      <w:pPr>
        <w:spacing w:after="0" w:line="134"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2"/>
          <w:szCs w:val="12"/>
          <w:color w:val="auto"/>
        </w:rPr>
        <w:t>1.1.3. "BANKS" - means Bank Hapoalim B.M. and Bank Leumi le-Israel</w:t>
      </w:r>
    </w:p>
    <w:p>
      <w:pPr>
        <w:jc w:val="right"/>
        <w:ind w:right="4899"/>
        <w:spacing w:after="0"/>
        <w:rPr>
          <w:sz w:val="20"/>
          <w:szCs w:val="20"/>
          <w:color w:val="auto"/>
        </w:rPr>
      </w:pPr>
      <w:r>
        <w:rPr>
          <w:rFonts w:ascii="Courier New" w:cs="Courier New" w:eastAsia="Courier New" w:hAnsi="Courier New"/>
          <w:sz w:val="12"/>
          <w:szCs w:val="12"/>
          <w:color w:val="auto"/>
        </w:rPr>
        <w:t>B.M. and their permitted assigns under the Finance Documents;</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- 2 -</w:t>
      </w:r>
    </w:p>
    <w:p>
      <w:pPr>
        <w:spacing w:after="0" w:line="38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1.1.4. "BORROWER" - means Tower Semiconductor Ltd.;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1.1.5. "BORROWER'S ACCOUNT" - means the account designated by the</w:t>
      </w:r>
    </w:p>
    <w:p>
      <w:pPr>
        <w:ind w:left="1048"/>
        <w:spacing w:after="0"/>
        <w:rPr>
          <w:sz w:val="20"/>
          <w:szCs w:val="20"/>
          <w:color w:val="auto"/>
        </w:rPr>
      </w:pPr>
      <w:r>
        <w:rPr>
          <w:rFonts w:ascii="Courier New" w:cs="Courier New" w:eastAsia="Courier New" w:hAnsi="Courier New"/>
          <w:sz w:val="12"/>
          <w:szCs w:val="12"/>
          <w:color w:val="auto"/>
        </w:rPr>
        <w:t>Borrower in a Drawdown Request, into which account the</w:t>
      </w:r>
    </w:p>
    <w:p>
      <w:pPr>
        <w:ind w:left="1048"/>
        <w:spacing w:after="0" w:line="237" w:lineRule="auto"/>
        <w:rPr>
          <w:sz w:val="20"/>
          <w:szCs w:val="20"/>
          <w:color w:val="auto"/>
        </w:rPr>
      </w:pPr>
      <w:r>
        <w:rPr>
          <w:rFonts w:ascii="Courier New" w:cs="Courier New" w:eastAsia="Courier New" w:hAnsi="Courier New"/>
          <w:sz w:val="12"/>
          <w:szCs w:val="12"/>
          <w:color w:val="auto"/>
        </w:rPr>
        <w:t>corresponding Equipment Loan by TIC will be paid in accordance</w:t>
      </w:r>
    </w:p>
    <w:p>
      <w:pPr>
        <w:ind w:left="1048"/>
        <w:spacing w:after="0"/>
        <w:rPr>
          <w:sz w:val="20"/>
          <w:szCs w:val="20"/>
          <w:color w:val="auto"/>
        </w:rPr>
      </w:pPr>
      <w:r>
        <w:rPr>
          <w:rFonts w:ascii="Courier New" w:cs="Courier New" w:eastAsia="Courier New" w:hAnsi="Courier New"/>
          <w:sz w:val="12"/>
          <w:szCs w:val="12"/>
          <w:color w:val="auto"/>
        </w:rPr>
        <w:t>with clause 14.2 below;</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1.1.6. RESERVED;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1.1.7. "COMMITMENT" - means the amount of US $30,000,000 thirty</w:t>
      </w:r>
    </w:p>
    <w:p>
      <w:pPr>
        <w:ind w:left="1048"/>
        <w:spacing w:after="0"/>
        <w:rPr>
          <w:sz w:val="20"/>
          <w:szCs w:val="20"/>
          <w:color w:val="auto"/>
        </w:rPr>
      </w:pPr>
      <w:r>
        <w:rPr>
          <w:rFonts w:ascii="Courier New" w:cs="Courier New" w:eastAsia="Courier New" w:hAnsi="Courier New"/>
          <w:sz w:val="12"/>
          <w:szCs w:val="12"/>
          <w:color w:val="auto"/>
        </w:rPr>
        <w:t>million United States Dollars);</w:t>
      </w:r>
    </w:p>
    <w:p>
      <w:pPr>
        <w:spacing w:after="0" w:line="138"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1.1.8. "DRAWDOWN DATE" - means, in respect of any Equipment Loan, the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date of the making of such Equipment Loan;</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1.1.9. "DRAWDOWN REQUEST" - means a notice substantially in the form</w:t>
      </w:r>
    </w:p>
    <w:p>
      <w:pPr>
        <w:ind w:left="1048"/>
        <w:spacing w:after="0"/>
        <w:rPr>
          <w:sz w:val="20"/>
          <w:szCs w:val="20"/>
          <w:color w:val="auto"/>
        </w:rPr>
      </w:pPr>
      <w:r>
        <w:rPr>
          <w:rFonts w:ascii="Courier New" w:cs="Courier New" w:eastAsia="Courier New" w:hAnsi="Courier New"/>
          <w:sz w:val="12"/>
          <w:szCs w:val="12"/>
          <w:color w:val="auto"/>
        </w:rPr>
        <w:t>of SCHEDULE 1.1.9 hereto;</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1.1.10. "EQUIPMENT FACILITY" - means the US Dollar credit facility</w:t>
      </w:r>
    </w:p>
    <w:p>
      <w:pPr>
        <w:ind w:left="1048"/>
        <w:spacing w:after="0"/>
        <w:rPr>
          <w:sz w:val="20"/>
          <w:szCs w:val="20"/>
          <w:color w:val="auto"/>
        </w:rPr>
      </w:pPr>
      <w:r>
        <w:rPr>
          <w:rFonts w:ascii="Courier New" w:cs="Courier New" w:eastAsia="Courier New" w:hAnsi="Courier New"/>
          <w:sz w:val="12"/>
          <w:szCs w:val="12"/>
          <w:color w:val="auto"/>
        </w:rPr>
        <w:t>granted to the Borrower by TIC pursuant to clause 2.1 below;</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1.1.11. "EQUIPMENT FACILITY CREDIT" - means any Equipment Loans made</w:t>
      </w:r>
    </w:p>
    <w:p>
      <w:pPr>
        <w:ind w:left="1048"/>
        <w:spacing w:after="0"/>
        <w:rPr>
          <w:sz w:val="20"/>
          <w:szCs w:val="20"/>
          <w:color w:val="auto"/>
        </w:rPr>
      </w:pPr>
      <w:r>
        <w:rPr>
          <w:rFonts w:ascii="Courier New" w:cs="Courier New" w:eastAsia="Courier New" w:hAnsi="Courier New"/>
          <w:sz w:val="12"/>
          <w:szCs w:val="12"/>
          <w:color w:val="auto"/>
        </w:rPr>
        <w:t>to the Borrower pursuant to the Equipment Facility or, as the</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context requires, the principal amount of such Equipment Loans at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such relevant time; provided that, the maximum aggregate amount</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of all Equipment Facility Credits shall not exceed US $30,000,000</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(thirty million United States Dollars);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1.1.12. "EQUIPMENT FACILITY DEFAULT" - means any Equipment Facility</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Event of Default or any event which with the giving of notice or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lapse of time, or the making of any determination hereunder, or</w:t>
      </w:r>
    </w:p>
    <w:p>
      <w:pPr>
        <w:ind w:left="1048"/>
        <w:spacing w:after="0"/>
        <w:rPr>
          <w:sz w:val="20"/>
          <w:szCs w:val="20"/>
          <w:color w:val="auto"/>
        </w:rPr>
      </w:pPr>
      <w:r>
        <w:rPr>
          <w:rFonts w:ascii="Courier New" w:cs="Courier New" w:eastAsia="Courier New" w:hAnsi="Courier New"/>
          <w:sz w:val="12"/>
          <w:szCs w:val="12"/>
          <w:color w:val="auto"/>
        </w:rPr>
        <w:t>the satisfaction of any other condition (or any combination</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thereof) would constitute an Equipment Facility Event of Default;</w:t>
      </w:r>
    </w:p>
    <w:p>
      <w:pPr>
        <w:spacing w:after="0" w:line="276"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- 3 -</w:t>
      </w:r>
    </w:p>
    <w:p>
      <w:pPr>
        <w:spacing w:after="0" w:line="386"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2"/>
          <w:szCs w:val="12"/>
          <w:color w:val="auto"/>
        </w:rPr>
        <w:t>1.1.13. "EQUIPMENT FACILITY EVENT OF DEFAULT" - means any of the</w:t>
      </w:r>
    </w:p>
    <w:p>
      <w:pPr>
        <w:ind w:left="1048"/>
        <w:spacing w:after="0"/>
        <w:rPr>
          <w:sz w:val="20"/>
          <w:szCs w:val="20"/>
          <w:color w:val="auto"/>
        </w:rPr>
      </w:pPr>
      <w:r>
        <w:rPr>
          <w:rFonts w:ascii="Courier New" w:cs="Courier New" w:eastAsia="Courier New" w:hAnsi="Courier New"/>
          <w:sz w:val="12"/>
          <w:szCs w:val="12"/>
          <w:color w:val="auto"/>
        </w:rPr>
        <w:t>events or circumstances described in clauses 11.2-11.7</w:t>
      </w:r>
    </w:p>
    <w:p>
      <w:pPr>
        <w:ind w:left="1048"/>
        <w:spacing w:after="0" w:line="237" w:lineRule="auto"/>
        <w:rPr>
          <w:sz w:val="20"/>
          <w:szCs w:val="20"/>
          <w:color w:val="auto"/>
        </w:rPr>
      </w:pPr>
      <w:r>
        <w:rPr>
          <w:rFonts w:ascii="Courier New" w:cs="Courier New" w:eastAsia="Courier New" w:hAnsi="Courier New"/>
          <w:sz w:val="12"/>
          <w:szCs w:val="12"/>
          <w:color w:val="auto"/>
        </w:rPr>
        <w:t>(inclusive) below;</w:t>
      </w:r>
    </w:p>
    <w:p>
      <w:pPr>
        <w:sectPr>
          <w:pgSz w:w="11900" w:h="16838" w:orient="portrait"/>
          <w:cols w:equalWidth="0" w:num="1">
            <w:col w:w="10247"/>
          </w:cols>
          <w:pgMar w:left="212" w:top="411" w:right="1440" w:bottom="0" w:gutter="0" w:footer="0" w:header="0"/>
          <w:type w:val="continuous"/>
        </w:sectPr>
      </w:pPr>
    </w:p>
    <w:bookmarkStart w:id="101" w:name="page102"/>
    <w:bookmarkEnd w:id="101"/>
    <w:p>
      <w:pPr>
        <w:ind w:left="708"/>
        <w:spacing w:after="0"/>
        <w:rPr>
          <w:sz w:val="20"/>
          <w:szCs w:val="20"/>
          <w:color w:val="auto"/>
        </w:rPr>
      </w:pPr>
      <w:r>
        <w:rPr>
          <w:rFonts w:ascii="Courier New" w:cs="Courier New" w:eastAsia="Courier New" w:hAnsi="Courier New"/>
          <w:sz w:val="12"/>
          <w:szCs w:val="12"/>
          <w:color w:val="auto"/>
        </w:rPr>
        <w:t>1.1.14. "EQUIPMENT LOAN" - means an unsecured, subordinated (as set</w:t>
      </w:r>
    </w:p>
    <w:p>
      <w:pPr>
        <w:ind w:left="1048"/>
        <w:spacing w:after="0"/>
        <w:rPr>
          <w:sz w:val="20"/>
          <w:szCs w:val="20"/>
          <w:color w:val="auto"/>
        </w:rPr>
      </w:pPr>
      <w:r>
        <w:rPr>
          <w:rFonts w:ascii="Courier New" w:cs="Courier New" w:eastAsia="Courier New" w:hAnsi="Courier New"/>
          <w:sz w:val="12"/>
          <w:szCs w:val="12"/>
          <w:color w:val="auto"/>
        </w:rPr>
        <w:t>forth in clause 6A below) loan made or to be made by TIC under</w:t>
      </w:r>
    </w:p>
    <w:p>
      <w:pPr>
        <w:ind w:left="1048"/>
        <w:spacing w:after="0" w:line="237" w:lineRule="auto"/>
        <w:rPr>
          <w:sz w:val="20"/>
          <w:szCs w:val="20"/>
          <w:color w:val="auto"/>
        </w:rPr>
      </w:pPr>
      <w:r>
        <w:rPr>
          <w:rFonts w:ascii="Courier New" w:cs="Courier New" w:eastAsia="Courier New" w:hAnsi="Courier New"/>
          <w:sz w:val="12"/>
          <w:szCs w:val="12"/>
          <w:color w:val="auto"/>
        </w:rPr>
        <w:t>the Equipment Facility pursuant to clause 4.2 below;</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1.1.15. "EQUIPMENT LOAN MATURITY DATE" - means the earlier of:</w:t>
      </w:r>
    </w:p>
    <w:p>
      <w:pPr>
        <w:spacing w:after="0" w:line="134" w:lineRule="exact"/>
        <w:rPr>
          <w:sz w:val="20"/>
          <w:szCs w:val="20"/>
          <w:color w:val="auto"/>
        </w:rPr>
      </w:pPr>
    </w:p>
    <w:p>
      <w:pPr>
        <w:ind w:left="1408" w:hanging="354"/>
        <w:spacing w:after="0"/>
        <w:tabs>
          <w:tab w:leader="none" w:pos="1408" w:val="left"/>
        </w:tabs>
        <w:numPr>
          <w:ilvl w:val="0"/>
          <w:numId w:val="1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Final Equipment Facility Maturity Date; and</w:t>
      </w:r>
    </w:p>
    <w:p>
      <w:pPr>
        <w:spacing w:after="0" w:line="138" w:lineRule="exact"/>
        <w:rPr>
          <w:rFonts w:ascii="Courier New" w:cs="Courier New" w:eastAsia="Courier New" w:hAnsi="Courier New"/>
          <w:sz w:val="12"/>
          <w:szCs w:val="12"/>
          <w:color w:val="auto"/>
        </w:rPr>
      </w:pPr>
    </w:p>
    <w:p>
      <w:pPr>
        <w:ind w:left="1408" w:right="4979" w:hanging="354"/>
        <w:spacing w:after="0" w:line="236" w:lineRule="auto"/>
        <w:tabs>
          <w:tab w:leader="none" w:pos="1408" w:val="left"/>
        </w:tabs>
        <w:numPr>
          <w:ilvl w:val="0"/>
          <w:numId w:val="146"/>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Business Day immediately following the second anniversary of the date on which the Equipment Loan was made,</w:t>
      </w:r>
    </w:p>
    <w:p>
      <w:pPr>
        <w:spacing w:after="0" w:line="139"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subject, in each case, to mandatory prepayment on an earlier date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pursuant to clause 6.2 below;</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1.1.16. "FACILITY AGREEMENT" - the Facility Agreement originally made</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on January 18, 2001, by and among the Borrower and the Banks, as</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amended and restated on August 24, 2006 and further amended on</w:t>
      </w:r>
    </w:p>
    <w:p>
      <w:pPr>
        <w:ind w:left="1048"/>
        <w:spacing w:after="0"/>
        <w:rPr>
          <w:sz w:val="20"/>
          <w:szCs w:val="20"/>
          <w:color w:val="auto"/>
        </w:rPr>
      </w:pPr>
      <w:r>
        <w:rPr>
          <w:rFonts w:ascii="Courier New" w:cs="Courier New" w:eastAsia="Courier New" w:hAnsi="Courier New"/>
          <w:sz w:val="12"/>
          <w:szCs w:val="12"/>
          <w:color w:val="auto"/>
        </w:rPr>
        <w:t>September 10, 2007;</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1.1.16A. "FEE LETTER" - means the fee letter dated the date hereof</w:t>
      </w:r>
    </w:p>
    <w:p>
      <w:pPr>
        <w:ind w:left="1048"/>
        <w:spacing w:after="0"/>
        <w:rPr>
          <w:sz w:val="20"/>
          <w:szCs w:val="20"/>
          <w:color w:val="auto"/>
        </w:rPr>
      </w:pPr>
      <w:r>
        <w:rPr>
          <w:rFonts w:ascii="Courier New" w:cs="Courier New" w:eastAsia="Courier New" w:hAnsi="Courier New"/>
          <w:sz w:val="12"/>
          <w:szCs w:val="12"/>
          <w:color w:val="auto"/>
        </w:rPr>
        <w:t>between TIC and the Borrower in the form of SCHEDULE 1.1.16A</w:t>
      </w:r>
    </w:p>
    <w:p>
      <w:pPr>
        <w:ind w:left="1048"/>
        <w:spacing w:after="0" w:line="237" w:lineRule="auto"/>
        <w:rPr>
          <w:sz w:val="20"/>
          <w:szCs w:val="20"/>
          <w:color w:val="auto"/>
        </w:rPr>
      </w:pPr>
      <w:r>
        <w:rPr>
          <w:rFonts w:ascii="Courier New" w:cs="Courier New" w:eastAsia="Courier New" w:hAnsi="Courier New"/>
          <w:sz w:val="12"/>
          <w:szCs w:val="12"/>
          <w:color w:val="auto"/>
        </w:rPr>
        <w:t>hereto;</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1.1.17. "FINAL EQUIPMENT FACILITY MATURITY DATE" - means March 31,</w:t>
      </w:r>
    </w:p>
    <w:p>
      <w:pPr>
        <w:ind w:left="1048"/>
        <w:spacing w:after="0"/>
        <w:rPr>
          <w:sz w:val="20"/>
          <w:szCs w:val="20"/>
          <w:color w:val="auto"/>
        </w:rPr>
      </w:pPr>
      <w:r>
        <w:rPr>
          <w:rFonts w:ascii="Courier New" w:cs="Courier New" w:eastAsia="Courier New" w:hAnsi="Courier New"/>
          <w:sz w:val="12"/>
          <w:szCs w:val="12"/>
          <w:color w:val="auto"/>
        </w:rPr>
        <w:t>2010;</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- 4 -</w:t>
      </w:r>
    </w:p>
    <w:p>
      <w:pPr>
        <w:spacing w:after="0" w:line="391"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1.1.18. "SHARE WARRANTS" - means the warrants to acquire shares of the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Borrower to be issued by the Borrower to TIC in the form of</w:t>
      </w:r>
    </w:p>
    <w:p>
      <w:pPr>
        <w:ind w:left="1048"/>
        <w:spacing w:after="0"/>
        <w:rPr>
          <w:sz w:val="20"/>
          <w:szCs w:val="20"/>
          <w:color w:val="auto"/>
        </w:rPr>
      </w:pPr>
      <w:r>
        <w:rPr>
          <w:rFonts w:ascii="Courier New" w:cs="Courier New" w:eastAsia="Courier New" w:hAnsi="Courier New"/>
          <w:sz w:val="12"/>
          <w:szCs w:val="12"/>
          <w:color w:val="auto"/>
        </w:rPr>
        <w:t>SCHEDULE 1.1.18 hereto;</w:t>
      </w:r>
    </w:p>
    <w:p>
      <w:pPr>
        <w:spacing w:after="0" w:line="133"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2"/>
          <w:szCs w:val="12"/>
          <w:color w:val="auto"/>
        </w:rPr>
        <w:t>1.1.19. "TERMINATION DATE" - means the Business Day immediately</w:t>
      </w:r>
    </w:p>
    <w:p>
      <w:pPr>
        <w:jc w:val="center"/>
        <w:ind w:right="4411"/>
        <w:spacing w:after="0"/>
        <w:rPr>
          <w:sz w:val="20"/>
          <w:szCs w:val="20"/>
          <w:color w:val="auto"/>
        </w:rPr>
      </w:pPr>
      <w:r>
        <w:rPr>
          <w:rFonts w:ascii="Courier New" w:cs="Courier New" w:eastAsia="Courier New" w:hAnsi="Courier New"/>
          <w:sz w:val="12"/>
          <w:szCs w:val="12"/>
          <w:color w:val="auto"/>
        </w:rPr>
        <w:t>following the second anniversary of the Closing Date;</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1.1.20. "TIC" - means Israel Corporation Ltd.;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1.1.21. "TIC'S ACCOUNT" - means the account designated by TIC, into</w:t>
      </w:r>
    </w:p>
    <w:p>
      <w:pPr>
        <w:ind w:left="1048"/>
        <w:spacing w:after="0"/>
        <w:rPr>
          <w:sz w:val="20"/>
          <w:szCs w:val="20"/>
          <w:color w:val="auto"/>
        </w:rPr>
      </w:pPr>
      <w:r>
        <w:rPr>
          <w:rFonts w:ascii="Courier New" w:cs="Courier New" w:eastAsia="Courier New" w:hAnsi="Courier New"/>
          <w:sz w:val="12"/>
          <w:szCs w:val="12"/>
          <w:color w:val="auto"/>
        </w:rPr>
        <w:t>which:</w:t>
      </w:r>
    </w:p>
    <w:p>
      <w:pPr>
        <w:spacing w:after="0" w:line="138" w:lineRule="exact"/>
        <w:rPr>
          <w:sz w:val="20"/>
          <w:szCs w:val="20"/>
          <w:color w:val="auto"/>
        </w:rPr>
      </w:pPr>
    </w:p>
    <w:p>
      <w:pPr>
        <w:ind w:left="1408" w:right="4899" w:hanging="354"/>
        <w:spacing w:after="0" w:line="235" w:lineRule="auto"/>
        <w:tabs>
          <w:tab w:leader="none" w:pos="1408" w:val="left"/>
        </w:tabs>
        <w:numPr>
          <w:ilvl w:val="0"/>
          <w:numId w:val="1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repayments and prepayments of Equipment Loans to TIC will be made; and</w:t>
      </w:r>
    </w:p>
    <w:p>
      <w:pPr>
        <w:spacing w:after="0" w:line="139" w:lineRule="exact"/>
        <w:rPr>
          <w:rFonts w:ascii="Courier New" w:cs="Courier New" w:eastAsia="Courier New" w:hAnsi="Courier New"/>
          <w:sz w:val="12"/>
          <w:szCs w:val="12"/>
          <w:color w:val="auto"/>
        </w:rPr>
      </w:pPr>
    </w:p>
    <w:p>
      <w:pPr>
        <w:ind w:left="1408" w:right="4899" w:hanging="354"/>
        <w:spacing w:after="0" w:line="235" w:lineRule="auto"/>
        <w:tabs>
          <w:tab w:leader="none" w:pos="1408" w:val="left"/>
        </w:tabs>
        <w:numPr>
          <w:ilvl w:val="0"/>
          <w:numId w:val="14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other payments to TIC under this Agreement are to be made pursuant to this Agreement.</w:t>
      </w:r>
    </w:p>
    <w:p>
      <w:pPr>
        <w:spacing w:after="0" w:line="139" w:lineRule="exact"/>
        <w:rPr>
          <w:sz w:val="20"/>
          <w:szCs w:val="20"/>
          <w:color w:val="auto"/>
        </w:rPr>
      </w:pPr>
    </w:p>
    <w:p>
      <w:pPr>
        <w:ind w:left="708" w:right="4699" w:hanging="350"/>
        <w:spacing w:after="0" w:line="237" w:lineRule="auto"/>
        <w:rPr>
          <w:sz w:val="20"/>
          <w:szCs w:val="20"/>
          <w:color w:val="auto"/>
        </w:rPr>
      </w:pPr>
      <w:r>
        <w:rPr>
          <w:rFonts w:ascii="Courier New" w:cs="Courier New" w:eastAsia="Courier New" w:hAnsi="Courier New"/>
          <w:sz w:val="12"/>
          <w:szCs w:val="12"/>
          <w:color w:val="auto"/>
        </w:rPr>
        <w:t>1.2. Unless otherwise defined in this Agreement, terms defined in SCHEDULE 1.2 hereto are hereby incorporated by reference and shall have the same meaning and construction, MUTATIS MUTANDIS, in this Agreement. Notwithstanding the fact that such Schedule 1.2 includes terms from the Facility Agreement, such terms, for the purposes of this Agreement, shall not be affected by any amendment of the Facility Agreement.</w:t>
      </w:r>
    </w:p>
    <w:p>
      <w:pPr>
        <w:spacing w:after="0" w:line="137"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1.3. The recitals and schedules hereto form an integral part thereof.</w:t>
      </w:r>
    </w:p>
    <w:p>
      <w:pPr>
        <w:spacing w:after="0" w:line="134" w:lineRule="exact"/>
        <w:rPr>
          <w:sz w:val="20"/>
          <w:szCs w:val="20"/>
          <w:color w:val="auto"/>
        </w:rPr>
      </w:pPr>
    </w:p>
    <w:p>
      <w:pPr>
        <w:ind w:left="348" w:hanging="348"/>
        <w:spacing w:after="0"/>
        <w:tabs>
          <w:tab w:leader="none" w:pos="348" w:val="left"/>
        </w:tabs>
        <w:numPr>
          <w:ilvl w:val="0"/>
          <w:numId w:val="14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EQUIPMENT FACILITY</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2.1. GRANT OF EQUIPMENT FACILITY</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Subject to the closing of this Agreement including but not limited to</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fulfilment of the conditions precedent set out in clause 3 below,</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and compliance with the further conditions set out in clause 4 below,</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TIC, relying upon each of the representations and warranties made or</w:t>
      </w:r>
    </w:p>
    <w:p>
      <w:pPr>
        <w:ind w:left="708"/>
        <w:spacing w:after="0"/>
        <w:rPr>
          <w:sz w:val="20"/>
          <w:szCs w:val="20"/>
          <w:color w:val="auto"/>
        </w:rPr>
      </w:pPr>
      <w:r>
        <w:rPr>
          <w:rFonts w:ascii="Courier New" w:cs="Courier New" w:eastAsia="Courier New" w:hAnsi="Courier New"/>
          <w:sz w:val="12"/>
          <w:szCs w:val="12"/>
          <w:color w:val="auto"/>
        </w:rPr>
        <w:t>incorporated by reference in this Agreement, agrees to grant to the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Borrower, for application only in accordance with clause 2.2 below and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otherwise subject to the terms and conditions of this Agreement, the</w:t>
      </w:r>
    </w:p>
    <w:p>
      <w:pPr>
        <w:ind w:left="708"/>
        <w:spacing w:after="0"/>
        <w:rPr>
          <w:sz w:val="20"/>
          <w:szCs w:val="20"/>
          <w:color w:val="auto"/>
        </w:rPr>
      </w:pPr>
      <w:r>
        <w:rPr>
          <w:rFonts w:ascii="Courier New" w:cs="Courier New" w:eastAsia="Courier New" w:hAnsi="Courier New"/>
          <w:sz w:val="12"/>
          <w:szCs w:val="12"/>
          <w:color w:val="auto"/>
        </w:rPr>
        <w:t>Equipment Facility in the aggregate amount of US $30,000,000 (thirty</w:t>
      </w:r>
    </w:p>
    <w:p>
      <w:pPr>
        <w:ind w:left="708"/>
        <w:spacing w:after="0" w:line="237" w:lineRule="auto"/>
        <w:rPr>
          <w:sz w:val="20"/>
          <w:szCs w:val="20"/>
          <w:color w:val="auto"/>
        </w:rPr>
      </w:pPr>
      <w:r>
        <w:rPr>
          <w:rFonts w:ascii="Courier New" w:cs="Courier New" w:eastAsia="Courier New" w:hAnsi="Courier New"/>
          <w:sz w:val="12"/>
          <w:szCs w:val="12"/>
          <w:color w:val="auto"/>
        </w:rPr>
        <w:t>million United States Dollars), being a Dollar facility.</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- 5 -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2.2. PURPOSE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shall apply all Equipment Facility Credits only towards</w:t>
      </w:r>
    </w:p>
    <w:p>
      <w:pPr>
        <w:ind w:left="708"/>
        <w:spacing w:after="0"/>
        <w:rPr>
          <w:sz w:val="20"/>
          <w:szCs w:val="20"/>
          <w:color w:val="auto"/>
        </w:rPr>
      </w:pPr>
      <w:r>
        <w:rPr>
          <w:rFonts w:ascii="Courier New" w:cs="Courier New" w:eastAsia="Courier New" w:hAnsi="Courier New"/>
          <w:sz w:val="12"/>
          <w:szCs w:val="12"/>
          <w:color w:val="auto"/>
        </w:rPr>
        <w:t>the payment of the cost of acquisition of the Ramp-Up Equipment.</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2.3. NO OBLIGATION TO MONITOR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TIC shall not be under any obligation to monitor or verify the</w:t>
      </w:r>
    </w:p>
    <w:p>
      <w:pPr>
        <w:ind w:left="708"/>
        <w:spacing w:after="0"/>
        <w:rPr>
          <w:sz w:val="20"/>
          <w:szCs w:val="20"/>
          <w:color w:val="auto"/>
        </w:rPr>
      </w:pPr>
      <w:r>
        <w:rPr>
          <w:rFonts w:ascii="Courier New" w:cs="Courier New" w:eastAsia="Courier New" w:hAnsi="Courier New"/>
          <w:sz w:val="12"/>
          <w:szCs w:val="12"/>
          <w:color w:val="auto"/>
        </w:rPr>
        <w:t>application of any Equipment Facility Credit made pursuant to this</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Agreement. The Borrower shall promptly notify TIC of the making of any</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additional commitments to purchase or any other purchase orders</w:t>
      </w:r>
    </w:p>
    <w:p>
      <w:pPr>
        <w:ind w:left="708"/>
        <w:spacing w:after="0"/>
        <w:rPr>
          <w:sz w:val="20"/>
          <w:szCs w:val="20"/>
          <w:color w:val="auto"/>
        </w:rPr>
      </w:pPr>
      <w:r>
        <w:rPr>
          <w:rFonts w:ascii="Courier New" w:cs="Courier New" w:eastAsia="Courier New" w:hAnsi="Courier New"/>
          <w:sz w:val="12"/>
          <w:szCs w:val="12"/>
          <w:color w:val="auto"/>
        </w:rPr>
        <w:t>relating to any acquisition of Ramp Up Equipment.</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2.4. TIC UNDERTAKING</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Notwithstanding anything to the contrary in this Agreement, nothing</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contained herein shall in any way derogate from the obligations of TIC</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pursuant to the TIC Undertaking. Accordingly, and without limiting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generality of the aforegoing, TIC shall, prior to or simultaneously</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with the making of any Equipment Loans (as such term is defined in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Banks' Equipment Facility Agreements) by any Bank, provide Equipment</w:t>
      </w:r>
    </w:p>
    <w:p>
      <w:pPr>
        <w:ind w:left="708"/>
        <w:spacing w:after="0"/>
        <w:rPr>
          <w:sz w:val="20"/>
          <w:szCs w:val="20"/>
          <w:color w:val="auto"/>
        </w:rPr>
      </w:pPr>
      <w:r>
        <w:rPr>
          <w:rFonts w:ascii="Courier New" w:cs="Courier New" w:eastAsia="Courier New" w:hAnsi="Courier New"/>
          <w:sz w:val="12"/>
          <w:szCs w:val="12"/>
          <w:color w:val="auto"/>
        </w:rPr>
        <w:t>Facility Credits to the Borrower in an amount equal to the aggregate</w:t>
      </w:r>
    </w:p>
    <w:p>
      <w:pPr>
        <w:ind w:left="708"/>
        <w:spacing w:after="0" w:line="237" w:lineRule="auto"/>
        <w:rPr>
          <w:sz w:val="20"/>
          <w:szCs w:val="20"/>
          <w:color w:val="auto"/>
        </w:rPr>
      </w:pPr>
      <w:r>
        <w:rPr>
          <w:rFonts w:ascii="Courier New" w:cs="Courier New" w:eastAsia="Courier New" w:hAnsi="Courier New"/>
          <w:sz w:val="12"/>
          <w:szCs w:val="12"/>
          <w:color w:val="auto"/>
        </w:rPr>
        <w:t>amount of all Equipment Loans (as such term is defined in the Banks'</w:t>
      </w:r>
    </w:p>
    <w:p>
      <w:pPr>
        <w:ind w:left="708"/>
        <w:spacing w:after="0"/>
        <w:rPr>
          <w:sz w:val="20"/>
          <w:szCs w:val="20"/>
          <w:color w:val="auto"/>
        </w:rPr>
      </w:pPr>
      <w:r>
        <w:rPr>
          <w:rFonts w:ascii="Courier New" w:cs="Courier New" w:eastAsia="Courier New" w:hAnsi="Courier New"/>
          <w:sz w:val="12"/>
          <w:szCs w:val="12"/>
          <w:color w:val="auto"/>
        </w:rPr>
        <w:t>Equipment Facility Agreements) to be provided by theBanks.</w:t>
      </w:r>
    </w:p>
    <w:p>
      <w:pPr>
        <w:spacing w:after="0" w:line="133" w:lineRule="exact"/>
        <w:rPr>
          <w:sz w:val="20"/>
          <w:szCs w:val="20"/>
          <w:color w:val="auto"/>
        </w:rPr>
      </w:pPr>
    </w:p>
    <w:p>
      <w:pPr>
        <w:ind w:left="348" w:hanging="348"/>
        <w:spacing w:after="0"/>
        <w:tabs>
          <w:tab w:leader="none" w:pos="348" w:val="left"/>
        </w:tabs>
        <w:numPr>
          <w:ilvl w:val="0"/>
          <w:numId w:val="149"/>
        </w:numPr>
        <w:rPr>
          <w:rFonts w:ascii="Courier New" w:cs="Courier New" w:eastAsia="Courier New" w:hAnsi="Courier New"/>
          <w:sz w:val="12"/>
          <w:szCs w:val="12"/>
          <w:color w:val="auto"/>
        </w:rPr>
      </w:pPr>
      <w:r>
        <w:rPr>
          <w:rFonts w:ascii="Courier New" w:cs="Courier New" w:eastAsia="Courier New" w:hAnsi="Courier New"/>
          <w:sz w:val="12"/>
          <w:szCs w:val="12"/>
          <w:color w:val="auto"/>
        </w:rPr>
        <w:t>CLOSING AND CONDITIONS PRECEDENT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3.1. CLOSING</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 closing shall take place after the conditions precedent set forth in</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clauses 3.3 and 3.4 below have been satisfied or waived in accordance</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with their terms ("THE CLOSING") at the offices of Yigal Arnon &amp; Co.,</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One Azrieli Center, Tel-Aviv, Israel, or at such other time and place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as the parties shall mutually agree ("THE CLOSING DATE").</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3.2. CONDITIONS FOR CLOSING</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obligations of TIC under this Agreement are subject to the</w:t>
      </w:r>
    </w:p>
    <w:p>
      <w:pPr>
        <w:ind w:left="708"/>
        <w:spacing w:after="0"/>
        <w:rPr>
          <w:sz w:val="20"/>
          <w:szCs w:val="20"/>
          <w:color w:val="auto"/>
        </w:rPr>
      </w:pPr>
      <w:r>
        <w:rPr>
          <w:rFonts w:ascii="Courier New" w:cs="Courier New" w:eastAsia="Courier New" w:hAnsi="Courier New"/>
          <w:sz w:val="12"/>
          <w:szCs w:val="12"/>
          <w:color w:val="auto"/>
        </w:rPr>
        <w:t>condition that this Agreement has been closed (including the actual</w:t>
      </w:r>
    </w:p>
    <w:p>
      <w:pPr>
        <w:ind w:left="708"/>
        <w:spacing w:after="0" w:line="237" w:lineRule="auto"/>
        <w:rPr>
          <w:sz w:val="20"/>
          <w:szCs w:val="20"/>
          <w:color w:val="auto"/>
        </w:rPr>
      </w:pPr>
      <w:r>
        <w:rPr>
          <w:rFonts w:ascii="Courier New" w:cs="Courier New" w:eastAsia="Courier New" w:hAnsi="Courier New"/>
          <w:sz w:val="12"/>
          <w:szCs w:val="12"/>
          <w:color w:val="auto"/>
        </w:rPr>
        <w:t>delivery of all executed documents necessary to be delivered at</w:t>
      </w:r>
    </w:p>
    <w:p>
      <w:pPr>
        <w:ind w:left="708"/>
        <w:spacing w:after="0"/>
        <w:rPr>
          <w:sz w:val="20"/>
          <w:szCs w:val="20"/>
          <w:color w:val="auto"/>
        </w:rPr>
      </w:pPr>
      <w:r>
        <w:rPr>
          <w:rFonts w:ascii="Courier New" w:cs="Courier New" w:eastAsia="Courier New" w:hAnsi="Courier New"/>
          <w:sz w:val="12"/>
          <w:szCs w:val="12"/>
          <w:color w:val="auto"/>
        </w:rPr>
        <w:t>closing and the satisfaction or waiver of all other conditions</w:t>
      </w:r>
    </w:p>
    <w:p>
      <w:pPr>
        <w:ind w:left="708"/>
        <w:spacing w:after="0" w:line="237" w:lineRule="auto"/>
        <w:rPr>
          <w:sz w:val="20"/>
          <w:szCs w:val="20"/>
          <w:color w:val="auto"/>
        </w:rPr>
      </w:pPr>
      <w:r>
        <w:rPr>
          <w:rFonts w:ascii="Courier New" w:cs="Courier New" w:eastAsia="Courier New" w:hAnsi="Courier New"/>
          <w:sz w:val="12"/>
          <w:szCs w:val="12"/>
          <w:color w:val="auto"/>
        </w:rPr>
        <w:t>precedent to Closing) by not later than December 31, 2007.</w:t>
      </w:r>
    </w:p>
    <w:p>
      <w:pPr>
        <w:sectPr>
          <w:pgSz w:w="11900" w:h="16838" w:orient="portrait"/>
          <w:cols w:equalWidth="0" w:num="1">
            <w:col w:w="10247"/>
          </w:cols>
          <w:pgMar w:left="212" w:top="137" w:right="1440" w:bottom="0" w:gutter="0" w:footer="0" w:header="0"/>
        </w:sectPr>
      </w:pPr>
    </w:p>
    <w:bookmarkStart w:id="102" w:name="page103"/>
    <w:bookmarkEnd w:id="102"/>
    <w:p>
      <w:pPr>
        <w:spacing w:after="0" w:line="56"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- 6 -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3.3. Each of the following documents shall be duly delivered at Closing:</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3.3.1. a copy, certified as a true copy by the external legal counsel</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of the Borrower, of the Certificate of Incorporation, Memorandum</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of Association and Articles of Association of the Borrower;</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3.3.2. copies of resolutions of the Board of Directors of the Borrower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authorising named officers of the Borrower to execute, deliver</w:t>
      </w:r>
    </w:p>
    <w:p>
      <w:pPr>
        <w:ind w:left="1048"/>
        <w:spacing w:after="0"/>
        <w:rPr>
          <w:sz w:val="20"/>
          <w:szCs w:val="20"/>
          <w:color w:val="auto"/>
        </w:rPr>
      </w:pPr>
      <w:r>
        <w:rPr>
          <w:rFonts w:ascii="Courier New" w:cs="Courier New" w:eastAsia="Courier New" w:hAnsi="Courier New"/>
          <w:sz w:val="12"/>
          <w:szCs w:val="12"/>
          <w:color w:val="auto"/>
        </w:rPr>
        <w:t>and perform this Agreement and to give all notices and take all</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other action required to be given or taken by the Borrower under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this Agreement;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3.3.3. an opinion of Yigal Arnon &amp; Co., Advocates, the Borrower's</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external legal counsel, addressed to TIC in the form of SCHEDULE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3.3.3 attached hereto;</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3.3.4. executed Share Warrants in the amount and in the form of</w:t>
      </w:r>
    </w:p>
    <w:p>
      <w:pPr>
        <w:ind w:left="1048"/>
        <w:spacing w:after="0"/>
        <w:rPr>
          <w:sz w:val="20"/>
          <w:szCs w:val="20"/>
          <w:color w:val="auto"/>
        </w:rPr>
      </w:pPr>
      <w:r>
        <w:rPr>
          <w:rFonts w:ascii="Courier New" w:cs="Courier New" w:eastAsia="Courier New" w:hAnsi="Courier New"/>
          <w:sz w:val="12"/>
          <w:szCs w:val="12"/>
          <w:color w:val="auto"/>
        </w:rPr>
        <w:t>SCHEDULE 3.3.4 attached hereto;</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3.3.5. executed Fee Letter and payment of all fees payable to TIC</w:t>
      </w:r>
    </w:p>
    <w:p>
      <w:pPr>
        <w:ind w:left="1048"/>
        <w:spacing w:after="0"/>
        <w:rPr>
          <w:sz w:val="20"/>
          <w:szCs w:val="20"/>
          <w:color w:val="auto"/>
        </w:rPr>
      </w:pPr>
      <w:r>
        <w:rPr>
          <w:rFonts w:ascii="Courier New" w:cs="Courier New" w:eastAsia="Courier New" w:hAnsi="Courier New"/>
          <w:sz w:val="12"/>
          <w:szCs w:val="12"/>
          <w:color w:val="auto"/>
        </w:rPr>
        <w:t>thereunder;</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3.3.6. written evidence of the receipt by the Borrower of a gross</w:t>
      </w:r>
    </w:p>
    <w:p>
      <w:pPr>
        <w:ind w:left="1048"/>
        <w:spacing w:after="0"/>
        <w:rPr>
          <w:sz w:val="20"/>
          <w:szCs w:val="20"/>
          <w:color w:val="auto"/>
        </w:rPr>
      </w:pPr>
      <w:r>
        <w:rPr>
          <w:rFonts w:ascii="Courier New" w:cs="Courier New" w:eastAsia="Courier New" w:hAnsi="Courier New"/>
          <w:sz w:val="12"/>
          <w:szCs w:val="12"/>
          <w:color w:val="auto"/>
        </w:rPr>
        <w:t>amount of US $39,977,064 (thirty-nine million, nine hundred and</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seventy-seven thousand and sixty-four United States Dollars) from</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the issuance on or about June 13, 2007 of debentures (convertible</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and non-convertible) and warrants by way of a private placement;</w:t>
      </w:r>
    </w:p>
    <w:p>
      <w:pPr>
        <w:spacing w:after="0" w:line="146"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3.3.7. copies of the written confirmations received by the Borrower of</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the receipt of all requisite corporate and third party, including</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Israeli and foreign Governmental Body, approvals to the</w:t>
      </w:r>
    </w:p>
    <w:p>
      <w:pPr>
        <w:ind w:left="1048"/>
        <w:spacing w:after="0"/>
        <w:rPr>
          <w:sz w:val="20"/>
          <w:szCs w:val="20"/>
          <w:color w:val="auto"/>
        </w:rPr>
      </w:pPr>
      <w:r>
        <w:rPr>
          <w:rFonts w:ascii="Courier New" w:cs="Courier New" w:eastAsia="Courier New" w:hAnsi="Courier New"/>
          <w:sz w:val="12"/>
          <w:szCs w:val="12"/>
          <w:color w:val="auto"/>
        </w:rPr>
        <w:t>transactions contemplated by this Agreement; and</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3.3.8. an officer's certificate signed by the CEO and CFO of the</w:t>
      </w:r>
    </w:p>
    <w:p>
      <w:pPr>
        <w:ind w:left="1048"/>
        <w:spacing w:after="0"/>
        <w:rPr>
          <w:sz w:val="20"/>
          <w:szCs w:val="20"/>
          <w:color w:val="auto"/>
        </w:rPr>
      </w:pPr>
      <w:r>
        <w:rPr>
          <w:rFonts w:ascii="Courier New" w:cs="Courier New" w:eastAsia="Courier New" w:hAnsi="Courier New"/>
          <w:sz w:val="12"/>
          <w:szCs w:val="12"/>
          <w:color w:val="auto"/>
        </w:rPr>
        <w:t>Borrower on behalf of the Borrower indicating that all of the</w:t>
      </w:r>
    </w:p>
    <w:p>
      <w:pPr>
        <w:ind w:left="1048"/>
        <w:spacing w:after="0" w:line="237" w:lineRule="auto"/>
        <w:rPr>
          <w:sz w:val="20"/>
          <w:szCs w:val="20"/>
          <w:color w:val="auto"/>
        </w:rPr>
      </w:pPr>
      <w:r>
        <w:rPr>
          <w:rFonts w:ascii="Courier New" w:cs="Courier New" w:eastAsia="Courier New" w:hAnsi="Courier New"/>
          <w:sz w:val="12"/>
          <w:szCs w:val="12"/>
          <w:color w:val="auto"/>
        </w:rPr>
        <w:t>provisions of this clause 3.3 have been complied with in their</w:t>
      </w:r>
    </w:p>
    <w:p>
      <w:pPr>
        <w:ind w:left="1048"/>
        <w:spacing w:after="0"/>
        <w:rPr>
          <w:sz w:val="20"/>
          <w:szCs w:val="20"/>
          <w:color w:val="auto"/>
        </w:rPr>
      </w:pPr>
      <w:r>
        <w:rPr>
          <w:rFonts w:ascii="Courier New" w:cs="Courier New" w:eastAsia="Courier New" w:hAnsi="Courier New"/>
          <w:sz w:val="12"/>
          <w:szCs w:val="12"/>
          <w:color w:val="auto"/>
        </w:rPr>
        <w:t>entirety.</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- 7 -</w:t>
      </w:r>
    </w:p>
    <w:p>
      <w:pPr>
        <w:spacing w:after="0" w:line="391" w:lineRule="exact"/>
        <w:rPr>
          <w:sz w:val="20"/>
          <w:szCs w:val="20"/>
          <w:color w:val="auto"/>
        </w:rPr>
      </w:pPr>
    </w:p>
    <w:p>
      <w:pPr>
        <w:jc w:val="both"/>
        <w:ind w:left="708" w:right="4699" w:hanging="350"/>
        <w:spacing w:after="0" w:line="236" w:lineRule="auto"/>
        <w:rPr>
          <w:sz w:val="20"/>
          <w:szCs w:val="20"/>
          <w:color w:val="auto"/>
        </w:rPr>
      </w:pPr>
      <w:r>
        <w:rPr>
          <w:rFonts w:ascii="Courier New" w:cs="Courier New" w:eastAsia="Courier New" w:hAnsi="Courier New"/>
          <w:sz w:val="12"/>
          <w:szCs w:val="12"/>
          <w:color w:val="auto"/>
        </w:rPr>
        <w:t>3.4. In addition to each of the documents described in clause 3.3 above to be delivered at Closing above, the closing of this Agreement shall be subject to each of the conditions to closing below:</w:t>
      </w:r>
    </w:p>
    <w:p>
      <w:pPr>
        <w:spacing w:after="0" w:line="135"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3.4.1. no Equipment Facility Default shall have occurred and the</w:t>
      </w:r>
    </w:p>
    <w:p>
      <w:pPr>
        <w:ind w:left="1048"/>
        <w:spacing w:after="0"/>
        <w:rPr>
          <w:sz w:val="20"/>
          <w:szCs w:val="20"/>
          <w:color w:val="auto"/>
        </w:rPr>
      </w:pPr>
      <w:r>
        <w:rPr>
          <w:rFonts w:ascii="Courier New" w:cs="Courier New" w:eastAsia="Courier New" w:hAnsi="Courier New"/>
          <w:sz w:val="12"/>
          <w:szCs w:val="12"/>
          <w:color w:val="auto"/>
        </w:rPr>
        <w:t>consummation of this Agreement shall not cause an Equipment</w:t>
      </w:r>
    </w:p>
    <w:p>
      <w:pPr>
        <w:ind w:left="1048"/>
        <w:spacing w:after="0" w:line="237" w:lineRule="auto"/>
        <w:rPr>
          <w:sz w:val="20"/>
          <w:szCs w:val="20"/>
          <w:color w:val="auto"/>
        </w:rPr>
      </w:pPr>
      <w:r>
        <w:rPr>
          <w:rFonts w:ascii="Courier New" w:cs="Courier New" w:eastAsia="Courier New" w:hAnsi="Courier New"/>
          <w:sz w:val="12"/>
          <w:szCs w:val="12"/>
          <w:color w:val="auto"/>
        </w:rPr>
        <w:t>Facility Default to occur;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3.4.2. all of the Borrower's representations and warranties given by</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the Borrower pursuant to this Agreement shall be accurate in all</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material respects as of the Closing Date, as if made on the</w:t>
      </w:r>
    </w:p>
    <w:p>
      <w:pPr>
        <w:ind w:left="1048"/>
        <w:spacing w:after="0"/>
        <w:rPr>
          <w:sz w:val="20"/>
          <w:szCs w:val="20"/>
          <w:color w:val="auto"/>
        </w:rPr>
      </w:pPr>
      <w:r>
        <w:rPr>
          <w:rFonts w:ascii="Courier New" w:cs="Courier New" w:eastAsia="Courier New" w:hAnsi="Courier New"/>
          <w:sz w:val="12"/>
          <w:szCs w:val="12"/>
          <w:color w:val="auto"/>
        </w:rPr>
        <w:t>Closing Date;</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3.4.3. no Material Adverse Effect shall have occurred;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3.4.4. there shall be no impediment, restriction, limitation or</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prohibition, including impediments, restrictions, limitations or</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prohibitions imposed under law or by any Governmental Body, as to</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the proposed financing under this Agreement or as to the issuance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of the Share Warrants to TIC;</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3.4.5. the Facility Agreement, including Amendment No. 1, dated</w:t>
      </w:r>
    </w:p>
    <w:p>
      <w:pPr>
        <w:ind w:left="1048"/>
        <w:spacing w:after="0"/>
        <w:rPr>
          <w:sz w:val="20"/>
          <w:szCs w:val="20"/>
          <w:color w:val="auto"/>
        </w:rPr>
      </w:pPr>
      <w:r>
        <w:rPr>
          <w:rFonts w:ascii="Courier New" w:cs="Courier New" w:eastAsia="Courier New" w:hAnsi="Courier New"/>
          <w:sz w:val="12"/>
          <w:szCs w:val="12"/>
          <w:color w:val="auto"/>
        </w:rPr>
        <w:t>September 10, 2007, to the Restated Facility Agreement, dated</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August 24, 2006, shall be effective and in full force and effect,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in the form of SCHEDULE 3.4.5 attached hereto, simultaneously</w:t>
      </w:r>
    </w:p>
    <w:p>
      <w:pPr>
        <w:ind w:left="1048"/>
        <w:spacing w:after="0"/>
        <w:rPr>
          <w:sz w:val="20"/>
          <w:szCs w:val="20"/>
          <w:color w:val="auto"/>
        </w:rPr>
      </w:pPr>
      <w:r>
        <w:rPr>
          <w:rFonts w:ascii="Courier New" w:cs="Courier New" w:eastAsia="Courier New" w:hAnsi="Courier New"/>
          <w:sz w:val="12"/>
          <w:szCs w:val="12"/>
          <w:color w:val="auto"/>
        </w:rPr>
        <w:t>with the closing of this Agreement;</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3.4.6. the closing of the Banks' Equipment Facility Agreements shall</w:t>
      </w:r>
    </w:p>
    <w:p>
      <w:pPr>
        <w:ind w:left="1048"/>
        <w:spacing w:after="0"/>
        <w:rPr>
          <w:sz w:val="20"/>
          <w:szCs w:val="20"/>
          <w:color w:val="auto"/>
        </w:rPr>
      </w:pPr>
      <w:r>
        <w:rPr>
          <w:rFonts w:ascii="Courier New" w:cs="Courier New" w:eastAsia="Courier New" w:hAnsi="Courier New"/>
          <w:sz w:val="12"/>
          <w:szCs w:val="12"/>
          <w:color w:val="auto"/>
        </w:rPr>
        <w:t>occur simultaneously with the closing of this Agreement and</w:t>
      </w:r>
    </w:p>
    <w:p>
      <w:pPr>
        <w:ind w:left="1048"/>
        <w:spacing w:after="0" w:line="237" w:lineRule="auto"/>
        <w:rPr>
          <w:sz w:val="20"/>
          <w:szCs w:val="20"/>
          <w:color w:val="auto"/>
        </w:rPr>
      </w:pPr>
      <w:r>
        <w:rPr>
          <w:rFonts w:ascii="Courier New" w:cs="Courier New" w:eastAsia="Courier New" w:hAnsi="Courier New"/>
          <w:sz w:val="12"/>
          <w:szCs w:val="12"/>
          <w:color w:val="auto"/>
        </w:rPr>
        <w:t>copies of the executed definitive documentation between the</w:t>
      </w:r>
    </w:p>
    <w:p>
      <w:pPr>
        <w:ind w:left="1048"/>
        <w:spacing w:after="0"/>
        <w:rPr>
          <w:sz w:val="20"/>
          <w:szCs w:val="20"/>
          <w:color w:val="auto"/>
        </w:rPr>
      </w:pPr>
      <w:r>
        <w:rPr>
          <w:rFonts w:ascii="Courier New" w:cs="Courier New" w:eastAsia="Courier New" w:hAnsi="Courier New"/>
          <w:sz w:val="12"/>
          <w:szCs w:val="12"/>
          <w:color w:val="auto"/>
        </w:rPr>
        <w:t>Borrower and the Banks, with respect to, in the aggregate, US</w:t>
      </w:r>
    </w:p>
    <w:p>
      <w:pPr>
        <w:ind w:left="1048"/>
        <w:spacing w:after="0" w:line="237" w:lineRule="auto"/>
        <w:rPr>
          <w:sz w:val="20"/>
          <w:szCs w:val="20"/>
          <w:color w:val="auto"/>
        </w:rPr>
      </w:pPr>
      <w:r>
        <w:rPr>
          <w:rFonts w:ascii="Courier New" w:cs="Courier New" w:eastAsia="Courier New" w:hAnsi="Courier New"/>
          <w:sz w:val="12"/>
          <w:szCs w:val="12"/>
          <w:color w:val="auto"/>
        </w:rPr>
        <w:t>$30,000,000 (thirty million United States Dollars) of Equipment</w:t>
      </w:r>
    </w:p>
    <w:p>
      <w:pPr>
        <w:ind w:left="1048"/>
        <w:spacing w:after="0"/>
        <w:rPr>
          <w:sz w:val="20"/>
          <w:szCs w:val="20"/>
          <w:color w:val="auto"/>
        </w:rPr>
      </w:pPr>
      <w:r>
        <w:rPr>
          <w:rFonts w:ascii="Courier New" w:cs="Courier New" w:eastAsia="Courier New" w:hAnsi="Courier New"/>
          <w:sz w:val="12"/>
          <w:szCs w:val="12"/>
          <w:color w:val="auto"/>
        </w:rPr>
        <w:t>Loans (as such term is defined in the Banks' Equipment Facility</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Agreements) and/or Equipment L/Cs (as such term is defined in the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Banks' Equipment Facility Agreements) are delivered to TIC; and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3.4.7. an officer's certificate signed by the CEO and CFO of the</w:t>
      </w:r>
    </w:p>
    <w:p>
      <w:pPr>
        <w:ind w:left="1048"/>
        <w:spacing w:after="0"/>
        <w:rPr>
          <w:sz w:val="20"/>
          <w:szCs w:val="20"/>
          <w:color w:val="auto"/>
        </w:rPr>
      </w:pPr>
      <w:r>
        <w:rPr>
          <w:rFonts w:ascii="Courier New" w:cs="Courier New" w:eastAsia="Courier New" w:hAnsi="Courier New"/>
          <w:sz w:val="12"/>
          <w:szCs w:val="12"/>
          <w:color w:val="auto"/>
        </w:rPr>
        <w:t>Borrower on behalf of the Borrower indicating that all of the</w:t>
      </w:r>
    </w:p>
    <w:p>
      <w:pPr>
        <w:ind w:left="1048"/>
        <w:spacing w:after="0" w:line="237" w:lineRule="auto"/>
        <w:rPr>
          <w:sz w:val="20"/>
          <w:szCs w:val="20"/>
          <w:color w:val="auto"/>
        </w:rPr>
      </w:pPr>
      <w:r>
        <w:rPr>
          <w:rFonts w:ascii="Courier New" w:cs="Courier New" w:eastAsia="Courier New" w:hAnsi="Courier New"/>
          <w:sz w:val="12"/>
          <w:szCs w:val="12"/>
          <w:color w:val="auto"/>
        </w:rPr>
        <w:t>provisions of this clause 3.4 have been complied with in their</w:t>
      </w:r>
    </w:p>
    <w:p>
      <w:pPr>
        <w:ind w:left="1048"/>
        <w:spacing w:after="0"/>
        <w:rPr>
          <w:sz w:val="20"/>
          <w:szCs w:val="20"/>
          <w:color w:val="auto"/>
        </w:rPr>
      </w:pPr>
      <w:r>
        <w:rPr>
          <w:rFonts w:ascii="Courier New" w:cs="Courier New" w:eastAsia="Courier New" w:hAnsi="Courier New"/>
          <w:sz w:val="12"/>
          <w:szCs w:val="12"/>
          <w:color w:val="auto"/>
        </w:rPr>
        <w:t>entirety.</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 the event that the conditions precedent are not fulfilled by</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December 31, 2007 then this Agreement shall no longer be of any force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or effect and neither party shall have any claim against the other</w:t>
      </w:r>
    </w:p>
    <w:p>
      <w:pPr>
        <w:ind w:left="708"/>
        <w:spacing w:after="0"/>
        <w:rPr>
          <w:sz w:val="20"/>
          <w:szCs w:val="20"/>
          <w:color w:val="auto"/>
        </w:rPr>
      </w:pPr>
      <w:r>
        <w:rPr>
          <w:rFonts w:ascii="Courier New" w:cs="Courier New" w:eastAsia="Courier New" w:hAnsi="Courier New"/>
          <w:sz w:val="12"/>
          <w:szCs w:val="12"/>
          <w:color w:val="auto"/>
        </w:rPr>
        <w:t>party arising out of or in connection with this Agreement. TIC</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undertakes that promptly following the fulfilment to the satisfaction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TIC of all the conditions precedent referred to in clause 3.3</w:t>
      </w:r>
    </w:p>
    <w:p>
      <w:pPr>
        <w:ind w:left="708"/>
        <w:spacing w:after="0"/>
        <w:rPr>
          <w:sz w:val="20"/>
          <w:szCs w:val="20"/>
          <w:color w:val="auto"/>
        </w:rPr>
      </w:pPr>
      <w:r>
        <w:rPr>
          <w:rFonts w:ascii="Courier New" w:cs="Courier New" w:eastAsia="Courier New" w:hAnsi="Courier New"/>
          <w:sz w:val="12"/>
          <w:szCs w:val="12"/>
          <w:color w:val="auto"/>
        </w:rPr>
        <w:t>above, TIC shall confirm to the Borrower in writing that the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conditions precedent have been fulfilled and TIC is prepared to close,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subject to the fulfilment of the conditions set forth in clause 3.4.</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- 8 -</w:t>
      </w:r>
    </w:p>
    <w:p>
      <w:pPr>
        <w:spacing w:after="0" w:line="391" w:lineRule="exact"/>
        <w:rPr>
          <w:sz w:val="20"/>
          <w:szCs w:val="20"/>
          <w:color w:val="auto"/>
        </w:rPr>
      </w:pPr>
    </w:p>
    <w:p>
      <w:pPr>
        <w:ind w:left="348" w:right="6939" w:hanging="348"/>
        <w:spacing w:after="0" w:line="469" w:lineRule="auto"/>
        <w:tabs>
          <w:tab w:leader="none" w:pos="348" w:val="left"/>
        </w:tabs>
        <w:numPr>
          <w:ilvl w:val="0"/>
          <w:numId w:val="150"/>
        </w:numPr>
        <w:rPr>
          <w:rFonts w:ascii="Courier New" w:cs="Courier New" w:eastAsia="Courier New" w:hAnsi="Courier New"/>
          <w:sz w:val="12"/>
          <w:szCs w:val="12"/>
          <w:color w:val="auto"/>
        </w:rPr>
      </w:pPr>
      <w:r>
        <w:rPr>
          <w:rFonts w:ascii="Courier New" w:cs="Courier New" w:eastAsia="Courier New" w:hAnsi="Courier New"/>
          <w:sz w:val="12"/>
          <w:szCs w:val="12"/>
          <w:color w:val="auto"/>
        </w:rPr>
        <w:t>AVAILABILITY OF EQUIPMENT FACILITY CREDITS 4.1. AVAILABILITY</w:t>
      </w:r>
    </w:p>
    <w:p>
      <w:pPr>
        <w:spacing w:after="0" w:line="5"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Notwithstanding anything to the contrary in this Agreement: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4.1.1. TIC shall not be obliged to make any Equipment Facility Credit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available to the extent that doing so would cause the aggregate</w:t>
      </w:r>
    </w:p>
    <w:p>
      <w:pPr>
        <w:ind w:left="1048"/>
        <w:spacing w:after="0"/>
        <w:rPr>
          <w:sz w:val="20"/>
          <w:szCs w:val="20"/>
          <w:color w:val="auto"/>
        </w:rPr>
      </w:pPr>
      <w:r>
        <w:rPr>
          <w:rFonts w:ascii="Courier New" w:cs="Courier New" w:eastAsia="Courier New" w:hAnsi="Courier New"/>
          <w:sz w:val="12"/>
          <w:szCs w:val="12"/>
          <w:color w:val="auto"/>
        </w:rPr>
        <w:t>amount of Equipment Facility Credits extended by TIC to exceed</w:t>
      </w:r>
    </w:p>
    <w:p>
      <w:pPr>
        <w:ind w:left="1048"/>
        <w:spacing w:after="0" w:line="237" w:lineRule="auto"/>
        <w:rPr>
          <w:sz w:val="20"/>
          <w:szCs w:val="20"/>
          <w:color w:val="auto"/>
        </w:rPr>
      </w:pPr>
      <w:r>
        <w:rPr>
          <w:rFonts w:ascii="Courier New" w:cs="Courier New" w:eastAsia="Courier New" w:hAnsi="Courier New"/>
          <w:sz w:val="12"/>
          <w:szCs w:val="12"/>
          <w:color w:val="auto"/>
        </w:rPr>
        <w:t>the Commitment; and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4.1.2. Equipment Facility Credits shall be made during the</w:t>
      </w:r>
    </w:p>
    <w:p>
      <w:pPr>
        <w:ind w:left="1048"/>
        <w:spacing w:after="0"/>
        <w:rPr>
          <w:sz w:val="20"/>
          <w:szCs w:val="20"/>
          <w:color w:val="auto"/>
        </w:rPr>
      </w:pPr>
      <w:r>
        <w:rPr>
          <w:rFonts w:ascii="Courier New" w:cs="Courier New" w:eastAsia="Courier New" w:hAnsi="Courier New"/>
          <w:sz w:val="12"/>
          <w:szCs w:val="12"/>
          <w:color w:val="auto"/>
        </w:rPr>
        <w:t>Availability Period only and then only if all the following</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conditions for each Equipment Facility Credit specified hereunder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in this clause 4 are fulfilled:</w:t>
      </w:r>
    </w:p>
    <w:p>
      <w:pPr>
        <w:spacing w:after="0" w:line="134"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4.1.2.1. the Banks, simultaneously therewith, providing, in</w:t>
      </w:r>
    </w:p>
    <w:p>
      <w:pPr>
        <w:spacing w:after="0" w:line="4"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accordance with the Banks' Equipment Facility Agreements, an</w:t>
      </w:r>
    </w:p>
    <w:p>
      <w:pPr>
        <w:spacing w:after="0" w:line="10"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equal amount, in the aggregate, of Equipment Loans (as such</w:t>
      </w:r>
    </w:p>
    <w:p>
      <w:pPr>
        <w:sectPr>
          <w:pgSz w:w="11900" w:h="16895" w:orient="portrait"/>
          <w:cols w:equalWidth="0" w:num="1">
            <w:col w:w="10247"/>
          </w:cols>
          <w:pgMar w:left="212" w:top="272" w:right="1440" w:bottom="0" w:gutter="0" w:footer="0" w:header="0"/>
        </w:sectPr>
      </w:pPr>
    </w:p>
    <w:bookmarkStart w:id="103" w:name="page104"/>
    <w:bookmarkEnd w:id="103"/>
    <w:p>
      <w:pPr>
        <w:spacing w:after="0" w:line="5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term is defined in the Banks' Equipment Facility</w:t>
      </w:r>
    </w:p>
    <w:p>
      <w:pPr>
        <w:ind w:left="1408"/>
        <w:spacing w:after="0"/>
        <w:rPr>
          <w:sz w:val="20"/>
          <w:szCs w:val="20"/>
          <w:color w:val="auto"/>
        </w:rPr>
      </w:pPr>
      <w:r>
        <w:rPr>
          <w:rFonts w:ascii="Courier New" w:cs="Courier New" w:eastAsia="Courier New" w:hAnsi="Courier New"/>
          <w:sz w:val="12"/>
          <w:szCs w:val="12"/>
          <w:color w:val="auto"/>
        </w:rPr>
        <w:t>Agreements), having the same purpose and the same maturity</w:t>
      </w:r>
    </w:p>
    <w:p>
      <w:pPr>
        <w:ind w:left="1408"/>
        <w:spacing w:after="0" w:line="237" w:lineRule="auto"/>
        <w:rPr>
          <w:sz w:val="20"/>
          <w:szCs w:val="20"/>
          <w:color w:val="auto"/>
        </w:rPr>
      </w:pPr>
      <w:r>
        <w:rPr>
          <w:rFonts w:ascii="Courier New" w:cs="Courier New" w:eastAsia="Courier New" w:hAnsi="Courier New"/>
          <w:sz w:val="12"/>
          <w:szCs w:val="12"/>
          <w:color w:val="auto"/>
        </w:rPr>
        <w:t>date as the Equipment Facility Credit proposed to be</w:t>
      </w:r>
    </w:p>
    <w:p>
      <w:pPr>
        <w:ind w:left="1408"/>
        <w:spacing w:after="0"/>
        <w:rPr>
          <w:sz w:val="20"/>
          <w:szCs w:val="20"/>
          <w:color w:val="auto"/>
        </w:rPr>
      </w:pPr>
      <w:r>
        <w:rPr>
          <w:rFonts w:ascii="Courier New" w:cs="Courier New" w:eastAsia="Courier New" w:hAnsi="Courier New"/>
          <w:sz w:val="12"/>
          <w:szCs w:val="12"/>
          <w:color w:val="auto"/>
        </w:rPr>
        <w:t>provided by TIC. For the purposes of this clause 4.1.2.1,</w:t>
      </w:r>
    </w:p>
    <w:p>
      <w:pPr>
        <w:ind w:left="1408"/>
        <w:spacing w:after="0" w:line="237" w:lineRule="auto"/>
        <w:rPr>
          <w:sz w:val="20"/>
          <w:szCs w:val="20"/>
          <w:color w:val="auto"/>
        </w:rPr>
      </w:pPr>
      <w:r>
        <w:rPr>
          <w:rFonts w:ascii="Courier New" w:cs="Courier New" w:eastAsia="Courier New" w:hAnsi="Courier New"/>
          <w:sz w:val="12"/>
          <w:szCs w:val="12"/>
          <w:color w:val="auto"/>
        </w:rPr>
        <w:t>Equipment L/Cs (as such term is defined in the Banks'</w:t>
      </w:r>
    </w:p>
    <w:p>
      <w:pPr>
        <w:spacing w:after="0" w:line="4"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Equipment Facility Agreements) shall be considered Equipment</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Loans (as such term is defined in the Banks' Equipment</w:t>
      </w:r>
    </w:p>
    <w:p>
      <w:pPr>
        <w:spacing w:after="0" w:line="4"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Facility Agreements) only to the extent such Equipment L/Cs</w:t>
      </w:r>
    </w:p>
    <w:p>
      <w:pPr>
        <w:spacing w:after="0" w:line="10"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are converted into Equipment Loans (as such term is defined</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in the Banks' Equipment Facility Agreements) under the</w:t>
      </w:r>
    </w:p>
    <w:p>
      <w:pPr>
        <w:ind w:left="1408"/>
        <w:spacing w:after="0"/>
        <w:rPr>
          <w:sz w:val="20"/>
          <w:szCs w:val="20"/>
          <w:color w:val="auto"/>
        </w:rPr>
      </w:pPr>
      <w:r>
        <w:rPr>
          <w:rFonts w:ascii="Courier New" w:cs="Courier New" w:eastAsia="Courier New" w:hAnsi="Courier New"/>
          <w:sz w:val="12"/>
          <w:szCs w:val="12"/>
          <w:color w:val="auto"/>
        </w:rPr>
        <w:t>Banks' Equipment Facility Agreements following the</w:t>
      </w:r>
    </w:p>
    <w:p>
      <w:pPr>
        <w:ind w:left="1408"/>
        <w:spacing w:after="0" w:line="237" w:lineRule="auto"/>
        <w:rPr>
          <w:sz w:val="20"/>
          <w:szCs w:val="20"/>
          <w:color w:val="auto"/>
        </w:rPr>
      </w:pPr>
      <w:r>
        <w:rPr>
          <w:rFonts w:ascii="Courier New" w:cs="Courier New" w:eastAsia="Courier New" w:hAnsi="Courier New"/>
          <w:sz w:val="12"/>
          <w:szCs w:val="12"/>
          <w:color w:val="auto"/>
        </w:rPr>
        <w:t>notification by a beneficiary under an Equipment L/C that</w:t>
      </w:r>
    </w:p>
    <w:p>
      <w:pPr>
        <w:spacing w:after="0" w:line="4"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the Bank(s) are required to make a payment of funds, unless</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the Borrower shall (without utilising any Equipment Loans</w:t>
      </w:r>
    </w:p>
    <w:p>
      <w:pPr>
        <w:ind w:left="1408"/>
        <w:spacing w:after="0"/>
        <w:rPr>
          <w:sz w:val="20"/>
          <w:szCs w:val="20"/>
          <w:color w:val="auto"/>
        </w:rPr>
      </w:pPr>
      <w:r>
        <w:rPr>
          <w:rFonts w:ascii="Courier New" w:cs="Courier New" w:eastAsia="Courier New" w:hAnsi="Courier New"/>
          <w:sz w:val="12"/>
          <w:szCs w:val="12"/>
          <w:color w:val="auto"/>
        </w:rPr>
        <w:t>under any Bank Equipment Facility Agreement) have paid the</w:t>
      </w:r>
    </w:p>
    <w:p>
      <w:pPr>
        <w:ind w:left="1408"/>
        <w:spacing w:after="0" w:line="237" w:lineRule="auto"/>
        <w:rPr>
          <w:sz w:val="20"/>
          <w:szCs w:val="20"/>
          <w:color w:val="auto"/>
        </w:rPr>
      </w:pPr>
      <w:r>
        <w:rPr>
          <w:rFonts w:ascii="Courier New" w:cs="Courier New" w:eastAsia="Courier New" w:hAnsi="Courier New"/>
          <w:sz w:val="12"/>
          <w:szCs w:val="12"/>
          <w:color w:val="auto"/>
        </w:rPr>
        <w:t>full relevant amount demanded on the Equipment L/C on or</w:t>
      </w:r>
    </w:p>
    <w:p>
      <w:pPr>
        <w:ind w:left="1408"/>
        <w:spacing w:after="0"/>
        <w:rPr>
          <w:sz w:val="20"/>
          <w:szCs w:val="20"/>
          <w:color w:val="auto"/>
        </w:rPr>
      </w:pPr>
      <w:r>
        <w:rPr>
          <w:rFonts w:ascii="Courier New" w:cs="Courier New" w:eastAsia="Courier New" w:hAnsi="Courier New"/>
          <w:sz w:val="12"/>
          <w:szCs w:val="12"/>
          <w:color w:val="auto"/>
        </w:rPr>
        <w:t>prior to the date payment of the Equipment L/C is due. No</w:t>
      </w:r>
    </w:p>
    <w:p>
      <w:pPr>
        <w:ind w:left="1408"/>
        <w:spacing w:after="0" w:line="237" w:lineRule="auto"/>
        <w:rPr>
          <w:sz w:val="20"/>
          <w:szCs w:val="20"/>
          <w:color w:val="auto"/>
        </w:rPr>
      </w:pPr>
      <w:r>
        <w:rPr>
          <w:rFonts w:ascii="Courier New" w:cs="Courier New" w:eastAsia="Courier New" w:hAnsi="Courier New"/>
          <w:sz w:val="12"/>
          <w:szCs w:val="12"/>
          <w:color w:val="auto"/>
        </w:rPr>
        <w:t>later than one (1) Business Day after delivering an</w:t>
      </w:r>
    </w:p>
    <w:p>
      <w:pPr>
        <w:ind w:left="1408"/>
        <w:spacing w:after="0"/>
        <w:rPr>
          <w:sz w:val="20"/>
          <w:szCs w:val="20"/>
          <w:color w:val="auto"/>
        </w:rPr>
      </w:pPr>
      <w:r>
        <w:rPr>
          <w:rFonts w:ascii="Courier New" w:cs="Courier New" w:eastAsia="Courier New" w:hAnsi="Courier New"/>
          <w:sz w:val="12"/>
          <w:szCs w:val="12"/>
          <w:color w:val="auto"/>
        </w:rPr>
        <w:t>application for an Equipment L/C to a Bank, the Borrower</w:t>
      </w:r>
    </w:p>
    <w:p>
      <w:pPr>
        <w:ind w:left="1408"/>
        <w:spacing w:after="0" w:line="237" w:lineRule="auto"/>
        <w:rPr>
          <w:sz w:val="20"/>
          <w:szCs w:val="20"/>
          <w:color w:val="auto"/>
        </w:rPr>
      </w:pPr>
      <w:r>
        <w:rPr>
          <w:rFonts w:ascii="Courier New" w:cs="Courier New" w:eastAsia="Courier New" w:hAnsi="Courier New"/>
          <w:sz w:val="12"/>
          <w:szCs w:val="12"/>
          <w:color w:val="auto"/>
        </w:rPr>
        <w:t>shall provide a copy thereof to TIC, together with a</w:t>
      </w:r>
    </w:p>
    <w:p>
      <w:pPr>
        <w:ind w:left="1408"/>
        <w:spacing w:after="0"/>
        <w:rPr>
          <w:sz w:val="20"/>
          <w:szCs w:val="20"/>
          <w:color w:val="auto"/>
        </w:rPr>
      </w:pPr>
      <w:r>
        <w:rPr>
          <w:rFonts w:ascii="Courier New" w:cs="Courier New" w:eastAsia="Courier New" w:hAnsi="Courier New"/>
          <w:sz w:val="12"/>
          <w:szCs w:val="12"/>
          <w:color w:val="auto"/>
        </w:rPr>
        <w:t>Drawdown Request for an amount equal to one-half of the</w:t>
      </w:r>
    </w:p>
    <w:p>
      <w:pPr>
        <w:ind w:left="1408"/>
        <w:spacing w:after="0" w:line="237" w:lineRule="auto"/>
        <w:rPr>
          <w:sz w:val="20"/>
          <w:szCs w:val="20"/>
          <w:color w:val="auto"/>
        </w:rPr>
      </w:pPr>
      <w:r>
        <w:rPr>
          <w:rFonts w:ascii="Courier New" w:cs="Courier New" w:eastAsia="Courier New" w:hAnsi="Courier New"/>
          <w:sz w:val="12"/>
          <w:szCs w:val="12"/>
          <w:color w:val="auto"/>
        </w:rPr>
        <w:t>maximum aggregate amount that the beneficiary of such</w:t>
      </w:r>
    </w:p>
    <w:p>
      <w:pPr>
        <w:ind w:left="1408"/>
        <w:spacing w:after="0"/>
        <w:rPr>
          <w:sz w:val="20"/>
          <w:szCs w:val="20"/>
          <w:color w:val="auto"/>
        </w:rPr>
      </w:pPr>
      <w:r>
        <w:rPr>
          <w:rFonts w:ascii="Courier New" w:cs="Courier New" w:eastAsia="Courier New" w:hAnsi="Courier New"/>
          <w:sz w:val="12"/>
          <w:szCs w:val="12"/>
          <w:color w:val="auto"/>
        </w:rPr>
        <w:t>Equipment L/C may at any time draw thereunder, as such</w:t>
      </w:r>
    </w:p>
    <w:p>
      <w:pPr>
        <w:ind w:left="1408"/>
        <w:spacing w:after="0" w:line="237" w:lineRule="auto"/>
        <w:rPr>
          <w:sz w:val="20"/>
          <w:szCs w:val="20"/>
          <w:color w:val="auto"/>
        </w:rPr>
      </w:pPr>
      <w:r>
        <w:rPr>
          <w:rFonts w:ascii="Courier New" w:cs="Courier New" w:eastAsia="Courier New" w:hAnsi="Courier New"/>
          <w:sz w:val="12"/>
          <w:szCs w:val="12"/>
          <w:color w:val="auto"/>
        </w:rPr>
        <w:t>aggregate amount may be reduced from time to time pursuant</w:t>
      </w:r>
    </w:p>
    <w:p>
      <w:pPr>
        <w:ind w:left="1408"/>
        <w:spacing w:after="0"/>
        <w:rPr>
          <w:sz w:val="20"/>
          <w:szCs w:val="20"/>
          <w:color w:val="auto"/>
        </w:rPr>
      </w:pPr>
      <w:r>
        <w:rPr>
          <w:rFonts w:ascii="Courier New" w:cs="Courier New" w:eastAsia="Courier New" w:hAnsi="Courier New"/>
          <w:sz w:val="12"/>
          <w:szCs w:val="12"/>
          <w:color w:val="auto"/>
        </w:rPr>
        <w:t>to the terms of such Equipment L/C ("THE MAXIMUM DRAWING</w:t>
      </w:r>
    </w:p>
    <w:p>
      <w:pPr>
        <w:spacing w:after="0" w:line="3"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AMOUNT"), and within two (2) Business Days from the receipt</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thereof, TIC shall deliver to the Borrower (which may</w:t>
      </w:r>
    </w:p>
    <w:p>
      <w:pPr>
        <w:ind w:left="1408"/>
        <w:spacing w:after="0"/>
        <w:rPr>
          <w:sz w:val="20"/>
          <w:szCs w:val="20"/>
          <w:color w:val="auto"/>
        </w:rPr>
      </w:pPr>
      <w:r>
        <w:rPr>
          <w:rFonts w:ascii="Courier New" w:cs="Courier New" w:eastAsia="Courier New" w:hAnsi="Courier New"/>
          <w:sz w:val="12"/>
          <w:szCs w:val="12"/>
          <w:color w:val="auto"/>
        </w:rPr>
        <w:t>provide a copy thereof to the Banks), written confirmation</w:t>
      </w:r>
    </w:p>
    <w:p>
      <w:pPr>
        <w:ind w:left="1408"/>
        <w:spacing w:after="0" w:line="237" w:lineRule="auto"/>
        <w:rPr>
          <w:sz w:val="20"/>
          <w:szCs w:val="20"/>
          <w:color w:val="auto"/>
        </w:rPr>
      </w:pPr>
      <w:r>
        <w:rPr>
          <w:rFonts w:ascii="Courier New" w:cs="Courier New" w:eastAsia="Courier New" w:hAnsi="Courier New"/>
          <w:sz w:val="12"/>
          <w:szCs w:val="12"/>
          <w:color w:val="auto"/>
        </w:rPr>
        <w:t>that to the extent such Equipment L/C is converted into</w:t>
      </w:r>
    </w:p>
    <w:p>
      <w:pPr>
        <w:ind w:left="1408"/>
        <w:spacing w:after="0"/>
        <w:rPr>
          <w:sz w:val="20"/>
          <w:szCs w:val="20"/>
          <w:color w:val="auto"/>
        </w:rPr>
      </w:pPr>
      <w:r>
        <w:rPr>
          <w:rFonts w:ascii="Courier New" w:cs="Courier New" w:eastAsia="Courier New" w:hAnsi="Courier New"/>
          <w:sz w:val="12"/>
          <w:szCs w:val="12"/>
          <w:color w:val="auto"/>
        </w:rPr>
        <w:t>Equipment Loans (as such term is defined in the Banks'</w:t>
      </w:r>
    </w:p>
    <w:p>
      <w:pPr>
        <w:ind w:left="1408"/>
        <w:spacing w:after="0" w:line="237" w:lineRule="auto"/>
        <w:rPr>
          <w:sz w:val="20"/>
          <w:szCs w:val="20"/>
          <w:color w:val="auto"/>
        </w:rPr>
      </w:pPr>
      <w:r>
        <w:rPr>
          <w:rFonts w:ascii="Courier New" w:cs="Courier New" w:eastAsia="Courier New" w:hAnsi="Courier New"/>
          <w:sz w:val="12"/>
          <w:szCs w:val="12"/>
          <w:color w:val="auto"/>
        </w:rPr>
        <w:t>Equipment Facility Agreements) under the Banks' Equipment</w:t>
      </w:r>
    </w:p>
    <w:p>
      <w:pPr>
        <w:ind w:left="1408"/>
        <w:spacing w:after="0"/>
        <w:rPr>
          <w:sz w:val="20"/>
          <w:szCs w:val="20"/>
          <w:color w:val="auto"/>
        </w:rPr>
      </w:pPr>
      <w:r>
        <w:rPr>
          <w:rFonts w:ascii="Courier New" w:cs="Courier New" w:eastAsia="Courier New" w:hAnsi="Courier New"/>
          <w:sz w:val="12"/>
          <w:szCs w:val="12"/>
          <w:color w:val="auto"/>
        </w:rPr>
        <w:t>Facility Agreements as aforesaid, TIC shall pay 50% of the</w:t>
      </w:r>
    </w:p>
    <w:p>
      <w:pPr>
        <w:spacing w:after="0" w:line="3"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amount of such Equipment L/C which payment shall constitute</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an Equipment Loan as contemplated by this Agreement (or,</w:t>
      </w:r>
    </w:p>
    <w:p>
      <w:pPr>
        <w:spacing w:after="0" w:line="4"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subject to the terms of this Agreement, TIC shall deliver a</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written statement setting forth the reasons why TIC is not</w:t>
      </w:r>
    </w:p>
    <w:p>
      <w:pPr>
        <w:spacing w:after="0" w:line="4"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required to provide such confirmation). For the avoidance of</w:t>
      </w:r>
    </w:p>
    <w:p>
      <w:pPr>
        <w:spacing w:after="0" w:line="10"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doubt, the confirmations shall not be deemed to be a waiver</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of any right that TIC may have against Tower under this</w:t>
      </w:r>
    </w:p>
    <w:p>
      <w:pPr>
        <w:ind w:left="1408"/>
        <w:spacing w:after="0"/>
        <w:rPr>
          <w:sz w:val="20"/>
          <w:szCs w:val="20"/>
          <w:color w:val="auto"/>
        </w:rPr>
      </w:pPr>
      <w:r>
        <w:rPr>
          <w:rFonts w:ascii="Courier New" w:cs="Courier New" w:eastAsia="Courier New" w:hAnsi="Courier New"/>
          <w:sz w:val="12"/>
          <w:szCs w:val="12"/>
          <w:color w:val="auto"/>
        </w:rPr>
        <w:t>Agreement;</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- 9 -</w:t>
      </w:r>
    </w:p>
    <w:p>
      <w:pPr>
        <w:spacing w:after="0" w:line="38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4.1.2.2. the proposed date for the making of such Equipment</w:t>
      </w:r>
    </w:p>
    <w:p>
      <w:pPr>
        <w:ind w:left="1408"/>
        <w:spacing w:after="0"/>
        <w:rPr>
          <w:sz w:val="20"/>
          <w:szCs w:val="20"/>
          <w:color w:val="auto"/>
        </w:rPr>
      </w:pPr>
      <w:r>
        <w:rPr>
          <w:rFonts w:ascii="Courier New" w:cs="Courier New" w:eastAsia="Courier New" w:hAnsi="Courier New"/>
          <w:sz w:val="12"/>
          <w:szCs w:val="12"/>
          <w:color w:val="auto"/>
        </w:rPr>
        <w:t>Facility Credit is a Business Day which is or precedes the</w:t>
      </w:r>
    </w:p>
    <w:p>
      <w:pPr>
        <w:ind w:left="1408"/>
        <w:spacing w:after="0" w:line="237" w:lineRule="auto"/>
        <w:rPr>
          <w:sz w:val="20"/>
          <w:szCs w:val="20"/>
          <w:color w:val="auto"/>
        </w:rPr>
      </w:pPr>
      <w:r>
        <w:rPr>
          <w:rFonts w:ascii="Courier New" w:cs="Courier New" w:eastAsia="Courier New" w:hAnsi="Courier New"/>
          <w:sz w:val="12"/>
          <w:szCs w:val="12"/>
          <w:color w:val="auto"/>
        </w:rPr>
        <w:t>Termination Date;</w:t>
      </w:r>
    </w:p>
    <w:p>
      <w:pPr>
        <w:spacing w:after="0" w:line="139"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4.1.2.3. the Borrower shall have entered into a purchase contract</w:t>
      </w:r>
    </w:p>
    <w:p>
      <w:pPr>
        <w:spacing w:after="0" w:line="10"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and/or submitted a purchase order for the Ramp-Up Equipment,</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whereby upon payment therefor, the Borrower shall own the</w:t>
      </w:r>
    </w:p>
    <w:p>
      <w:pPr>
        <w:ind w:left="1408"/>
        <w:spacing w:after="0"/>
        <w:rPr>
          <w:sz w:val="20"/>
          <w:szCs w:val="20"/>
          <w:color w:val="auto"/>
        </w:rPr>
      </w:pPr>
      <w:r>
        <w:rPr>
          <w:rFonts w:ascii="Courier New" w:cs="Courier New" w:eastAsia="Courier New" w:hAnsi="Courier New"/>
          <w:sz w:val="12"/>
          <w:szCs w:val="12"/>
          <w:color w:val="auto"/>
        </w:rPr>
        <w:t>Ramp-Up Equipment (TIC hereby acknowledges and agrees that</w:t>
      </w:r>
    </w:p>
    <w:p>
      <w:pPr>
        <w:ind w:left="1408"/>
        <w:spacing w:after="0" w:line="237" w:lineRule="auto"/>
        <w:rPr>
          <w:sz w:val="20"/>
          <w:szCs w:val="20"/>
          <w:color w:val="auto"/>
        </w:rPr>
      </w:pPr>
      <w:r>
        <w:rPr>
          <w:rFonts w:ascii="Courier New" w:cs="Courier New" w:eastAsia="Courier New" w:hAnsi="Courier New"/>
          <w:sz w:val="12"/>
          <w:szCs w:val="12"/>
          <w:color w:val="auto"/>
        </w:rPr>
        <w:t>it does not and shall not have or be granted hereby or by</w:t>
      </w:r>
    </w:p>
    <w:p>
      <w:pPr>
        <w:ind w:left="1408"/>
        <w:spacing w:after="0"/>
        <w:rPr>
          <w:sz w:val="20"/>
          <w:szCs w:val="20"/>
          <w:color w:val="auto"/>
        </w:rPr>
      </w:pPr>
      <w:r>
        <w:rPr>
          <w:rFonts w:ascii="Courier New" w:cs="Courier New" w:eastAsia="Courier New" w:hAnsi="Courier New"/>
          <w:sz w:val="12"/>
          <w:szCs w:val="12"/>
          <w:color w:val="auto"/>
        </w:rPr>
        <w:t>operation of law any Encumbrance over any or all of the</w:t>
      </w:r>
    </w:p>
    <w:p>
      <w:pPr>
        <w:ind w:left="1408"/>
        <w:spacing w:after="0" w:line="237" w:lineRule="auto"/>
        <w:rPr>
          <w:sz w:val="20"/>
          <w:szCs w:val="20"/>
          <w:color w:val="auto"/>
        </w:rPr>
      </w:pPr>
      <w:r>
        <w:rPr>
          <w:rFonts w:ascii="Courier New" w:cs="Courier New" w:eastAsia="Courier New" w:hAnsi="Courier New"/>
          <w:sz w:val="12"/>
          <w:szCs w:val="12"/>
          <w:color w:val="auto"/>
        </w:rPr>
        <w:t>Ramp-Up Equipment and that the Borrower shall not be</w:t>
      </w:r>
    </w:p>
    <w:p>
      <w:pPr>
        <w:spacing w:after="0" w:line="4"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restricted under this Agreement to permit the imposition of</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any Encumbrance on any or all of the Ramp-Up Equipment);</w:t>
      </w:r>
    </w:p>
    <w:p>
      <w:pPr>
        <w:spacing w:after="0" w:line="139"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4.1.2.4. no Equipment Facility Default shall have occurred and be</w:t>
      </w:r>
    </w:p>
    <w:p>
      <w:pPr>
        <w:spacing w:after="0" w:line="10"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continuing and no Equipment Facility Default shall occur as</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a result of the making of such Equipment Facility Credit;</w:t>
      </w:r>
    </w:p>
    <w:p>
      <w:pPr>
        <w:spacing w:after="0" w:line="134"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4.1.2.5. the amount of the Equipment Facility Credit requested</w:t>
      </w:r>
    </w:p>
    <w:p>
      <w:pPr>
        <w:ind w:left="1408"/>
        <w:spacing w:after="0"/>
        <w:rPr>
          <w:sz w:val="20"/>
          <w:szCs w:val="20"/>
          <w:color w:val="auto"/>
        </w:rPr>
      </w:pPr>
      <w:r>
        <w:rPr>
          <w:rFonts w:ascii="Courier New" w:cs="Courier New" w:eastAsia="Courier New" w:hAnsi="Courier New"/>
          <w:sz w:val="12"/>
          <w:szCs w:val="12"/>
          <w:color w:val="auto"/>
        </w:rPr>
        <w:t>shall not exceed the total Available Commitment as at the</w:t>
      </w:r>
    </w:p>
    <w:p>
      <w:pPr>
        <w:ind w:left="1408"/>
        <w:spacing w:after="0" w:line="237" w:lineRule="auto"/>
        <w:rPr>
          <w:sz w:val="20"/>
          <w:szCs w:val="20"/>
          <w:color w:val="auto"/>
        </w:rPr>
      </w:pPr>
      <w:r>
        <w:rPr>
          <w:rFonts w:ascii="Courier New" w:cs="Courier New" w:eastAsia="Courier New" w:hAnsi="Courier New"/>
          <w:sz w:val="12"/>
          <w:szCs w:val="12"/>
          <w:color w:val="auto"/>
        </w:rPr>
        <w:t>Drawdown Date;</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- 10 -</w:t>
      </w:r>
    </w:p>
    <w:p>
      <w:pPr>
        <w:spacing w:after="0" w:line="391"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4.1.2.6. the representations and warranties given by the Borrower</w:t>
      </w:r>
    </w:p>
    <w:p>
      <w:pPr>
        <w:spacing w:after="0" w:line="10"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pursuant to this Agreement shall be true and accurate in all</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material respects on and as at the proposed date for the</w:t>
      </w:r>
    </w:p>
    <w:p>
      <w:pPr>
        <w:ind w:left="1408"/>
        <w:spacing w:after="0"/>
        <w:rPr>
          <w:sz w:val="20"/>
          <w:szCs w:val="20"/>
          <w:color w:val="auto"/>
        </w:rPr>
      </w:pPr>
      <w:r>
        <w:rPr>
          <w:rFonts w:ascii="Courier New" w:cs="Courier New" w:eastAsia="Courier New" w:hAnsi="Courier New"/>
          <w:sz w:val="12"/>
          <w:szCs w:val="12"/>
          <w:color w:val="auto"/>
        </w:rPr>
        <w:t>making of the Equipment Facility Credit;</w:t>
      </w:r>
    </w:p>
    <w:p>
      <w:pPr>
        <w:spacing w:after="0" w:line="133"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4.1.2.7. none of the Ramp-Up Equipment or any part thereof has</w:t>
      </w:r>
    </w:p>
    <w:p>
      <w:pPr>
        <w:spacing w:after="0" w:line="4"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been disposed or sold in the absence of TIC's prior consent;</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and</w:t>
      </w:r>
    </w:p>
    <w:p>
      <w:pPr>
        <w:spacing w:after="0" w:line="134"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4.1.2.8. the Available Commitment as at the Termination Date</w:t>
      </w:r>
    </w:p>
    <w:p>
      <w:pPr>
        <w:ind w:left="1408"/>
        <w:spacing w:after="0"/>
        <w:rPr>
          <w:sz w:val="20"/>
          <w:szCs w:val="20"/>
          <w:color w:val="auto"/>
        </w:rPr>
      </w:pPr>
      <w:r>
        <w:rPr>
          <w:rFonts w:ascii="Courier New" w:cs="Courier New" w:eastAsia="Courier New" w:hAnsi="Courier New"/>
          <w:sz w:val="12"/>
          <w:szCs w:val="12"/>
          <w:color w:val="auto"/>
        </w:rPr>
        <w:t>shall automatically be cancelled.</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4.2. EQUIPMENT LOANS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Subject to the fulfilment of the conditions precedent, to compliance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with the conditions set out in clause 4.1 above and to compliance with</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following conditions, TIC shall make an Equipment Loan under the</w:t>
      </w:r>
    </w:p>
    <w:p>
      <w:pPr>
        <w:ind w:left="708"/>
        <w:spacing w:after="0"/>
        <w:rPr>
          <w:sz w:val="20"/>
          <w:szCs w:val="20"/>
          <w:color w:val="auto"/>
        </w:rPr>
      </w:pPr>
      <w:r>
        <w:rPr>
          <w:rFonts w:ascii="Courier New" w:cs="Courier New" w:eastAsia="Courier New" w:hAnsi="Courier New"/>
          <w:sz w:val="12"/>
          <w:szCs w:val="12"/>
          <w:color w:val="auto"/>
        </w:rPr>
        <w:t>Equipment Facility during the Availability Period only if:</w:t>
      </w:r>
    </w:p>
    <w:p>
      <w:pPr>
        <w:spacing w:after="0" w:line="138"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4.2.1. the Borrower shall have delivered to TIC a Drawdown Request for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such Equipment Loan executed by the CEO or CFO of the Borrower,</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specifying a date for making such Equipment Loan, being at least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7 (seven) Business Days after the date of delivery of such</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Drawdown Request, provided that a Drawdown Request in connection</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with an Equipment L/C shall not specify a date for making such</w:t>
      </w:r>
    </w:p>
    <w:p>
      <w:pPr>
        <w:ind w:left="1048"/>
        <w:spacing w:after="0"/>
        <w:rPr>
          <w:sz w:val="20"/>
          <w:szCs w:val="20"/>
          <w:color w:val="auto"/>
        </w:rPr>
      </w:pPr>
      <w:r>
        <w:rPr>
          <w:rFonts w:ascii="Courier New" w:cs="Courier New" w:eastAsia="Courier New" w:hAnsi="Courier New"/>
          <w:sz w:val="12"/>
          <w:szCs w:val="12"/>
          <w:color w:val="auto"/>
        </w:rPr>
        <w:t>Equipment Loan (it being understood that the Borrower shall not</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be required to drawdown such Equipment Loan if the Borrower shall</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have paid the full relevant amount demanded on the Equipment L/C</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without utilising any Equipment Loans under any Bank Equipment</w:t>
      </w:r>
    </w:p>
    <w:p>
      <w:pPr>
        <w:ind w:left="1048"/>
        <w:spacing w:after="0"/>
        <w:rPr>
          <w:sz w:val="20"/>
          <w:szCs w:val="20"/>
          <w:color w:val="auto"/>
        </w:rPr>
      </w:pPr>
      <w:r>
        <w:rPr>
          <w:rFonts w:ascii="Courier New" w:cs="Courier New" w:eastAsia="Courier New" w:hAnsi="Courier New"/>
          <w:sz w:val="12"/>
          <w:szCs w:val="12"/>
          <w:color w:val="auto"/>
        </w:rPr>
        <w:t>Facility Agreement). Any Drawdown Request will upon delivery</w:t>
      </w:r>
    </w:p>
    <w:p>
      <w:pPr>
        <w:ind w:left="1048"/>
        <w:spacing w:after="0" w:line="237" w:lineRule="auto"/>
        <w:rPr>
          <w:sz w:val="20"/>
          <w:szCs w:val="20"/>
          <w:color w:val="auto"/>
        </w:rPr>
      </w:pPr>
      <w:r>
        <w:rPr>
          <w:rFonts w:ascii="Courier New" w:cs="Courier New" w:eastAsia="Courier New" w:hAnsi="Courier New"/>
          <w:sz w:val="12"/>
          <w:szCs w:val="12"/>
          <w:color w:val="auto"/>
        </w:rPr>
        <w:t>thereof be irrevocable;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4.2.2. the minimum amount of each Equipment Loan shall be a minimum</w:t>
      </w:r>
    </w:p>
    <w:p>
      <w:pPr>
        <w:ind w:left="1048"/>
        <w:spacing w:after="0"/>
        <w:rPr>
          <w:sz w:val="20"/>
          <w:szCs w:val="20"/>
          <w:color w:val="auto"/>
        </w:rPr>
      </w:pPr>
      <w:r>
        <w:rPr>
          <w:rFonts w:ascii="Courier New" w:cs="Courier New" w:eastAsia="Courier New" w:hAnsi="Courier New"/>
          <w:sz w:val="12"/>
          <w:szCs w:val="12"/>
          <w:color w:val="auto"/>
        </w:rPr>
        <w:t>amount of US $1,000,000 (one million United States Dollars) and</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an integral multiple of US $1,000,000 (one million United States</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Dollars) (other than (i) in the case of an Equipment Loan</w:t>
      </w:r>
    </w:p>
    <w:p>
      <w:pPr>
        <w:ind w:left="1048"/>
        <w:spacing w:after="0"/>
        <w:rPr>
          <w:sz w:val="20"/>
          <w:szCs w:val="20"/>
          <w:color w:val="auto"/>
        </w:rPr>
      </w:pPr>
      <w:r>
        <w:rPr>
          <w:rFonts w:ascii="Courier New" w:cs="Courier New" w:eastAsia="Courier New" w:hAnsi="Courier New"/>
          <w:sz w:val="12"/>
          <w:szCs w:val="12"/>
          <w:color w:val="auto"/>
        </w:rPr>
        <w:t>provided in connection with an Equipment L/C which shall not be</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required to be in any minimum amount or in any integral multiple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or (ii) in the case of an Equipment Loan which shall be for the</w:t>
      </w:r>
    </w:p>
    <w:p>
      <w:pPr>
        <w:ind w:left="1048"/>
        <w:spacing w:after="0"/>
        <w:rPr>
          <w:sz w:val="20"/>
          <w:szCs w:val="20"/>
          <w:color w:val="auto"/>
        </w:rPr>
      </w:pPr>
      <w:r>
        <w:rPr>
          <w:rFonts w:ascii="Courier New" w:cs="Courier New" w:eastAsia="Courier New" w:hAnsi="Courier New"/>
          <w:sz w:val="12"/>
          <w:szCs w:val="12"/>
          <w:color w:val="auto"/>
        </w:rPr>
        <w:t>balance of the Available Commitment); and</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4.2.3. all Equipment Loans made under this Agreement shall be in US</w:t>
      </w:r>
    </w:p>
    <w:p>
      <w:pPr>
        <w:ind w:left="1048"/>
        <w:spacing w:after="0"/>
        <w:rPr>
          <w:sz w:val="20"/>
          <w:szCs w:val="20"/>
          <w:color w:val="auto"/>
        </w:rPr>
      </w:pPr>
      <w:r>
        <w:rPr>
          <w:rFonts w:ascii="Courier New" w:cs="Courier New" w:eastAsia="Courier New" w:hAnsi="Courier New"/>
          <w:sz w:val="12"/>
          <w:szCs w:val="12"/>
          <w:color w:val="auto"/>
        </w:rPr>
        <w:t>Dollars.</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- 11 -</w:t>
      </w:r>
    </w:p>
    <w:p>
      <w:pPr>
        <w:sectPr>
          <w:pgSz w:w="11900" w:h="16895" w:orient="portrait"/>
          <w:cols w:equalWidth="0" w:num="1">
            <w:col w:w="10247"/>
          </w:cols>
          <w:pgMar w:left="212" w:top="137" w:right="1440" w:bottom="0" w:gutter="0" w:footer="0" w:header="0"/>
        </w:sectPr>
      </w:pPr>
    </w:p>
    <w:p>
      <w:pPr>
        <w:spacing w:after="0" w:line="391" w:lineRule="exact"/>
        <w:rPr>
          <w:sz w:val="20"/>
          <w:szCs w:val="20"/>
          <w:color w:val="auto"/>
        </w:rPr>
      </w:pPr>
    </w:p>
    <w:p>
      <w:pPr>
        <w:ind w:left="348" w:hanging="348"/>
        <w:spacing w:after="0"/>
        <w:tabs>
          <w:tab w:leader="none" w:pos="348" w:val="left"/>
        </w:tabs>
        <w:numPr>
          <w:ilvl w:val="0"/>
          <w:numId w:val="151"/>
        </w:numPr>
        <w:rPr>
          <w:rFonts w:ascii="Courier New" w:cs="Courier New" w:eastAsia="Courier New" w:hAnsi="Courier New"/>
          <w:sz w:val="11"/>
          <w:szCs w:val="11"/>
          <w:color w:val="auto"/>
        </w:rPr>
      </w:pPr>
      <w:r>
        <w:rPr>
          <w:rFonts w:ascii="Courier New" w:cs="Courier New" w:eastAsia="Courier New" w:hAnsi="Courier New"/>
          <w:sz w:val="11"/>
          <w:szCs w:val="11"/>
          <w:color w:val="auto"/>
        </w:rPr>
        <w:t>REPAYMENT</w:t>
      </w:r>
    </w:p>
    <w:p>
      <w:pPr>
        <w:sectPr>
          <w:pgSz w:w="11900" w:h="16895" w:orient="portrait"/>
          <w:cols w:equalWidth="0" w:num="1">
            <w:col w:w="10247"/>
          </w:cols>
          <w:pgMar w:left="212" w:top="137" w:right="1440" w:bottom="0" w:gutter="0" w:footer="0" w:header="0"/>
          <w:type w:val="continuous"/>
        </w:sectPr>
      </w:pPr>
    </w:p>
    <w:bookmarkStart w:id="104" w:name="page105"/>
    <w:bookmarkEnd w:id="104"/>
    <w:p>
      <w:pPr>
        <w:ind w:left="348"/>
        <w:spacing w:after="0"/>
        <w:rPr>
          <w:sz w:val="20"/>
          <w:szCs w:val="20"/>
          <w:color w:val="auto"/>
        </w:rPr>
      </w:pPr>
      <w:r>
        <w:rPr>
          <w:rFonts w:ascii="Courier New" w:cs="Courier New" w:eastAsia="Courier New" w:hAnsi="Courier New"/>
          <w:sz w:val="12"/>
          <w:szCs w:val="12"/>
          <w:color w:val="auto"/>
        </w:rPr>
        <w:t>5.1. REPAYMENT OF LOANS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Borrower shall repay each Equipment Loan in full upon the earlier</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(a) the Final Equipment Facility Maturity Date; and (b) the</w:t>
      </w:r>
    </w:p>
    <w:p>
      <w:pPr>
        <w:ind w:left="708"/>
        <w:spacing w:after="0"/>
        <w:rPr>
          <w:sz w:val="20"/>
          <w:szCs w:val="20"/>
          <w:color w:val="auto"/>
        </w:rPr>
      </w:pPr>
      <w:r>
        <w:rPr>
          <w:rFonts w:ascii="Courier New" w:cs="Courier New" w:eastAsia="Courier New" w:hAnsi="Courier New"/>
          <w:sz w:val="12"/>
          <w:szCs w:val="12"/>
          <w:color w:val="auto"/>
        </w:rPr>
        <w:t>Business Day immediately following the second anniversary of the</w:t>
      </w:r>
    </w:p>
    <w:p>
      <w:pPr>
        <w:ind w:left="708"/>
        <w:spacing w:after="0" w:line="237" w:lineRule="auto"/>
        <w:rPr>
          <w:sz w:val="20"/>
          <w:szCs w:val="20"/>
          <w:color w:val="auto"/>
        </w:rPr>
      </w:pPr>
      <w:r>
        <w:rPr>
          <w:rFonts w:ascii="Courier New" w:cs="Courier New" w:eastAsia="Courier New" w:hAnsi="Courier New"/>
          <w:sz w:val="12"/>
          <w:szCs w:val="12"/>
          <w:color w:val="auto"/>
        </w:rPr>
        <w:t>making of such Equipment Loan, subject to mandatory prepayment in</w:t>
      </w:r>
    </w:p>
    <w:p>
      <w:pPr>
        <w:ind w:left="708"/>
        <w:spacing w:after="0"/>
        <w:rPr>
          <w:sz w:val="20"/>
          <w:szCs w:val="20"/>
          <w:color w:val="auto"/>
        </w:rPr>
      </w:pPr>
      <w:r>
        <w:rPr>
          <w:rFonts w:ascii="Courier New" w:cs="Courier New" w:eastAsia="Courier New" w:hAnsi="Courier New"/>
          <w:sz w:val="12"/>
          <w:szCs w:val="12"/>
          <w:color w:val="auto"/>
        </w:rPr>
        <w:t>accordance with clause 6 below.</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5.2. PAYMENT OF ALL OTHER SUMS DUE ON THE FINAL MATURITY DATE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On the Final Equipment Facility Maturity Date, the Borrower</w:t>
      </w:r>
    </w:p>
    <w:p>
      <w:pPr>
        <w:ind w:left="708"/>
        <w:spacing w:after="0"/>
        <w:rPr>
          <w:sz w:val="20"/>
          <w:szCs w:val="20"/>
          <w:color w:val="auto"/>
        </w:rPr>
      </w:pPr>
      <w:r>
        <w:rPr>
          <w:rFonts w:ascii="Courier New" w:cs="Courier New" w:eastAsia="Courier New" w:hAnsi="Courier New"/>
          <w:sz w:val="12"/>
          <w:szCs w:val="12"/>
          <w:color w:val="auto"/>
        </w:rPr>
        <w:t>additionally shall pay to TIC all other sums then outstanding under</w:t>
      </w:r>
    </w:p>
    <w:p>
      <w:pPr>
        <w:ind w:left="708"/>
        <w:spacing w:after="0" w:line="237" w:lineRule="auto"/>
        <w:rPr>
          <w:sz w:val="20"/>
          <w:szCs w:val="20"/>
          <w:color w:val="auto"/>
        </w:rPr>
      </w:pPr>
      <w:r>
        <w:rPr>
          <w:rFonts w:ascii="Courier New" w:cs="Courier New" w:eastAsia="Courier New" w:hAnsi="Courier New"/>
          <w:sz w:val="12"/>
          <w:szCs w:val="12"/>
          <w:color w:val="auto"/>
        </w:rPr>
        <w:t>this Agreement.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5.3. REPAYMENT IN CURRENCY OF LOAN</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For the removal of doubt, each Equipment Loan, as well as all Interest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thereon, shall be repaid in US Dollars.</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5.4. REPAYMENTS (INCLUDING PREPAYMENT) TO TIC'S ACCOUNT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repayments as aforesaid and all prepayments (in accordance with</w:t>
      </w:r>
    </w:p>
    <w:p>
      <w:pPr>
        <w:ind w:left="708"/>
        <w:spacing w:after="0"/>
        <w:rPr>
          <w:sz w:val="20"/>
          <w:szCs w:val="20"/>
          <w:color w:val="auto"/>
        </w:rPr>
      </w:pPr>
      <w:r>
        <w:rPr>
          <w:rFonts w:ascii="Courier New" w:cs="Courier New" w:eastAsia="Courier New" w:hAnsi="Courier New"/>
          <w:sz w:val="12"/>
          <w:szCs w:val="12"/>
          <w:color w:val="auto"/>
        </w:rPr>
        <w:t>clause 6 below) shall be made by transfer to TIC to TIC's Account.</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5.5. NO REBORROWING</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shall not be entitled to reborrow any part of an</w:t>
      </w:r>
    </w:p>
    <w:p>
      <w:pPr>
        <w:ind w:left="708"/>
        <w:spacing w:after="0"/>
        <w:rPr>
          <w:sz w:val="20"/>
          <w:szCs w:val="20"/>
          <w:color w:val="auto"/>
        </w:rPr>
      </w:pPr>
      <w:r>
        <w:rPr>
          <w:rFonts w:ascii="Courier New" w:cs="Courier New" w:eastAsia="Courier New" w:hAnsi="Courier New"/>
          <w:sz w:val="12"/>
          <w:szCs w:val="12"/>
          <w:color w:val="auto"/>
        </w:rPr>
        <w:t>Equipment Loan which is repaid.</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5.6. CANCELLATION OF COMMITMENT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For the removal of doubt, the Commitment of TIC shall be cancelled by</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any amount repaid or prepaid under this Agreement.</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- 12 -</w:t>
      </w:r>
    </w:p>
    <w:p>
      <w:pPr>
        <w:spacing w:after="0" w:line="386" w:lineRule="exact"/>
        <w:rPr>
          <w:sz w:val="20"/>
          <w:szCs w:val="20"/>
          <w:color w:val="auto"/>
        </w:rPr>
      </w:pPr>
    </w:p>
    <w:p>
      <w:pPr>
        <w:ind w:left="348" w:hanging="348"/>
        <w:spacing w:after="0"/>
        <w:tabs>
          <w:tab w:leader="none" w:pos="348" w:val="left"/>
        </w:tabs>
        <w:numPr>
          <w:ilvl w:val="0"/>
          <w:numId w:val="15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PREPAYMENT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6.1. VOLUNTARY PREPAYMENT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may make a prepayment to TIC of any Equipment Loan, in</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each case subject to the Borrower, simultaneously therewith, making a</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voluntary prepayment with respect to equipment facility credits under</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Banks' Equipment Facility Agreements in an aggregate amount equal</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to the amount of any such voluntary prepayment. A prepayment of any</w:t>
      </w:r>
    </w:p>
    <w:p>
      <w:pPr>
        <w:ind w:left="708"/>
        <w:spacing w:after="0"/>
        <w:rPr>
          <w:sz w:val="20"/>
          <w:szCs w:val="20"/>
          <w:color w:val="auto"/>
        </w:rPr>
      </w:pPr>
      <w:r>
        <w:rPr>
          <w:rFonts w:ascii="Courier New" w:cs="Courier New" w:eastAsia="Courier New" w:hAnsi="Courier New"/>
          <w:sz w:val="12"/>
          <w:szCs w:val="12"/>
          <w:color w:val="auto"/>
        </w:rPr>
        <w:t>Equipment Loan shall be made in the currency of the Equipment Loan.</w:t>
      </w:r>
    </w:p>
    <w:p>
      <w:pPr>
        <w:ind w:left="708"/>
        <w:spacing w:after="0" w:line="237" w:lineRule="auto"/>
        <w:rPr>
          <w:sz w:val="20"/>
          <w:szCs w:val="20"/>
          <w:color w:val="auto"/>
        </w:rPr>
      </w:pPr>
      <w:r>
        <w:rPr>
          <w:rFonts w:ascii="Courier New" w:cs="Courier New" w:eastAsia="Courier New" w:hAnsi="Courier New"/>
          <w:sz w:val="12"/>
          <w:szCs w:val="12"/>
          <w:color w:val="auto"/>
        </w:rPr>
        <w:t>The Borrower shall not be entitled to reborrow any amount prepaid on</w:t>
      </w:r>
    </w:p>
    <w:p>
      <w:pPr>
        <w:ind w:left="708"/>
        <w:spacing w:after="0"/>
        <w:rPr>
          <w:sz w:val="20"/>
          <w:szCs w:val="20"/>
          <w:color w:val="auto"/>
        </w:rPr>
      </w:pPr>
      <w:r>
        <w:rPr>
          <w:rFonts w:ascii="Courier New" w:cs="Courier New" w:eastAsia="Courier New" w:hAnsi="Courier New"/>
          <w:sz w:val="12"/>
          <w:szCs w:val="12"/>
          <w:color w:val="auto"/>
        </w:rPr>
        <w:t>account of any Equipment Loan. The Borrower shall pay to TIC, on the</w:t>
      </w:r>
    </w:p>
    <w:p>
      <w:pPr>
        <w:ind w:left="708"/>
        <w:spacing w:after="0" w:line="237" w:lineRule="auto"/>
        <w:rPr>
          <w:sz w:val="20"/>
          <w:szCs w:val="20"/>
          <w:color w:val="auto"/>
        </w:rPr>
      </w:pPr>
      <w:r>
        <w:rPr>
          <w:rFonts w:ascii="Courier New" w:cs="Courier New" w:eastAsia="Courier New" w:hAnsi="Courier New"/>
          <w:sz w:val="12"/>
          <w:szCs w:val="12"/>
          <w:color w:val="auto"/>
        </w:rPr>
        <w:t>date of prepayment a commission of 0.25% (nought point two five</w:t>
      </w:r>
    </w:p>
    <w:p>
      <w:pPr>
        <w:ind w:left="708"/>
        <w:spacing w:after="0"/>
        <w:rPr>
          <w:sz w:val="20"/>
          <w:szCs w:val="20"/>
          <w:color w:val="auto"/>
        </w:rPr>
      </w:pPr>
      <w:r>
        <w:rPr>
          <w:rFonts w:ascii="Courier New" w:cs="Courier New" w:eastAsia="Courier New" w:hAnsi="Courier New"/>
          <w:sz w:val="12"/>
          <w:szCs w:val="12"/>
          <w:color w:val="auto"/>
        </w:rPr>
        <w:t>percent) of the amount (principal) prepaid. All prepayments shall be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made together with all accrued Interest on the amount prepaid and all</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other sums due in respect of the amount prepaid.</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6.2. MANDATORY PREPAYMENT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6.2.1. Upon the occurrence of a Triggering Quarter, the Borrower</w:t>
      </w:r>
    </w:p>
    <w:p>
      <w:pPr>
        <w:ind w:left="1048"/>
        <w:spacing w:after="0"/>
        <w:rPr>
          <w:sz w:val="20"/>
          <w:szCs w:val="20"/>
          <w:color w:val="auto"/>
        </w:rPr>
      </w:pPr>
      <w:r>
        <w:rPr>
          <w:rFonts w:ascii="Courier New" w:cs="Courier New" w:eastAsia="Courier New" w:hAnsi="Courier New"/>
          <w:sz w:val="12"/>
          <w:szCs w:val="12"/>
          <w:color w:val="auto"/>
        </w:rPr>
        <w:t>shall, prior to any prepayments to the Banks under their</w:t>
      </w:r>
    </w:p>
    <w:p>
      <w:pPr>
        <w:ind w:left="1048"/>
        <w:spacing w:after="0" w:line="237" w:lineRule="auto"/>
        <w:rPr>
          <w:sz w:val="20"/>
          <w:szCs w:val="20"/>
          <w:color w:val="auto"/>
        </w:rPr>
      </w:pPr>
      <w:r>
        <w:rPr>
          <w:rFonts w:ascii="Courier New" w:cs="Courier New" w:eastAsia="Courier New" w:hAnsi="Courier New"/>
          <w:sz w:val="12"/>
          <w:szCs w:val="12"/>
          <w:color w:val="auto"/>
        </w:rPr>
        <w:t>mandatory prepayment option in clause 6.1 of the Facility</w:t>
      </w:r>
    </w:p>
    <w:p>
      <w:pPr>
        <w:ind w:left="1048"/>
        <w:spacing w:after="0"/>
        <w:rPr>
          <w:sz w:val="20"/>
          <w:szCs w:val="20"/>
          <w:color w:val="auto"/>
        </w:rPr>
      </w:pPr>
      <w:r>
        <w:rPr>
          <w:rFonts w:ascii="Courier New" w:cs="Courier New" w:eastAsia="Courier New" w:hAnsi="Courier New"/>
          <w:sz w:val="12"/>
          <w:szCs w:val="12"/>
          <w:color w:val="auto"/>
        </w:rPr>
        <w:t>Agreement (such clause attached hereto in SCHEDULE 6.2.1),</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immediately prepay the principal of the Equipment Loans at a rate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of US $7,500,000 (seven million five hundred thousand United</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States Dollars) per Quarter, commencing on the last Business Day</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of each Quarter following the Triggering Quarter until the</w:t>
      </w:r>
    </w:p>
    <w:p>
      <w:pPr>
        <w:ind w:left="1048"/>
        <w:spacing w:after="0"/>
        <w:rPr>
          <w:sz w:val="20"/>
          <w:szCs w:val="20"/>
          <w:color w:val="auto"/>
        </w:rPr>
      </w:pPr>
      <w:r>
        <w:rPr>
          <w:rFonts w:ascii="Courier New" w:cs="Courier New" w:eastAsia="Courier New" w:hAnsi="Courier New"/>
          <w:sz w:val="12"/>
          <w:szCs w:val="12"/>
          <w:color w:val="auto"/>
        </w:rPr>
        <w:t>Equipment Loans under this Agreement are fully repaid.</w:t>
      </w:r>
    </w:p>
    <w:p>
      <w:pPr>
        <w:spacing w:after="0" w:line="133"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For the avoidance of doubt and by way of illustration only, if</w:t>
      </w:r>
    </w:p>
    <w:p>
      <w:pPr>
        <w:ind w:left="1048"/>
        <w:spacing w:after="0"/>
        <w:rPr>
          <w:sz w:val="20"/>
          <w:szCs w:val="20"/>
          <w:color w:val="auto"/>
        </w:rPr>
      </w:pPr>
      <w:r>
        <w:rPr>
          <w:rFonts w:ascii="Courier New" w:cs="Courier New" w:eastAsia="Courier New" w:hAnsi="Courier New"/>
          <w:sz w:val="12"/>
          <w:szCs w:val="12"/>
          <w:color w:val="auto"/>
        </w:rPr>
        <w:t>the Triggering Quarter is the Quarter ended March 31, 2008 and</w:t>
      </w:r>
    </w:p>
    <w:p>
      <w:pPr>
        <w:ind w:left="1048"/>
        <w:spacing w:after="0" w:line="237" w:lineRule="auto"/>
        <w:rPr>
          <w:sz w:val="20"/>
          <w:szCs w:val="20"/>
          <w:color w:val="auto"/>
        </w:rPr>
      </w:pPr>
      <w:r>
        <w:rPr>
          <w:rFonts w:ascii="Courier New" w:cs="Courier New" w:eastAsia="Courier New" w:hAnsi="Courier New"/>
          <w:sz w:val="12"/>
          <w:szCs w:val="12"/>
          <w:color w:val="auto"/>
        </w:rPr>
        <w:t>the then outstanding Equipment Facility Credits aggregate US</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$30,000,000 (thirty million United States Dollars), the Borrower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shall prepay US $7,500,000 (seven million five hundred thousand</w:t>
      </w:r>
    </w:p>
    <w:p>
      <w:pPr>
        <w:ind w:left="1048"/>
        <w:spacing w:after="0"/>
        <w:rPr>
          <w:sz w:val="20"/>
          <w:szCs w:val="20"/>
          <w:color w:val="auto"/>
        </w:rPr>
      </w:pPr>
      <w:r>
        <w:rPr>
          <w:rFonts w:ascii="Courier New" w:cs="Courier New" w:eastAsia="Courier New" w:hAnsi="Courier New"/>
          <w:sz w:val="12"/>
          <w:szCs w:val="12"/>
          <w:color w:val="auto"/>
        </w:rPr>
        <w:t>United States Dollars) of Equipment Loans on the last Business</w:t>
      </w:r>
    </w:p>
    <w:p>
      <w:pPr>
        <w:ind w:left="1048"/>
        <w:spacing w:after="0" w:line="237" w:lineRule="auto"/>
        <w:rPr>
          <w:sz w:val="20"/>
          <w:szCs w:val="20"/>
          <w:color w:val="auto"/>
        </w:rPr>
      </w:pPr>
      <w:r>
        <w:rPr>
          <w:rFonts w:ascii="Courier New" w:cs="Courier New" w:eastAsia="Courier New" w:hAnsi="Courier New"/>
          <w:sz w:val="12"/>
          <w:szCs w:val="12"/>
          <w:color w:val="auto"/>
        </w:rPr>
        <w:t>Day of each of the Quarters ended in June, September and</w:t>
      </w:r>
    </w:p>
    <w:p>
      <w:pPr>
        <w:ind w:left="1048"/>
        <w:spacing w:after="0"/>
        <w:rPr>
          <w:sz w:val="20"/>
          <w:szCs w:val="20"/>
          <w:color w:val="auto"/>
        </w:rPr>
      </w:pPr>
      <w:r>
        <w:rPr>
          <w:rFonts w:ascii="Courier New" w:cs="Courier New" w:eastAsia="Courier New" w:hAnsi="Courier New"/>
          <w:sz w:val="12"/>
          <w:szCs w:val="12"/>
          <w:color w:val="auto"/>
        </w:rPr>
        <w:t>December, 2008 and March, 2009.</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6.2.2. Upon the occurrence of an Accelerated Trigger Quarter, the</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Borrower shall, prior to any prepayments to the Banks under their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mandatory prepayment option in clause 6.1 of the Facility</w:t>
      </w:r>
    </w:p>
    <w:p>
      <w:pPr>
        <w:ind w:left="1048"/>
        <w:spacing w:after="0"/>
        <w:rPr>
          <w:sz w:val="20"/>
          <w:szCs w:val="20"/>
          <w:color w:val="auto"/>
        </w:rPr>
      </w:pPr>
      <w:r>
        <w:rPr>
          <w:rFonts w:ascii="Courier New" w:cs="Courier New" w:eastAsia="Courier New" w:hAnsi="Courier New"/>
          <w:sz w:val="12"/>
          <w:szCs w:val="12"/>
          <w:color w:val="auto"/>
        </w:rPr>
        <w:t>Agreement (such clause attached hereto in Schedule 6.2.1),</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immediately prepay the principal of the Equipment Loans to TIC at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a rate of US $12,500,000 (twelve million five hundred thousand</w:t>
      </w:r>
    </w:p>
    <w:p>
      <w:pPr>
        <w:ind w:left="1048"/>
        <w:spacing w:after="0"/>
        <w:rPr>
          <w:sz w:val="20"/>
          <w:szCs w:val="20"/>
          <w:color w:val="auto"/>
        </w:rPr>
      </w:pPr>
      <w:r>
        <w:rPr>
          <w:rFonts w:ascii="Courier New" w:cs="Courier New" w:eastAsia="Courier New" w:hAnsi="Courier New"/>
          <w:sz w:val="12"/>
          <w:szCs w:val="12"/>
          <w:color w:val="auto"/>
        </w:rPr>
        <w:t>United States Dollars) per Quarter, commencing on the last</w:t>
      </w:r>
    </w:p>
    <w:p>
      <w:pPr>
        <w:ind w:left="1048"/>
        <w:spacing w:after="0" w:line="237" w:lineRule="auto"/>
        <w:rPr>
          <w:sz w:val="20"/>
          <w:szCs w:val="20"/>
          <w:color w:val="auto"/>
        </w:rPr>
      </w:pPr>
      <w:r>
        <w:rPr>
          <w:rFonts w:ascii="Courier New" w:cs="Courier New" w:eastAsia="Courier New" w:hAnsi="Courier New"/>
          <w:sz w:val="12"/>
          <w:szCs w:val="12"/>
          <w:color w:val="auto"/>
        </w:rPr>
        <w:t>Business Day of each Quarter following the Accelerated Trigger</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Quarter until the Equipment Loans under this Agreement are fully</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repaid.</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- 13 -</w:t>
      </w:r>
    </w:p>
    <w:p>
      <w:pPr>
        <w:spacing w:after="0" w:line="38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For the avoidance of doubt and by way of illustration only, if</w:t>
      </w:r>
    </w:p>
    <w:p>
      <w:pPr>
        <w:ind w:left="1048"/>
        <w:spacing w:after="0"/>
        <w:rPr>
          <w:sz w:val="20"/>
          <w:szCs w:val="20"/>
          <w:color w:val="auto"/>
        </w:rPr>
      </w:pPr>
      <w:r>
        <w:rPr>
          <w:rFonts w:ascii="Courier New" w:cs="Courier New" w:eastAsia="Courier New" w:hAnsi="Courier New"/>
          <w:sz w:val="12"/>
          <w:szCs w:val="12"/>
          <w:color w:val="auto"/>
        </w:rPr>
        <w:t>the Accelerated Trigger Quarter is the Quarter ended March 31,</w:t>
      </w:r>
    </w:p>
    <w:p>
      <w:pPr>
        <w:ind w:left="1048"/>
        <w:spacing w:after="0" w:line="237" w:lineRule="auto"/>
        <w:rPr>
          <w:sz w:val="20"/>
          <w:szCs w:val="20"/>
          <w:color w:val="auto"/>
        </w:rPr>
      </w:pPr>
      <w:r>
        <w:rPr>
          <w:rFonts w:ascii="Courier New" w:cs="Courier New" w:eastAsia="Courier New" w:hAnsi="Courier New"/>
          <w:sz w:val="12"/>
          <w:szCs w:val="12"/>
          <w:color w:val="auto"/>
        </w:rPr>
        <w:t>2008 and the then outstanding Equipment Facility Credits</w:t>
      </w:r>
    </w:p>
    <w:p>
      <w:pPr>
        <w:ind w:left="1048"/>
        <w:spacing w:after="0"/>
        <w:rPr>
          <w:sz w:val="20"/>
          <w:szCs w:val="20"/>
          <w:color w:val="auto"/>
        </w:rPr>
      </w:pPr>
      <w:r>
        <w:rPr>
          <w:rFonts w:ascii="Courier New" w:cs="Courier New" w:eastAsia="Courier New" w:hAnsi="Courier New"/>
          <w:sz w:val="12"/>
          <w:szCs w:val="12"/>
          <w:color w:val="auto"/>
        </w:rPr>
        <w:t>aggregate US $25,000,000 (twenty-five million United States</w:t>
      </w:r>
    </w:p>
    <w:p>
      <w:pPr>
        <w:ind w:left="1048"/>
        <w:spacing w:after="0" w:line="237" w:lineRule="auto"/>
        <w:rPr>
          <w:sz w:val="20"/>
          <w:szCs w:val="20"/>
          <w:color w:val="auto"/>
        </w:rPr>
      </w:pPr>
      <w:r>
        <w:rPr>
          <w:rFonts w:ascii="Courier New" w:cs="Courier New" w:eastAsia="Courier New" w:hAnsi="Courier New"/>
          <w:sz w:val="12"/>
          <w:szCs w:val="12"/>
          <w:color w:val="auto"/>
        </w:rPr>
        <w:t>Dollars), the Borrower shall prepay US $12,500,000 (twelve</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million five hundred thousand United States Dollars) in Equipment</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Loans on the last Business Day of each of the Quarters ended in</w:t>
      </w:r>
    </w:p>
    <w:p>
      <w:pPr>
        <w:ind w:left="1048"/>
        <w:spacing w:after="0"/>
        <w:rPr>
          <w:sz w:val="20"/>
          <w:szCs w:val="20"/>
          <w:color w:val="auto"/>
        </w:rPr>
      </w:pPr>
      <w:r>
        <w:rPr>
          <w:rFonts w:ascii="Courier New" w:cs="Courier New" w:eastAsia="Courier New" w:hAnsi="Courier New"/>
          <w:sz w:val="12"/>
          <w:szCs w:val="12"/>
          <w:color w:val="auto"/>
        </w:rPr>
        <w:t>June and September, 2008.</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6.2.3. Should the Borrower wish to make a voluntary prepayment with</w:t>
      </w:r>
    </w:p>
    <w:p>
      <w:pPr>
        <w:ind w:left="1048"/>
        <w:spacing w:after="0"/>
        <w:rPr>
          <w:sz w:val="20"/>
          <w:szCs w:val="20"/>
          <w:color w:val="auto"/>
        </w:rPr>
      </w:pPr>
      <w:r>
        <w:rPr>
          <w:rFonts w:ascii="Courier New" w:cs="Courier New" w:eastAsia="Courier New" w:hAnsi="Courier New"/>
          <w:sz w:val="12"/>
          <w:szCs w:val="12"/>
          <w:color w:val="auto"/>
        </w:rPr>
        <w:t>respect to any equipment facility credits under the Banks'</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Equipment Facility Agreements, to the Banks, the Borrower shall,</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simultaneously with such voluntary prepayment, pay an amount</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equal to the aggregate amount of any such voluntary prepayment to</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TIC.</w:t>
      </w:r>
    </w:p>
    <w:p>
      <w:pPr>
        <w:spacing w:after="0" w:line="139" w:lineRule="exact"/>
        <w:rPr>
          <w:sz w:val="20"/>
          <w:szCs w:val="20"/>
          <w:color w:val="auto"/>
        </w:rPr>
      </w:pPr>
    </w:p>
    <w:p>
      <w:pPr>
        <w:ind w:left="708" w:right="4759" w:hanging="350"/>
        <w:spacing w:after="0" w:line="237" w:lineRule="auto"/>
        <w:rPr>
          <w:sz w:val="20"/>
          <w:szCs w:val="20"/>
          <w:color w:val="auto"/>
        </w:rPr>
      </w:pPr>
      <w:r>
        <w:rPr>
          <w:rFonts w:ascii="Courier New" w:cs="Courier New" w:eastAsia="Courier New" w:hAnsi="Courier New"/>
          <w:sz w:val="12"/>
          <w:szCs w:val="12"/>
          <w:color w:val="auto"/>
        </w:rPr>
        <w:t>6.3. The provisions of clauses 8.2 ("NO REBORROWING OF MANDATORY PREPAYMENT"), 8.4 ("MANDATORY PREPAYMENT TOGETHER WITH INTEREST AND OTHER SUMS OWED"), 8.5 ("CURRENCY FOR MANDATORY PREPAYMENT") and 8.6 ("SCHEDULE FOR MANDATORY PREPAYMENT") of the Facility Agreement with necessary changes, attached hereto in SCHEDULE 6.3, are hereby incorporated by reference.</w:t>
      </w:r>
    </w:p>
    <w:p>
      <w:pPr>
        <w:spacing w:after="0" w:line="136" w:lineRule="exact"/>
        <w:rPr>
          <w:sz w:val="20"/>
          <w:szCs w:val="20"/>
          <w:color w:val="auto"/>
        </w:rPr>
      </w:pPr>
    </w:p>
    <w:p>
      <w:pPr>
        <w:ind w:left="8"/>
        <w:spacing w:after="0"/>
        <w:tabs>
          <w:tab w:leader="none" w:pos="328" w:val="left"/>
        </w:tabs>
        <w:rPr>
          <w:sz w:val="20"/>
          <w:szCs w:val="20"/>
          <w:color w:val="auto"/>
        </w:rPr>
      </w:pPr>
      <w:r>
        <w:rPr>
          <w:rFonts w:ascii="Courier New" w:cs="Courier New" w:eastAsia="Courier New" w:hAnsi="Courier New"/>
          <w:sz w:val="12"/>
          <w:szCs w:val="12"/>
          <w:color w:val="auto"/>
        </w:rPr>
        <w:t>6A.</w:t>
        <w:tab/>
        <w:t>SUBORDINATION</w:t>
      </w:r>
    </w:p>
    <w:p>
      <w:pPr>
        <w:spacing w:after="0" w:line="139" w:lineRule="exact"/>
        <w:rPr>
          <w:sz w:val="20"/>
          <w:szCs w:val="20"/>
          <w:color w:val="auto"/>
        </w:rPr>
      </w:pPr>
    </w:p>
    <w:p>
      <w:pPr>
        <w:ind w:left="348" w:right="4699"/>
        <w:spacing w:after="0" w:line="273" w:lineRule="auto"/>
        <w:rPr>
          <w:sz w:val="20"/>
          <w:szCs w:val="20"/>
          <w:color w:val="auto"/>
        </w:rPr>
      </w:pPr>
      <w:r>
        <w:rPr>
          <w:rFonts w:ascii="Courier New" w:cs="Courier New" w:eastAsia="Courier New" w:hAnsi="Courier New"/>
          <w:sz w:val="11"/>
          <w:szCs w:val="11"/>
          <w:color w:val="auto"/>
        </w:rPr>
        <w:t>Notwithstanding anything to the contrary in this Agreement, TIC agrees, as an obligation in favour of, and enforceable by, the Banks, as follows:</w:t>
      </w:r>
    </w:p>
    <w:p>
      <w:pPr>
        <w:sectPr>
          <w:pgSz w:w="11900" w:h="16838" w:orient="portrait"/>
          <w:cols w:equalWidth="0" w:num="1">
            <w:col w:w="10247"/>
          </w:cols>
          <w:pgMar w:left="212" w:top="272" w:right="1440" w:bottom="0" w:gutter="0" w:footer="0" w:header="0"/>
        </w:sectPr>
      </w:pPr>
    </w:p>
    <w:bookmarkStart w:id="105" w:name="page106"/>
    <w:bookmarkEnd w:id="105"/>
    <w:p>
      <w:pPr>
        <w:ind w:left="708" w:right="4619" w:hanging="350"/>
        <w:spacing w:after="0" w:line="238" w:lineRule="auto"/>
        <w:rPr>
          <w:sz w:val="20"/>
          <w:szCs w:val="20"/>
          <w:color w:val="auto"/>
        </w:rPr>
      </w:pPr>
      <w:r>
        <w:rPr>
          <w:rFonts w:ascii="Courier New" w:cs="Courier New" w:eastAsia="Courier New" w:hAnsi="Courier New"/>
          <w:sz w:val="12"/>
          <w:szCs w:val="12"/>
          <w:color w:val="auto"/>
        </w:rPr>
        <w:t>6A.1. the Indebtedness of the Borrower in respect of this Agreement is subordinated to the rights of the Banks under the Facility Agreement and under all other Finance Documents (as defined in the Facility Agreement) in all respects, including with respect to payments of principal and Interest and all other amounts payable to the Banks under the Facility Agreement and under all other Finance Documents and shall not be secured by any collateral whatsoever and, save in accordance with the provisions of clauses 5 and 6 above and clause 7 and clause 8 below, no amount, whether in respect of principal, Interest or any other amount, shall be payable by the Borrower on account of such Indebtedness, prior to the date on which: (a) all amounts payable by the Borrower under the Finance Documents shall have been paid in full; and (b) no Bank shall be under any obligation under any Finance Document to provide any Financial Indebtedness to the Borrower;</w:t>
      </w:r>
    </w:p>
    <w:p>
      <w:pPr>
        <w:spacing w:after="0" w:line="140" w:lineRule="exact"/>
        <w:rPr>
          <w:sz w:val="20"/>
          <w:szCs w:val="20"/>
          <w:color w:val="auto"/>
        </w:rPr>
      </w:pPr>
    </w:p>
    <w:p>
      <w:pPr>
        <w:jc w:val="both"/>
        <w:ind w:left="708" w:right="4759" w:hanging="350"/>
        <w:spacing w:after="0" w:line="266" w:lineRule="auto"/>
        <w:rPr>
          <w:sz w:val="20"/>
          <w:szCs w:val="20"/>
          <w:color w:val="auto"/>
        </w:rPr>
      </w:pPr>
      <w:r>
        <w:rPr>
          <w:rFonts w:ascii="Courier New" w:cs="Courier New" w:eastAsia="Courier New" w:hAnsi="Courier New"/>
          <w:sz w:val="11"/>
          <w:szCs w:val="11"/>
          <w:color w:val="auto"/>
        </w:rPr>
        <w:t>6A.2. this Agreement shall not be amended in any way which may be adverse in any manner to any interest or right of any Bank under any Finance Documents, without the prior written consent of the Banks;</w:t>
      </w:r>
    </w:p>
    <w:p>
      <w:pPr>
        <w:spacing w:after="0" w:line="257"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- 14 -</w:t>
      </w:r>
    </w:p>
    <w:p>
      <w:pPr>
        <w:spacing w:after="0" w:line="391" w:lineRule="exact"/>
        <w:rPr>
          <w:sz w:val="20"/>
          <w:szCs w:val="20"/>
          <w:color w:val="auto"/>
        </w:rPr>
      </w:pPr>
    </w:p>
    <w:p>
      <w:pPr>
        <w:ind w:left="708" w:right="4619" w:hanging="350"/>
        <w:spacing w:after="0" w:line="237" w:lineRule="auto"/>
        <w:rPr>
          <w:sz w:val="20"/>
          <w:szCs w:val="20"/>
          <w:color w:val="auto"/>
        </w:rPr>
      </w:pPr>
      <w:r>
        <w:rPr>
          <w:rFonts w:ascii="Courier New" w:cs="Courier New" w:eastAsia="Courier New" w:hAnsi="Courier New"/>
          <w:sz w:val="12"/>
          <w:szCs w:val="12"/>
          <w:color w:val="auto"/>
        </w:rPr>
        <w:t>6A.3. in the event of any Equipment Facility Event of Default, no amount of whatsoever nature shall be payable by the Borrower in respect of the Equipment Facility Credits (whether in respect of principal, Interest or any other amount), until all amounts owing by the Borrower under the Finance Documents shall have been paid in full;</w:t>
      </w:r>
    </w:p>
    <w:p>
      <w:pPr>
        <w:spacing w:after="0" w:line="139" w:lineRule="exact"/>
        <w:rPr>
          <w:sz w:val="20"/>
          <w:szCs w:val="20"/>
          <w:color w:val="auto"/>
        </w:rPr>
      </w:pPr>
    </w:p>
    <w:p>
      <w:pPr>
        <w:ind w:left="708" w:right="4619" w:hanging="350"/>
        <w:spacing w:after="0" w:line="237" w:lineRule="auto"/>
        <w:rPr>
          <w:sz w:val="20"/>
          <w:szCs w:val="20"/>
          <w:color w:val="auto"/>
        </w:rPr>
      </w:pPr>
      <w:r>
        <w:rPr>
          <w:rFonts w:ascii="Courier New" w:cs="Courier New" w:eastAsia="Courier New" w:hAnsi="Courier New"/>
          <w:sz w:val="12"/>
          <w:szCs w:val="12"/>
          <w:color w:val="auto"/>
        </w:rPr>
        <w:t>6A.4. any variation of the terms of the Finance Documents(save for variations that purport to increase TIC's obligations to provide Equipment Facility Credits to the Borrower or that purport to derogate from the obligations of the Banks to provide Equipment Facility Credits to the Borrower under the Banks' Equipment Facility Agreements) shall not require the consent of TIC, nor shall it constitute an Equipment Facility Default;</w:t>
      </w:r>
    </w:p>
    <w:p>
      <w:pPr>
        <w:spacing w:after="0" w:line="141" w:lineRule="exact"/>
        <w:rPr>
          <w:sz w:val="20"/>
          <w:szCs w:val="20"/>
          <w:color w:val="auto"/>
        </w:rPr>
      </w:pPr>
    </w:p>
    <w:p>
      <w:pPr>
        <w:ind w:left="708" w:right="4619" w:hanging="350"/>
        <w:spacing w:after="0" w:line="236" w:lineRule="auto"/>
        <w:rPr>
          <w:sz w:val="20"/>
          <w:szCs w:val="20"/>
          <w:color w:val="auto"/>
        </w:rPr>
      </w:pPr>
      <w:r>
        <w:rPr>
          <w:rFonts w:ascii="Courier New" w:cs="Courier New" w:eastAsia="Courier New" w:hAnsi="Courier New"/>
          <w:sz w:val="12"/>
          <w:szCs w:val="12"/>
          <w:color w:val="auto"/>
        </w:rPr>
        <w:t>6A.5. no payment of principal or Interest shall be made in respect of the Equipment Facility Credits under this Agreement, unless, as at the date of any such payment no Default exists and is continuing under any of the Finance Documents; and</w:t>
      </w:r>
    </w:p>
    <w:p>
      <w:pPr>
        <w:spacing w:after="0" w:line="141" w:lineRule="exact"/>
        <w:rPr>
          <w:sz w:val="20"/>
          <w:szCs w:val="20"/>
          <w:color w:val="auto"/>
        </w:rPr>
      </w:pPr>
    </w:p>
    <w:p>
      <w:pPr>
        <w:ind w:left="708" w:right="4759" w:hanging="350"/>
        <w:spacing w:after="0" w:line="236" w:lineRule="auto"/>
        <w:rPr>
          <w:sz w:val="20"/>
          <w:szCs w:val="20"/>
          <w:color w:val="auto"/>
        </w:rPr>
      </w:pPr>
      <w:r>
        <w:rPr>
          <w:rFonts w:ascii="Courier New" w:cs="Courier New" w:eastAsia="Courier New" w:hAnsi="Courier New"/>
          <w:sz w:val="12"/>
          <w:szCs w:val="12"/>
          <w:color w:val="auto"/>
        </w:rPr>
        <w:t>6A.6. notwithstanding the foregoing provisions of this clause 6A, the provisions of clause 1.1.118 of the Facility Agreement applicable to "Equity Convertible Debentures" shall be applicable to the Indebtedness under this Agreement, MUTATIS MUTANDIS.</w:t>
      </w:r>
    </w:p>
    <w:p>
      <w:pPr>
        <w:spacing w:after="0" w:line="141" w:lineRule="exact"/>
        <w:rPr>
          <w:sz w:val="20"/>
          <w:szCs w:val="20"/>
          <w:color w:val="auto"/>
        </w:rPr>
      </w:pPr>
    </w:p>
    <w:p>
      <w:pPr>
        <w:ind w:left="708" w:right="4619" w:hanging="350"/>
        <w:spacing w:after="0" w:line="238" w:lineRule="auto"/>
        <w:rPr>
          <w:sz w:val="20"/>
          <w:szCs w:val="20"/>
          <w:color w:val="auto"/>
        </w:rPr>
      </w:pPr>
      <w:r>
        <w:rPr>
          <w:rFonts w:ascii="Courier New" w:cs="Courier New" w:eastAsia="Courier New" w:hAnsi="Courier New"/>
          <w:sz w:val="12"/>
          <w:szCs w:val="12"/>
          <w:color w:val="auto"/>
        </w:rPr>
        <w:t>6A.7 The subordination pursuant to this clause 6A shall apply only with respect to (i) the existing Loans under and as defined in the Facility Agreement and all other amounts (including Interest, fees, commissions, costs and expenses) owed from time to time under the Finance Documents (but, for the avoidance of doubt, excluding new loans, if any, which may increase the principal amount of the Loans outstanding as of the date hereof), (ii) the Equipment Facility Credits under the Banks' Equipment Facility Agreements (in the aggregate principal amount not to exceed $30 million US dollars) and all other amounts (including Interest, fees, commissions, costs and expenses) owed from time to time in connection therewith, and (iii) standby or documentary letters of credit or bank guarantees, which shall not in the aggregate exceed $10 million, issued and/or to be issued from time to time by any Bank and all other amounts (including Interest, fees, commissions, costs and expenses) owed from time to time in connection therewith.</w:t>
      </w:r>
    </w:p>
    <w:p>
      <w:pPr>
        <w:spacing w:after="0" w:line="271"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- 15 -</w:t>
      </w:r>
    </w:p>
    <w:p>
      <w:pPr>
        <w:spacing w:after="0" w:line="386" w:lineRule="exact"/>
        <w:rPr>
          <w:sz w:val="20"/>
          <w:szCs w:val="20"/>
          <w:color w:val="auto"/>
        </w:rPr>
      </w:pPr>
    </w:p>
    <w:p>
      <w:pPr>
        <w:ind w:left="348" w:hanging="348"/>
        <w:spacing w:after="0"/>
        <w:tabs>
          <w:tab w:leader="none" w:pos="348" w:val="left"/>
        </w:tabs>
        <w:numPr>
          <w:ilvl w:val="0"/>
          <w:numId w:val="153"/>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INTEREST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7.1. INTEREST RATE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rate of Interest applicable to the Equipment Loans in respect of</w:t>
      </w:r>
    </w:p>
    <w:p>
      <w:pPr>
        <w:ind w:left="708"/>
        <w:spacing w:after="0"/>
        <w:rPr>
          <w:sz w:val="20"/>
          <w:szCs w:val="20"/>
          <w:color w:val="auto"/>
        </w:rPr>
      </w:pPr>
      <w:r>
        <w:rPr>
          <w:rFonts w:ascii="Courier New" w:cs="Courier New" w:eastAsia="Courier New" w:hAnsi="Courier New"/>
          <w:sz w:val="12"/>
          <w:szCs w:val="12"/>
          <w:color w:val="auto"/>
        </w:rPr>
        <w:t>each Interest Period (provided that the first Interest Period in</w:t>
      </w:r>
    </w:p>
    <w:p>
      <w:pPr>
        <w:ind w:left="708"/>
        <w:spacing w:after="0" w:line="237" w:lineRule="auto"/>
        <w:rPr>
          <w:sz w:val="20"/>
          <w:szCs w:val="20"/>
          <w:color w:val="auto"/>
        </w:rPr>
      </w:pPr>
      <w:r>
        <w:rPr>
          <w:rFonts w:ascii="Courier New" w:cs="Courier New" w:eastAsia="Courier New" w:hAnsi="Courier New"/>
          <w:sz w:val="12"/>
          <w:szCs w:val="12"/>
          <w:color w:val="auto"/>
        </w:rPr>
        <w:t>respect of any Equipment Loan made other than on the first day of a</w:t>
      </w:r>
    </w:p>
    <w:p>
      <w:pPr>
        <w:ind w:left="708"/>
        <w:spacing w:after="0"/>
        <w:rPr>
          <w:sz w:val="20"/>
          <w:szCs w:val="20"/>
          <w:color w:val="auto"/>
        </w:rPr>
      </w:pPr>
      <w:r>
        <w:rPr>
          <w:rFonts w:ascii="Courier New" w:cs="Courier New" w:eastAsia="Courier New" w:hAnsi="Courier New"/>
          <w:sz w:val="12"/>
          <w:szCs w:val="12"/>
          <w:color w:val="auto"/>
        </w:rPr>
        <w:t>Quarter, shall commence on the date of the making of such Equipment</w:t>
      </w:r>
    </w:p>
    <w:p>
      <w:pPr>
        <w:ind w:left="708"/>
        <w:spacing w:after="0" w:line="237" w:lineRule="auto"/>
        <w:rPr>
          <w:sz w:val="20"/>
          <w:szCs w:val="20"/>
          <w:color w:val="auto"/>
        </w:rPr>
      </w:pPr>
      <w:r>
        <w:rPr>
          <w:rFonts w:ascii="Courier New" w:cs="Courier New" w:eastAsia="Courier New" w:hAnsi="Courier New"/>
          <w:sz w:val="12"/>
          <w:szCs w:val="12"/>
          <w:color w:val="auto"/>
        </w:rPr>
        <w:t>Loan and end on the last Business Day of the Quarter in which such</w:t>
      </w:r>
    </w:p>
    <w:p>
      <w:pPr>
        <w:ind w:left="708"/>
        <w:spacing w:after="0"/>
        <w:rPr>
          <w:sz w:val="20"/>
          <w:szCs w:val="20"/>
          <w:color w:val="auto"/>
        </w:rPr>
      </w:pPr>
      <w:r>
        <w:rPr>
          <w:rFonts w:ascii="Courier New" w:cs="Courier New" w:eastAsia="Courier New" w:hAnsi="Courier New"/>
          <w:sz w:val="12"/>
          <w:szCs w:val="12"/>
          <w:color w:val="auto"/>
        </w:rPr>
        <w:t>Equipment Loan is made) shall be the sum of: (a) the rate per annum</w:t>
      </w:r>
    </w:p>
    <w:p>
      <w:pPr>
        <w:ind w:left="708"/>
        <w:spacing w:after="0" w:line="237" w:lineRule="auto"/>
        <w:rPr>
          <w:sz w:val="20"/>
          <w:szCs w:val="20"/>
          <w:color w:val="auto"/>
        </w:rPr>
      </w:pPr>
      <w:r>
        <w:rPr>
          <w:rFonts w:ascii="Courier New" w:cs="Courier New" w:eastAsia="Courier New" w:hAnsi="Courier New"/>
          <w:sz w:val="12"/>
          <w:szCs w:val="12"/>
          <w:color w:val="auto"/>
        </w:rPr>
        <w:t>determined to be LIBOR in accordance with clause 1.1.94 of the</w:t>
      </w:r>
    </w:p>
    <w:p>
      <w:pPr>
        <w:ind w:left="708"/>
        <w:spacing w:after="0"/>
        <w:rPr>
          <w:sz w:val="20"/>
          <w:szCs w:val="20"/>
          <w:color w:val="auto"/>
        </w:rPr>
      </w:pPr>
      <w:r>
        <w:rPr>
          <w:rFonts w:ascii="Courier New" w:cs="Courier New" w:eastAsia="Courier New" w:hAnsi="Courier New"/>
          <w:sz w:val="12"/>
          <w:szCs w:val="12"/>
          <w:color w:val="auto"/>
        </w:rPr>
        <w:t>Facility Agreement on the Interest Determination Date for such</w:t>
      </w:r>
    </w:p>
    <w:p>
      <w:pPr>
        <w:ind w:left="708"/>
        <w:spacing w:after="0" w:line="237" w:lineRule="auto"/>
        <w:rPr>
          <w:sz w:val="20"/>
          <w:szCs w:val="20"/>
          <w:color w:val="auto"/>
        </w:rPr>
      </w:pPr>
      <w:r>
        <w:rPr>
          <w:rFonts w:ascii="Courier New" w:cs="Courier New" w:eastAsia="Courier New" w:hAnsi="Courier New"/>
          <w:sz w:val="12"/>
          <w:szCs w:val="12"/>
          <w:color w:val="auto"/>
        </w:rPr>
        <w:t>Interest Period; and (b) 3% (three percent) per annum.</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7.2. ACCRUAL OF INTEREST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Interest as aforesaid in clause 7.1 above in respect of the Equipment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Loans shall accrue from day to day and shall be calculated on the</w:t>
      </w:r>
    </w:p>
    <w:p>
      <w:pPr>
        <w:ind w:left="708"/>
        <w:spacing w:after="0"/>
        <w:rPr>
          <w:sz w:val="20"/>
          <w:szCs w:val="20"/>
          <w:color w:val="auto"/>
        </w:rPr>
      </w:pPr>
      <w:r>
        <w:rPr>
          <w:rFonts w:ascii="Courier New" w:cs="Courier New" w:eastAsia="Courier New" w:hAnsi="Courier New"/>
          <w:sz w:val="12"/>
          <w:szCs w:val="12"/>
          <w:color w:val="auto"/>
        </w:rPr>
        <w:t>basis of the actual number of days elapsed and a 360 (three hundred</w:t>
      </w:r>
    </w:p>
    <w:p>
      <w:pPr>
        <w:ind w:left="708"/>
        <w:spacing w:after="0" w:line="237" w:lineRule="auto"/>
        <w:rPr>
          <w:sz w:val="20"/>
          <w:szCs w:val="20"/>
          <w:color w:val="auto"/>
        </w:rPr>
      </w:pPr>
      <w:r>
        <w:rPr>
          <w:rFonts w:ascii="Courier New" w:cs="Courier New" w:eastAsia="Courier New" w:hAnsi="Courier New"/>
          <w:sz w:val="12"/>
          <w:szCs w:val="12"/>
          <w:color w:val="auto"/>
        </w:rPr>
        <w:t>and sixty) day year.</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7.3. PAYMENT OF INTEREST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All Interest accrued as aforesaid in clause 7.2 above on the Equipment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Loans shall be paid on each Interest Payment Date and on the Final</w:t>
      </w:r>
    </w:p>
    <w:p>
      <w:pPr>
        <w:ind w:left="708"/>
        <w:spacing w:after="0"/>
        <w:rPr>
          <w:sz w:val="20"/>
          <w:szCs w:val="20"/>
          <w:color w:val="auto"/>
        </w:rPr>
      </w:pPr>
      <w:r>
        <w:rPr>
          <w:rFonts w:ascii="Courier New" w:cs="Courier New" w:eastAsia="Courier New" w:hAnsi="Courier New"/>
          <w:sz w:val="12"/>
          <w:szCs w:val="12"/>
          <w:color w:val="auto"/>
        </w:rPr>
        <w:t>Equipment Facility Maturity Date. The Borrower shall pay to TIC all</w:t>
      </w:r>
    </w:p>
    <w:p>
      <w:pPr>
        <w:ind w:left="708"/>
        <w:spacing w:after="0" w:line="237" w:lineRule="auto"/>
        <w:rPr>
          <w:sz w:val="20"/>
          <w:szCs w:val="20"/>
          <w:color w:val="auto"/>
        </w:rPr>
      </w:pPr>
      <w:r>
        <w:rPr>
          <w:rFonts w:ascii="Courier New" w:cs="Courier New" w:eastAsia="Courier New" w:hAnsi="Courier New"/>
          <w:sz w:val="12"/>
          <w:szCs w:val="12"/>
          <w:color w:val="auto"/>
        </w:rPr>
        <w:t>Interest payable as aforesaid into TIC's Account.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7.4. SUBSTITUTE INTEREST RATES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provisions of clause 10 ("SUBSTITUTE INTEREST RATES") of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Facility Agreement with necessary changes, attached hereto in SCHEDULE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7.4, are hereby incorporated by reference.</w:t>
      </w:r>
    </w:p>
    <w:p>
      <w:pPr>
        <w:spacing w:after="0" w:line="134" w:lineRule="exact"/>
        <w:rPr>
          <w:sz w:val="20"/>
          <w:szCs w:val="20"/>
          <w:color w:val="auto"/>
        </w:rPr>
      </w:pPr>
    </w:p>
    <w:p>
      <w:pPr>
        <w:ind w:left="348" w:hanging="348"/>
        <w:spacing w:after="0"/>
        <w:tabs>
          <w:tab w:leader="none" w:pos="348" w:val="left"/>
        </w:tabs>
        <w:numPr>
          <w:ilvl w:val="0"/>
          <w:numId w:val="1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COMMISSIONS, FEES AND EXPENSES</w:t>
      </w:r>
    </w:p>
    <w:p>
      <w:pPr>
        <w:spacing w:after="0" w:line="138" w:lineRule="exact"/>
        <w:rPr>
          <w:rFonts w:ascii="Courier New" w:cs="Courier New" w:eastAsia="Courier New" w:hAnsi="Courier New"/>
          <w:sz w:val="12"/>
          <w:szCs w:val="12"/>
          <w:color w:val="auto"/>
        </w:rPr>
      </w:pPr>
    </w:p>
    <w:p>
      <w:pPr>
        <w:ind w:left="348" w:right="4619"/>
        <w:spacing w:after="0" w:line="261"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The Borrower shall, in respect of the Availability Period, pay to TIC a Commitment commission at the rate per annum of 0.25% (nought point two five percent) on the Available Loan Commitment from time to time as from the date of signature of this Agreement until the last day of the Availability Period. Such fee shall accrue from day to day and shall be calculated on the basis of the actual number of days elapsed and a 360 (three hundred and sixty) day year and shall be paid in arrears on each Interest Payment Date during the Availability Period and on the Termination Date. "AVAILABLE LOAN COMMITMENT" means, at any time, the Commitment at such time, less all Equipment Loans outstanding at such time.</w:t>
      </w:r>
    </w:p>
    <w:p>
      <w:pPr>
        <w:spacing w:after="0" w:line="261"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54"/>
        </w:numPr>
        <w:rPr>
          <w:rFonts w:ascii="Courier New" w:cs="Courier New" w:eastAsia="Courier New" w:hAnsi="Courier New"/>
          <w:sz w:val="12"/>
          <w:szCs w:val="12"/>
          <w:color w:val="auto"/>
        </w:rPr>
      </w:pPr>
      <w:r>
        <w:rPr>
          <w:rFonts w:ascii="Courier New" w:cs="Courier New" w:eastAsia="Courier New" w:hAnsi="Courier New"/>
          <w:sz w:val="12"/>
          <w:szCs w:val="12"/>
          <w:color w:val="auto"/>
        </w:rPr>
        <w:t>16 -</w:t>
      </w:r>
    </w:p>
    <w:p>
      <w:pPr>
        <w:sectPr>
          <w:pgSz w:w="11900" w:h="16838" w:orient="portrait"/>
          <w:cols w:equalWidth="0" w:num="1">
            <w:col w:w="10247"/>
          </w:cols>
          <w:pgMar w:left="212" w:top="141" w:right="1440" w:bottom="0" w:gutter="0" w:footer="0" w:header="0"/>
        </w:sectPr>
      </w:pPr>
    </w:p>
    <w:bookmarkStart w:id="106" w:name="page107"/>
    <w:bookmarkEnd w:id="106"/>
    <w:p>
      <w:pPr>
        <w:ind w:left="348" w:hanging="348"/>
        <w:spacing w:after="0"/>
        <w:tabs>
          <w:tab w:leader="none" w:pos="348" w:val="left"/>
        </w:tabs>
        <w:numPr>
          <w:ilvl w:val="0"/>
          <w:numId w:val="15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TAXES</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9.1  TAXES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All payments to be made by the Borrower to TIC shall be made free and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clear of and without deduction for or on account of Tax, unless the</w:t>
      </w:r>
    </w:p>
    <w:p>
      <w:pPr>
        <w:ind w:left="708"/>
        <w:spacing w:after="0"/>
        <w:rPr>
          <w:sz w:val="20"/>
          <w:szCs w:val="20"/>
          <w:color w:val="auto"/>
        </w:rPr>
      </w:pPr>
      <w:r>
        <w:rPr>
          <w:rFonts w:ascii="Courier New" w:cs="Courier New" w:eastAsia="Courier New" w:hAnsi="Courier New"/>
          <w:sz w:val="12"/>
          <w:szCs w:val="12"/>
          <w:color w:val="auto"/>
        </w:rPr>
        <w:t>Borrower is required by law to make such payment subject to the</w:t>
      </w:r>
    </w:p>
    <w:p>
      <w:pPr>
        <w:ind w:left="708"/>
        <w:spacing w:after="0" w:line="237" w:lineRule="auto"/>
        <w:rPr>
          <w:sz w:val="20"/>
          <w:szCs w:val="20"/>
          <w:color w:val="auto"/>
        </w:rPr>
      </w:pPr>
      <w:r>
        <w:rPr>
          <w:rFonts w:ascii="Courier New" w:cs="Courier New" w:eastAsia="Courier New" w:hAnsi="Courier New"/>
          <w:sz w:val="12"/>
          <w:szCs w:val="12"/>
          <w:color w:val="auto"/>
        </w:rPr>
        <w:t>deduction or withholding of Tax, in which case (save where such</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deduction or withholding is in respect of Tax on Overall Net Income of</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TIC and the Borrower shall have delivered to TIC a receipt as referred</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to in clause 9.3 below, simultaneously with the making of the payment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from which such Tax deduction has been made) the sum payable by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Borrower in respect of which such deduction or withholding is required</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to be made shall be increased, to the extent necessary, to ensure that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after the making of the required deduction or withholding, TIC</w:t>
      </w:r>
    </w:p>
    <w:p>
      <w:pPr>
        <w:ind w:left="708"/>
        <w:spacing w:after="0"/>
        <w:rPr>
          <w:sz w:val="20"/>
          <w:szCs w:val="20"/>
          <w:color w:val="auto"/>
        </w:rPr>
      </w:pPr>
      <w:r>
        <w:rPr>
          <w:rFonts w:ascii="Courier New" w:cs="Courier New" w:eastAsia="Courier New" w:hAnsi="Courier New"/>
          <w:sz w:val="12"/>
          <w:szCs w:val="12"/>
          <w:color w:val="auto"/>
        </w:rPr>
        <w:t>receives and retains (free from any liability in respect of any such</w:t>
      </w:r>
    </w:p>
    <w:p>
      <w:pPr>
        <w:ind w:left="708"/>
        <w:spacing w:after="0" w:line="237" w:lineRule="auto"/>
        <w:rPr>
          <w:sz w:val="20"/>
          <w:szCs w:val="20"/>
          <w:color w:val="auto"/>
        </w:rPr>
      </w:pPr>
      <w:r>
        <w:rPr>
          <w:rFonts w:ascii="Courier New" w:cs="Courier New" w:eastAsia="Courier New" w:hAnsi="Courier New"/>
          <w:sz w:val="12"/>
          <w:szCs w:val="12"/>
          <w:color w:val="auto"/>
        </w:rPr>
        <w:t>deduction or withholding), a net sum equal to the sum which it would</w:t>
      </w:r>
    </w:p>
    <w:p>
      <w:pPr>
        <w:ind w:left="708"/>
        <w:spacing w:after="0"/>
        <w:rPr>
          <w:sz w:val="20"/>
          <w:szCs w:val="20"/>
          <w:color w:val="auto"/>
        </w:rPr>
      </w:pPr>
      <w:r>
        <w:rPr>
          <w:rFonts w:ascii="Courier New" w:cs="Courier New" w:eastAsia="Courier New" w:hAnsi="Courier New"/>
          <w:sz w:val="12"/>
          <w:szCs w:val="12"/>
          <w:color w:val="auto"/>
        </w:rPr>
        <w:t>have received and so retained had no such deduction or withholding</w:t>
      </w:r>
    </w:p>
    <w:p>
      <w:pPr>
        <w:ind w:left="708"/>
        <w:spacing w:after="0" w:line="237" w:lineRule="auto"/>
        <w:rPr>
          <w:sz w:val="20"/>
          <w:szCs w:val="20"/>
          <w:color w:val="auto"/>
        </w:rPr>
      </w:pPr>
      <w:r>
        <w:rPr>
          <w:rFonts w:ascii="Courier New" w:cs="Courier New" w:eastAsia="Courier New" w:hAnsi="Courier New"/>
          <w:sz w:val="12"/>
          <w:szCs w:val="12"/>
          <w:color w:val="auto"/>
        </w:rPr>
        <w:t>been made or required to be made, provided that the aforesaid shall</w:t>
      </w:r>
    </w:p>
    <w:p>
      <w:pPr>
        <w:ind w:left="708"/>
        <w:spacing w:after="0"/>
        <w:rPr>
          <w:sz w:val="20"/>
          <w:szCs w:val="20"/>
          <w:color w:val="auto"/>
        </w:rPr>
      </w:pPr>
      <w:r>
        <w:rPr>
          <w:rFonts w:ascii="Courier New" w:cs="Courier New" w:eastAsia="Courier New" w:hAnsi="Courier New"/>
          <w:sz w:val="12"/>
          <w:szCs w:val="12"/>
          <w:color w:val="auto"/>
        </w:rPr>
        <w:t>not apply with respect to any Taxes (including, for the removal of</w:t>
      </w:r>
    </w:p>
    <w:p>
      <w:pPr>
        <w:ind w:left="708"/>
        <w:spacing w:after="0" w:line="237" w:lineRule="auto"/>
        <w:rPr>
          <w:sz w:val="20"/>
          <w:szCs w:val="20"/>
          <w:color w:val="auto"/>
        </w:rPr>
      </w:pPr>
      <w:r>
        <w:rPr>
          <w:rFonts w:ascii="Courier New" w:cs="Courier New" w:eastAsia="Courier New" w:hAnsi="Courier New"/>
          <w:sz w:val="12"/>
          <w:szCs w:val="12"/>
          <w:color w:val="auto"/>
        </w:rPr>
        <w:t>doubt, Tax on Overall Net Income) of TIC in connection with the</w:t>
      </w:r>
    </w:p>
    <w:p>
      <w:pPr>
        <w:ind w:left="708"/>
        <w:spacing w:after="0"/>
        <w:rPr>
          <w:sz w:val="20"/>
          <w:szCs w:val="20"/>
          <w:color w:val="auto"/>
        </w:rPr>
      </w:pPr>
      <w:r>
        <w:rPr>
          <w:rFonts w:ascii="Courier New" w:cs="Courier New" w:eastAsia="Courier New" w:hAnsi="Courier New"/>
          <w:sz w:val="12"/>
          <w:szCs w:val="12"/>
          <w:color w:val="auto"/>
        </w:rPr>
        <w:t>issuance of any shares, warrants or capital notes of the Borrower or</w:t>
      </w:r>
    </w:p>
    <w:p>
      <w:pPr>
        <w:ind w:left="708"/>
        <w:spacing w:after="0" w:line="237" w:lineRule="auto"/>
        <w:rPr>
          <w:sz w:val="20"/>
          <w:szCs w:val="20"/>
          <w:color w:val="auto"/>
        </w:rPr>
      </w:pPr>
      <w:r>
        <w:rPr>
          <w:rFonts w:ascii="Courier New" w:cs="Courier New" w:eastAsia="Courier New" w:hAnsi="Courier New"/>
          <w:sz w:val="12"/>
          <w:szCs w:val="12"/>
          <w:color w:val="auto"/>
        </w:rPr>
        <w:t>the exercise or conversion thereof.</w:t>
      </w:r>
    </w:p>
    <w:p>
      <w:pPr>
        <w:spacing w:after="0" w:line="134" w:lineRule="exact"/>
        <w:rPr>
          <w:sz w:val="20"/>
          <w:szCs w:val="20"/>
          <w:color w:val="auto"/>
        </w:rPr>
      </w:pPr>
    </w:p>
    <w:p>
      <w:pPr>
        <w:ind w:left="348"/>
        <w:spacing w:after="0"/>
        <w:tabs>
          <w:tab w:leader="none" w:pos="688" w:val="left"/>
        </w:tabs>
        <w:rPr>
          <w:sz w:val="20"/>
          <w:szCs w:val="20"/>
          <w:color w:val="auto"/>
        </w:rPr>
      </w:pPr>
      <w:r>
        <w:rPr>
          <w:rFonts w:ascii="Courier New" w:cs="Courier New" w:eastAsia="Courier New" w:hAnsi="Courier New"/>
          <w:sz w:val="12"/>
          <w:szCs w:val="12"/>
          <w:color w:val="auto"/>
        </w:rPr>
        <w:t>9.2</w:t>
      </w:r>
      <w:r>
        <w:rPr>
          <w:sz w:val="20"/>
          <w:szCs w:val="20"/>
          <w:color w:val="auto"/>
        </w:rPr>
        <w:tab/>
      </w:r>
      <w:r>
        <w:rPr>
          <w:rFonts w:ascii="Courier New" w:cs="Courier New" w:eastAsia="Courier New" w:hAnsi="Courier New"/>
          <w:sz w:val="11"/>
          <w:szCs w:val="11"/>
          <w:color w:val="auto"/>
        </w:rPr>
        <w:t>NOTIFICATION OF TAXES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If, at any time, the Borrower is required by law to make any deduction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or withholding from any sum payable by it hereunder, the Borrower</w:t>
      </w:r>
    </w:p>
    <w:p>
      <w:pPr>
        <w:ind w:left="708"/>
        <w:spacing w:after="0"/>
        <w:rPr>
          <w:sz w:val="20"/>
          <w:szCs w:val="20"/>
          <w:color w:val="auto"/>
        </w:rPr>
      </w:pPr>
      <w:r>
        <w:rPr>
          <w:rFonts w:ascii="Courier New" w:cs="Courier New" w:eastAsia="Courier New" w:hAnsi="Courier New"/>
          <w:sz w:val="12"/>
          <w:szCs w:val="12"/>
          <w:color w:val="auto"/>
        </w:rPr>
        <w:t>shall, as soon as reasonably practicable, notify TIC.</w:t>
      </w:r>
    </w:p>
    <w:p>
      <w:pPr>
        <w:spacing w:after="0" w:line="133" w:lineRule="exact"/>
        <w:rPr>
          <w:sz w:val="20"/>
          <w:szCs w:val="20"/>
          <w:color w:val="auto"/>
        </w:rPr>
      </w:pPr>
    </w:p>
    <w:p>
      <w:pPr>
        <w:ind w:left="348"/>
        <w:spacing w:after="0"/>
        <w:tabs>
          <w:tab w:leader="none" w:pos="688" w:val="left"/>
        </w:tabs>
        <w:rPr>
          <w:sz w:val="20"/>
          <w:szCs w:val="20"/>
          <w:color w:val="auto"/>
        </w:rPr>
      </w:pPr>
      <w:r>
        <w:rPr>
          <w:rFonts w:ascii="Courier New" w:cs="Courier New" w:eastAsia="Courier New" w:hAnsi="Courier New"/>
          <w:sz w:val="12"/>
          <w:szCs w:val="12"/>
          <w:color w:val="auto"/>
        </w:rPr>
        <w:t>9.3</w:t>
      </w:r>
      <w:r>
        <w:rPr>
          <w:sz w:val="20"/>
          <w:szCs w:val="20"/>
          <w:color w:val="auto"/>
        </w:rPr>
        <w:tab/>
      </w:r>
      <w:r>
        <w:rPr>
          <w:rFonts w:ascii="Courier New" w:cs="Courier New" w:eastAsia="Courier New" w:hAnsi="Courier New"/>
          <w:sz w:val="11"/>
          <w:szCs w:val="11"/>
          <w:color w:val="auto"/>
        </w:rPr>
        <w:t>PAYMENT AND SUBMISSION OF RECEIPT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If the Borrower makes any payment hereunder in respect of which it is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required to make any deduction or withholding, it shall pay the full</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amount required to be deducted or withheld to the relevant taxation or</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other authority within the time allowed for such payment under</w:t>
      </w:r>
    </w:p>
    <w:p>
      <w:pPr>
        <w:ind w:left="708"/>
        <w:spacing w:after="0"/>
        <w:rPr>
          <w:sz w:val="20"/>
          <w:szCs w:val="20"/>
          <w:color w:val="auto"/>
        </w:rPr>
      </w:pPr>
      <w:r>
        <w:rPr>
          <w:rFonts w:ascii="Courier New" w:cs="Courier New" w:eastAsia="Courier New" w:hAnsi="Courier New"/>
          <w:sz w:val="12"/>
          <w:szCs w:val="12"/>
          <w:color w:val="auto"/>
        </w:rPr>
        <w:t>applicable law and shall deliver to TIC, as soon as reasonably</w:t>
      </w:r>
    </w:p>
    <w:p>
      <w:pPr>
        <w:ind w:left="708"/>
        <w:spacing w:after="0" w:line="237" w:lineRule="auto"/>
        <w:rPr>
          <w:sz w:val="20"/>
          <w:szCs w:val="20"/>
          <w:color w:val="auto"/>
        </w:rPr>
      </w:pPr>
      <w:r>
        <w:rPr>
          <w:rFonts w:ascii="Courier New" w:cs="Courier New" w:eastAsia="Courier New" w:hAnsi="Courier New"/>
          <w:sz w:val="12"/>
          <w:szCs w:val="12"/>
          <w:color w:val="auto"/>
        </w:rPr>
        <w:t>practicable after it has made such payment to the applicable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authority, an original receipt (or a certified copy thereof) issued by</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such authority evidencing the payment to such authority of all amounts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so required to be deducted or withheld in respect of such payment.</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- 17 -</w:t>
      </w:r>
    </w:p>
    <w:p>
      <w:pPr>
        <w:spacing w:after="0" w:line="386" w:lineRule="exact"/>
        <w:rPr>
          <w:sz w:val="20"/>
          <w:szCs w:val="20"/>
          <w:color w:val="auto"/>
        </w:rPr>
      </w:pPr>
    </w:p>
    <w:p>
      <w:pPr>
        <w:ind w:left="348"/>
        <w:spacing w:after="0"/>
        <w:tabs>
          <w:tab w:leader="none" w:pos="688" w:val="left"/>
        </w:tabs>
        <w:rPr>
          <w:sz w:val="20"/>
          <w:szCs w:val="20"/>
          <w:color w:val="auto"/>
        </w:rPr>
      </w:pPr>
      <w:r>
        <w:rPr>
          <w:rFonts w:ascii="Courier New" w:cs="Courier New" w:eastAsia="Courier New" w:hAnsi="Courier New"/>
          <w:sz w:val="12"/>
          <w:szCs w:val="12"/>
          <w:color w:val="auto"/>
        </w:rPr>
        <w:t>9.4</w:t>
      </w:r>
      <w:r>
        <w:rPr>
          <w:sz w:val="20"/>
          <w:szCs w:val="20"/>
          <w:color w:val="auto"/>
        </w:rPr>
        <w:tab/>
      </w:r>
      <w:r>
        <w:rPr>
          <w:rFonts w:ascii="Courier New" w:cs="Courier New" w:eastAsia="Courier New" w:hAnsi="Courier New"/>
          <w:sz w:val="11"/>
          <w:szCs w:val="11"/>
          <w:color w:val="auto"/>
        </w:rPr>
        <w:t>TAX SAVING</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9.4.1 In the event that following the imposition of any Tax on any</w:t>
      </w:r>
    </w:p>
    <w:p>
      <w:pPr>
        <w:ind w:left="1048"/>
        <w:spacing w:after="0"/>
        <w:rPr>
          <w:sz w:val="20"/>
          <w:szCs w:val="20"/>
          <w:color w:val="auto"/>
        </w:rPr>
      </w:pPr>
      <w:r>
        <w:rPr>
          <w:rFonts w:ascii="Courier New" w:cs="Courier New" w:eastAsia="Courier New" w:hAnsi="Courier New"/>
          <w:sz w:val="12"/>
          <w:szCs w:val="12"/>
          <w:color w:val="auto"/>
        </w:rPr>
        <w:t>payment by the Borrower in consequence of which the Borrower is</w:t>
      </w:r>
    </w:p>
    <w:p>
      <w:pPr>
        <w:ind w:left="1048"/>
        <w:spacing w:after="0" w:line="237" w:lineRule="auto"/>
        <w:rPr>
          <w:sz w:val="20"/>
          <w:szCs w:val="20"/>
          <w:color w:val="auto"/>
        </w:rPr>
      </w:pPr>
      <w:r>
        <w:rPr>
          <w:rFonts w:ascii="Courier New" w:cs="Courier New" w:eastAsia="Courier New" w:hAnsi="Courier New"/>
          <w:sz w:val="12"/>
          <w:szCs w:val="12"/>
          <w:color w:val="auto"/>
        </w:rPr>
        <w:t>required, under clause 9.1, to pay any additional amount in</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respect thereof, TIC shall, in its sole opinion and based on its</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own interpretation of any relevant laws or regulations (but</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acting in good faith), receive or be granted a repayment of Tax,</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or a credit against, or remission for, or deduction from, or in</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respect of, any Tax payable by it (any of the aforegoing, to the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extent so reasonably identifiable and quantifiable, being</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referred to as "A SAVING"), TIC shall, to the extent that it can</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do so without prejudice to the retention of the relevant saving</w:t>
      </w:r>
    </w:p>
    <w:p>
      <w:pPr>
        <w:ind w:left="1048"/>
        <w:spacing w:after="0"/>
        <w:rPr>
          <w:sz w:val="20"/>
          <w:szCs w:val="20"/>
          <w:color w:val="auto"/>
        </w:rPr>
      </w:pPr>
      <w:r>
        <w:rPr>
          <w:rFonts w:ascii="Courier New" w:cs="Courier New" w:eastAsia="Courier New" w:hAnsi="Courier New"/>
          <w:sz w:val="12"/>
          <w:szCs w:val="12"/>
          <w:color w:val="auto"/>
        </w:rPr>
        <w:t>and subject to the Borrower's obligation to repay the amount to</w:t>
      </w:r>
    </w:p>
    <w:p>
      <w:pPr>
        <w:ind w:left="1048"/>
        <w:spacing w:after="0" w:line="237" w:lineRule="auto"/>
        <w:rPr>
          <w:sz w:val="20"/>
          <w:szCs w:val="20"/>
          <w:color w:val="auto"/>
        </w:rPr>
      </w:pPr>
      <w:r>
        <w:rPr>
          <w:rFonts w:ascii="Courier New" w:cs="Courier New" w:eastAsia="Courier New" w:hAnsi="Courier New"/>
          <w:sz w:val="12"/>
          <w:szCs w:val="12"/>
          <w:color w:val="auto"/>
        </w:rPr>
        <w:t>TIC, if the relevant saving is subsequently disallowed or</w:t>
      </w:r>
    </w:p>
    <w:p>
      <w:pPr>
        <w:ind w:left="1048"/>
        <w:spacing w:after="0"/>
        <w:rPr>
          <w:sz w:val="20"/>
          <w:szCs w:val="20"/>
          <w:color w:val="auto"/>
        </w:rPr>
      </w:pPr>
      <w:r>
        <w:rPr>
          <w:rFonts w:ascii="Courier New" w:cs="Courier New" w:eastAsia="Courier New" w:hAnsi="Courier New"/>
          <w:sz w:val="12"/>
          <w:szCs w:val="12"/>
          <w:color w:val="auto"/>
        </w:rPr>
        <w:t>cancelled (which repayment shall be made promptly on receipt of</w:t>
      </w:r>
    </w:p>
    <w:p>
      <w:pPr>
        <w:ind w:left="1048"/>
        <w:spacing w:after="0" w:line="237" w:lineRule="auto"/>
        <w:rPr>
          <w:sz w:val="20"/>
          <w:szCs w:val="20"/>
          <w:color w:val="auto"/>
        </w:rPr>
      </w:pPr>
      <w:r>
        <w:rPr>
          <w:rFonts w:ascii="Courier New" w:cs="Courier New" w:eastAsia="Courier New" w:hAnsi="Courier New"/>
          <w:sz w:val="12"/>
          <w:szCs w:val="12"/>
          <w:color w:val="auto"/>
        </w:rPr>
        <w:t>notice by the Borrower from such person of such disallowance or</w:t>
      </w:r>
    </w:p>
    <w:p>
      <w:pPr>
        <w:ind w:left="1048"/>
        <w:spacing w:after="0"/>
        <w:rPr>
          <w:sz w:val="20"/>
          <w:szCs w:val="20"/>
          <w:color w:val="auto"/>
        </w:rPr>
      </w:pPr>
      <w:r>
        <w:rPr>
          <w:rFonts w:ascii="Courier New" w:cs="Courier New" w:eastAsia="Courier New" w:hAnsi="Courier New"/>
          <w:sz w:val="12"/>
          <w:szCs w:val="12"/>
          <w:color w:val="auto"/>
        </w:rPr>
        <w:t>cancellation), reimburse the Borrower promptly after receipt of</w:t>
      </w:r>
    </w:p>
    <w:p>
      <w:pPr>
        <w:ind w:left="1048"/>
        <w:spacing w:after="0" w:line="237" w:lineRule="auto"/>
        <w:rPr>
          <w:sz w:val="20"/>
          <w:szCs w:val="20"/>
          <w:color w:val="auto"/>
        </w:rPr>
      </w:pPr>
      <w:r>
        <w:rPr>
          <w:rFonts w:ascii="Courier New" w:cs="Courier New" w:eastAsia="Courier New" w:hAnsi="Courier New"/>
          <w:sz w:val="12"/>
          <w:szCs w:val="12"/>
          <w:color w:val="auto"/>
        </w:rPr>
        <w:t>such saving by TIC with such amount equal to the lower of: (i)</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the additional amount paid by the Borrower in respect of such Tax</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under clause 9.1 as aforesaid; and (ii) such amount as TIC shall,</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in its sole opinion but in good faith, have concluded to be the</w:t>
      </w:r>
    </w:p>
    <w:p>
      <w:pPr>
        <w:ind w:left="1048"/>
        <w:spacing w:after="0"/>
        <w:rPr>
          <w:sz w:val="20"/>
          <w:szCs w:val="20"/>
          <w:color w:val="auto"/>
        </w:rPr>
      </w:pPr>
      <w:r>
        <w:rPr>
          <w:rFonts w:ascii="Courier New" w:cs="Courier New" w:eastAsia="Courier New" w:hAnsi="Courier New"/>
          <w:sz w:val="12"/>
          <w:szCs w:val="12"/>
          <w:color w:val="auto"/>
        </w:rPr>
        <w:t>finally determined amount or value of the relevant saving.</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9.4.2 Nothing contained in this Agreement shall interfere with the</w:t>
      </w:r>
    </w:p>
    <w:p>
      <w:pPr>
        <w:ind w:left="1048"/>
        <w:spacing w:after="0"/>
        <w:rPr>
          <w:sz w:val="20"/>
          <w:szCs w:val="20"/>
          <w:color w:val="auto"/>
        </w:rPr>
      </w:pPr>
      <w:r>
        <w:rPr>
          <w:rFonts w:ascii="Courier New" w:cs="Courier New" w:eastAsia="Courier New" w:hAnsi="Courier New"/>
          <w:sz w:val="12"/>
          <w:szCs w:val="12"/>
          <w:color w:val="auto"/>
        </w:rPr>
        <w:t>right of TIC to arrange its Tax and other affairs in whatever</w:t>
      </w:r>
    </w:p>
    <w:p>
      <w:pPr>
        <w:ind w:left="1048"/>
        <w:spacing w:after="0" w:line="237" w:lineRule="auto"/>
        <w:rPr>
          <w:sz w:val="20"/>
          <w:szCs w:val="20"/>
          <w:color w:val="auto"/>
        </w:rPr>
      </w:pPr>
      <w:r>
        <w:rPr>
          <w:rFonts w:ascii="Courier New" w:cs="Courier New" w:eastAsia="Courier New" w:hAnsi="Courier New"/>
          <w:sz w:val="12"/>
          <w:szCs w:val="12"/>
          <w:color w:val="auto"/>
        </w:rPr>
        <w:t>manner it thinks fit and, in particular, TIC shall be under no</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obligation to claim relief from Tax on its corporate profits, or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from any similar Tax liability, in respect of the Tax, or to</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claim relief in priority to any other claims, reliefs, credits or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deductions available to it or to disclose details of its Tax</w:t>
      </w:r>
    </w:p>
    <w:p>
      <w:pPr>
        <w:ind w:left="1048"/>
        <w:spacing w:after="0"/>
        <w:rPr>
          <w:sz w:val="20"/>
          <w:szCs w:val="20"/>
          <w:color w:val="auto"/>
        </w:rPr>
      </w:pPr>
      <w:r>
        <w:rPr>
          <w:rFonts w:ascii="Courier New" w:cs="Courier New" w:eastAsia="Courier New" w:hAnsi="Courier New"/>
          <w:sz w:val="12"/>
          <w:szCs w:val="12"/>
          <w:color w:val="auto"/>
        </w:rPr>
        <w:t>affairs. TIC shall not be required to disclose any confidential</w:t>
      </w:r>
    </w:p>
    <w:p>
      <w:pPr>
        <w:ind w:left="1048"/>
        <w:spacing w:after="0" w:line="237" w:lineRule="auto"/>
        <w:rPr>
          <w:sz w:val="20"/>
          <w:szCs w:val="20"/>
          <w:color w:val="auto"/>
        </w:rPr>
      </w:pPr>
      <w:r>
        <w:rPr>
          <w:rFonts w:ascii="Courier New" w:cs="Courier New" w:eastAsia="Courier New" w:hAnsi="Courier New"/>
          <w:sz w:val="12"/>
          <w:szCs w:val="12"/>
          <w:color w:val="auto"/>
        </w:rPr>
        <w:t>information relating to the organisation of its affairs.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9.4.3. TIC will notify the Borrower promptly of the receipt by it of</w:t>
      </w:r>
    </w:p>
    <w:p>
      <w:pPr>
        <w:ind w:left="1048"/>
        <w:spacing w:after="0"/>
        <w:rPr>
          <w:sz w:val="20"/>
          <w:szCs w:val="20"/>
          <w:color w:val="auto"/>
        </w:rPr>
      </w:pPr>
      <w:r>
        <w:rPr>
          <w:rFonts w:ascii="Courier New" w:cs="Courier New" w:eastAsia="Courier New" w:hAnsi="Courier New"/>
          <w:sz w:val="12"/>
          <w:szCs w:val="12"/>
          <w:color w:val="auto"/>
        </w:rPr>
        <w:t>any saving and of its opinion as to the amount or value of that</w:t>
      </w:r>
    </w:p>
    <w:p>
      <w:pPr>
        <w:ind w:left="1048"/>
        <w:spacing w:after="0" w:line="237" w:lineRule="auto"/>
        <w:rPr>
          <w:sz w:val="20"/>
          <w:szCs w:val="20"/>
          <w:color w:val="auto"/>
        </w:rPr>
      </w:pPr>
      <w:r>
        <w:rPr>
          <w:rFonts w:ascii="Courier New" w:cs="Courier New" w:eastAsia="Courier New" w:hAnsi="Courier New"/>
          <w:sz w:val="12"/>
          <w:szCs w:val="12"/>
          <w:color w:val="auto"/>
        </w:rPr>
        <w:t>saving.</w:t>
      </w:r>
    </w:p>
    <w:p>
      <w:pPr>
        <w:spacing w:after="0" w:line="134" w:lineRule="exact"/>
        <w:rPr>
          <w:sz w:val="20"/>
          <w:szCs w:val="20"/>
          <w:color w:val="auto"/>
        </w:rPr>
      </w:pPr>
    </w:p>
    <w:p>
      <w:pPr>
        <w:ind w:left="348"/>
        <w:spacing w:after="0"/>
        <w:tabs>
          <w:tab w:leader="none" w:pos="688" w:val="left"/>
        </w:tabs>
        <w:rPr>
          <w:sz w:val="20"/>
          <w:szCs w:val="20"/>
          <w:color w:val="auto"/>
        </w:rPr>
      </w:pPr>
      <w:r>
        <w:rPr>
          <w:rFonts w:ascii="Courier New" w:cs="Courier New" w:eastAsia="Courier New" w:hAnsi="Courier New"/>
          <w:sz w:val="12"/>
          <w:szCs w:val="12"/>
          <w:color w:val="auto"/>
        </w:rPr>
        <w:t>9.5</w:t>
      </w:r>
      <w:r>
        <w:rPr>
          <w:sz w:val="20"/>
          <w:szCs w:val="20"/>
          <w:color w:val="auto"/>
        </w:rPr>
        <w:tab/>
      </w:r>
      <w:r>
        <w:rPr>
          <w:rFonts w:ascii="Courier New" w:cs="Courier New" w:eastAsia="Courier New" w:hAnsi="Courier New"/>
          <w:sz w:val="11"/>
          <w:szCs w:val="11"/>
          <w:color w:val="auto"/>
        </w:rPr>
        <w:t>VAT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shall add to any payment to be made by the Borrower to</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TIC under this Agreement all VAT, if applicable. For the avoidance of</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doubt, VAT will be added and paid by the Borrower to TIC pursuant to</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payments of interest, fees, warrants and exchange rate differences, if</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applicable.</w:t>
      </w:r>
    </w:p>
    <w:p>
      <w:pPr>
        <w:spacing w:after="0" w:line="139" w:lineRule="exact"/>
        <w:rPr>
          <w:sz w:val="20"/>
          <w:szCs w:val="20"/>
          <w:color w:val="auto"/>
        </w:rPr>
      </w:pPr>
    </w:p>
    <w:p>
      <w:pPr>
        <w:ind w:left="348" w:right="7779" w:hanging="348"/>
        <w:spacing w:after="0" w:line="469" w:lineRule="auto"/>
        <w:tabs>
          <w:tab w:leader="none" w:pos="348" w:val="left"/>
        </w:tabs>
        <w:numPr>
          <w:ilvl w:val="0"/>
          <w:numId w:val="156"/>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 10.1. ORGANIZATION</w:t>
      </w:r>
    </w:p>
    <w:p>
      <w:pPr>
        <w:spacing w:after="0" w:line="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Borrower is duly organized and validly existing under the laws of</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State of Israel and has full corporate power and authority to own,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lease and operate its properties and assets and to conduct its</w:t>
      </w:r>
    </w:p>
    <w:p>
      <w:pPr>
        <w:ind w:left="708"/>
        <w:spacing w:after="0"/>
        <w:rPr>
          <w:sz w:val="20"/>
          <w:szCs w:val="20"/>
          <w:color w:val="auto"/>
        </w:rPr>
      </w:pPr>
      <w:r>
        <w:rPr>
          <w:rFonts w:ascii="Courier New" w:cs="Courier New" w:eastAsia="Courier New" w:hAnsi="Courier New"/>
          <w:sz w:val="12"/>
          <w:szCs w:val="12"/>
          <w:color w:val="auto"/>
        </w:rPr>
        <w:t>business as now being conducted and to perform all its obligations</w:t>
      </w:r>
    </w:p>
    <w:p>
      <w:pPr>
        <w:ind w:left="708"/>
        <w:spacing w:after="0" w:line="237" w:lineRule="auto"/>
        <w:rPr>
          <w:sz w:val="20"/>
          <w:szCs w:val="20"/>
          <w:color w:val="auto"/>
        </w:rPr>
      </w:pPr>
      <w:r>
        <w:rPr>
          <w:rFonts w:ascii="Courier New" w:cs="Courier New" w:eastAsia="Courier New" w:hAnsi="Courier New"/>
          <w:sz w:val="12"/>
          <w:szCs w:val="12"/>
          <w:color w:val="auto"/>
        </w:rPr>
        <w:t>under this Agreement.</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- 18 -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10.2. MEMORANDUM AND ARTICLES OF ASSOCIATION</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has made available for inspection by TIC complete and</w:t>
      </w:r>
    </w:p>
    <w:p>
      <w:pPr>
        <w:ind w:left="708"/>
        <w:spacing w:after="0"/>
        <w:rPr>
          <w:sz w:val="20"/>
          <w:szCs w:val="20"/>
          <w:color w:val="auto"/>
        </w:rPr>
      </w:pPr>
      <w:r>
        <w:rPr>
          <w:rFonts w:ascii="Courier New" w:cs="Courier New" w:eastAsia="Courier New" w:hAnsi="Courier New"/>
          <w:sz w:val="12"/>
          <w:szCs w:val="12"/>
          <w:color w:val="auto"/>
        </w:rPr>
        <w:t>correct copies of the Memorandum of Association and Articles of</w:t>
      </w:r>
    </w:p>
    <w:p>
      <w:pPr>
        <w:ind w:left="708"/>
        <w:spacing w:after="0" w:line="237" w:lineRule="auto"/>
        <w:rPr>
          <w:sz w:val="20"/>
          <w:szCs w:val="20"/>
          <w:color w:val="auto"/>
        </w:rPr>
      </w:pPr>
      <w:r>
        <w:rPr>
          <w:rFonts w:ascii="Courier New" w:cs="Courier New" w:eastAsia="Courier New" w:hAnsi="Courier New"/>
          <w:sz w:val="12"/>
          <w:szCs w:val="12"/>
          <w:color w:val="auto"/>
        </w:rPr>
        <w:t>Association of the Borrower, as amended to the date furnished. Such</w:t>
      </w:r>
    </w:p>
    <w:p>
      <w:pPr>
        <w:ind w:left="708"/>
        <w:spacing w:after="0"/>
        <w:rPr>
          <w:sz w:val="20"/>
          <w:szCs w:val="20"/>
          <w:color w:val="auto"/>
        </w:rPr>
      </w:pPr>
      <w:r>
        <w:rPr>
          <w:rFonts w:ascii="Courier New" w:cs="Courier New" w:eastAsia="Courier New" w:hAnsi="Courier New"/>
          <w:sz w:val="12"/>
          <w:szCs w:val="12"/>
          <w:color w:val="auto"/>
        </w:rPr>
        <w:t>Memorandum and Articles of Association are in effect as of the date</w:t>
      </w:r>
    </w:p>
    <w:p>
      <w:pPr>
        <w:ind w:left="708"/>
        <w:spacing w:after="0" w:line="237" w:lineRule="auto"/>
        <w:rPr>
          <w:sz w:val="20"/>
          <w:szCs w:val="20"/>
          <w:color w:val="auto"/>
        </w:rPr>
      </w:pPr>
      <w:r>
        <w:rPr>
          <w:rFonts w:ascii="Courier New" w:cs="Courier New" w:eastAsia="Courier New" w:hAnsi="Courier New"/>
          <w:sz w:val="12"/>
          <w:szCs w:val="12"/>
          <w:color w:val="auto"/>
        </w:rPr>
        <w:t>hereof and as will be in effect at the Closing Date.</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10.3. AUTHORIZATION; APPROVALS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Prior to the Closing Date, all corporate action on the part of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Borrower necessary for the execution, delivery and performance of this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Agreement shall have been taken. Except for the approval of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Investment Centre and the Banks, no consent, approval or authorization</w:t>
      </w:r>
    </w:p>
    <w:p>
      <w:pPr>
        <w:sectPr>
          <w:pgSz w:w="11900" w:h="16838" w:orient="portrait"/>
          <w:cols w:equalWidth="0" w:num="1">
            <w:col w:w="10247"/>
          </w:cols>
          <w:pgMar w:left="212" w:top="137" w:right="1440" w:bottom="0" w:gutter="0" w:footer="0" w:header="0"/>
        </w:sectPr>
      </w:pPr>
    </w:p>
    <w:bookmarkStart w:id="107" w:name="page108"/>
    <w:bookmarkEnd w:id="107"/>
    <w:p>
      <w:pPr>
        <w:ind w:left="708"/>
        <w:spacing w:after="0"/>
        <w:rPr>
          <w:sz w:val="20"/>
          <w:szCs w:val="20"/>
          <w:color w:val="auto"/>
        </w:rPr>
      </w:pPr>
      <w:r>
        <w:rPr>
          <w:rFonts w:ascii="Courier New" w:cs="Courier New" w:eastAsia="Courier New" w:hAnsi="Courier New"/>
          <w:sz w:val="12"/>
          <w:szCs w:val="12"/>
          <w:color w:val="auto"/>
        </w:rPr>
        <w:t>of, exemption by, or filing with, any governmental or regulatory</w:t>
      </w:r>
    </w:p>
    <w:p>
      <w:pPr>
        <w:ind w:left="708"/>
        <w:spacing w:after="0"/>
        <w:rPr>
          <w:sz w:val="20"/>
          <w:szCs w:val="20"/>
          <w:color w:val="auto"/>
        </w:rPr>
      </w:pPr>
      <w:r>
        <w:rPr>
          <w:rFonts w:ascii="Courier New" w:cs="Courier New" w:eastAsia="Courier New" w:hAnsi="Courier New"/>
          <w:sz w:val="12"/>
          <w:szCs w:val="12"/>
          <w:color w:val="auto"/>
        </w:rPr>
        <w:t>authority or any third party is required in connection with the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execution, delivery and performance of this Agreement. This Agreement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when executed and delivered by or on behalf of the Borrower, shall</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constitute the valid and legally binding obligations of the Borrower,</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legally enforceable against the Borrower in accordance with its terms,</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subject to applicable bankruptcy, insolvency, fraudulent conveyance,</w:t>
      </w:r>
    </w:p>
    <w:p>
      <w:pPr>
        <w:ind w:left="708"/>
        <w:spacing w:after="0"/>
        <w:rPr>
          <w:sz w:val="20"/>
          <w:szCs w:val="20"/>
          <w:color w:val="auto"/>
        </w:rPr>
      </w:pPr>
      <w:r>
        <w:rPr>
          <w:rFonts w:ascii="Courier New" w:cs="Courier New" w:eastAsia="Courier New" w:hAnsi="Courier New"/>
          <w:sz w:val="12"/>
          <w:szCs w:val="12"/>
          <w:color w:val="auto"/>
        </w:rPr>
        <w:t>reorganization, moratorium and other laws relating to creditor's</w:t>
      </w:r>
    </w:p>
    <w:p>
      <w:pPr>
        <w:ind w:left="708"/>
        <w:spacing w:after="0" w:line="237" w:lineRule="auto"/>
        <w:rPr>
          <w:sz w:val="20"/>
          <w:szCs w:val="20"/>
          <w:color w:val="auto"/>
        </w:rPr>
      </w:pPr>
      <w:r>
        <w:rPr>
          <w:rFonts w:ascii="Courier New" w:cs="Courier New" w:eastAsia="Courier New" w:hAnsi="Courier New"/>
          <w:sz w:val="12"/>
          <w:szCs w:val="12"/>
          <w:color w:val="auto"/>
        </w:rPr>
        <w:t>rights generally and general principles of equity.</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10.4. NO CONFLICTS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Neither the execution and delivery of this Agreement by the Borrower,</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nor the compliance with the terms and provisions of this Agreement on</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part of the Borrower, will: (i) violate any statute or regulation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any governmental authority, domestic or foreign, affecting the</w:t>
      </w:r>
    </w:p>
    <w:p>
      <w:pPr>
        <w:ind w:left="708"/>
        <w:spacing w:after="0"/>
        <w:rPr>
          <w:sz w:val="20"/>
          <w:szCs w:val="20"/>
          <w:color w:val="auto"/>
        </w:rPr>
      </w:pPr>
      <w:r>
        <w:rPr>
          <w:rFonts w:ascii="Courier New" w:cs="Courier New" w:eastAsia="Courier New" w:hAnsi="Courier New"/>
          <w:sz w:val="12"/>
          <w:szCs w:val="12"/>
          <w:color w:val="auto"/>
        </w:rPr>
        <w:t>Borrower; (ii) require the issuance of any authorization, license,</w:t>
      </w:r>
    </w:p>
    <w:p>
      <w:pPr>
        <w:ind w:left="708"/>
        <w:spacing w:after="0" w:line="237" w:lineRule="auto"/>
        <w:rPr>
          <w:sz w:val="20"/>
          <w:szCs w:val="20"/>
          <w:color w:val="auto"/>
        </w:rPr>
      </w:pPr>
      <w:r>
        <w:rPr>
          <w:rFonts w:ascii="Courier New" w:cs="Courier New" w:eastAsia="Courier New" w:hAnsi="Courier New"/>
          <w:sz w:val="12"/>
          <w:szCs w:val="12"/>
          <w:color w:val="auto"/>
        </w:rPr>
        <w:t>consent or approval of any governmental agency, or any other person</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other than the Investment Centre and the Banks; or (iii) conflict with</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or result in a breach of any of the terms, conditions or provisions of</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any judgment, order, injunction, decree, loan agreement or other</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material agreement or instrument to which the Borrower is a party, or</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by which the Borrower is bound, or constitute a default thereunder,</w:t>
      </w:r>
    </w:p>
    <w:p>
      <w:pPr>
        <w:ind w:left="708"/>
        <w:spacing w:after="0"/>
        <w:rPr>
          <w:sz w:val="20"/>
          <w:szCs w:val="20"/>
          <w:color w:val="auto"/>
        </w:rPr>
      </w:pPr>
      <w:r>
        <w:rPr>
          <w:rFonts w:ascii="Courier New" w:cs="Courier New" w:eastAsia="Courier New" w:hAnsi="Courier New"/>
          <w:sz w:val="12"/>
          <w:szCs w:val="12"/>
          <w:color w:val="auto"/>
        </w:rPr>
        <w:t>the effect of which might have a Material Adverse Effect on the</w:t>
      </w:r>
    </w:p>
    <w:p>
      <w:pPr>
        <w:ind w:left="708"/>
        <w:spacing w:after="0" w:line="237" w:lineRule="auto"/>
        <w:rPr>
          <w:sz w:val="20"/>
          <w:szCs w:val="20"/>
          <w:color w:val="auto"/>
        </w:rPr>
      </w:pPr>
      <w:r>
        <w:rPr>
          <w:rFonts w:ascii="Courier New" w:cs="Courier New" w:eastAsia="Courier New" w:hAnsi="Courier New"/>
          <w:sz w:val="12"/>
          <w:szCs w:val="12"/>
          <w:color w:val="auto"/>
        </w:rPr>
        <w:t>Borrower.</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- 19 -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10.5. NO LITIGATION</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There are no actions, suits, proceedings, or injunctive orders,</w:t>
      </w:r>
    </w:p>
    <w:p>
      <w:pPr>
        <w:ind w:left="708"/>
        <w:spacing w:after="0"/>
        <w:rPr>
          <w:sz w:val="20"/>
          <w:szCs w:val="20"/>
          <w:color w:val="auto"/>
        </w:rPr>
      </w:pPr>
      <w:r>
        <w:rPr>
          <w:rFonts w:ascii="Courier New" w:cs="Courier New" w:eastAsia="Courier New" w:hAnsi="Courier New"/>
          <w:sz w:val="12"/>
          <w:szCs w:val="12"/>
          <w:color w:val="auto"/>
        </w:rPr>
        <w:t>pending or threatened against or affecting the Borrower relating to</w:t>
      </w:r>
    </w:p>
    <w:p>
      <w:pPr>
        <w:ind w:left="708"/>
        <w:spacing w:after="0" w:line="237" w:lineRule="auto"/>
        <w:rPr>
          <w:sz w:val="20"/>
          <w:szCs w:val="20"/>
          <w:color w:val="auto"/>
        </w:rPr>
      </w:pPr>
      <w:r>
        <w:rPr>
          <w:rFonts w:ascii="Courier New" w:cs="Courier New" w:eastAsia="Courier New" w:hAnsi="Courier New"/>
          <w:sz w:val="12"/>
          <w:szCs w:val="12"/>
          <w:color w:val="auto"/>
        </w:rPr>
        <w:t>the subject matter of this Agreement.</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10.6. BANKS' EQUIPMENT LOANS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Equipment Loans under this Agreement have substantially the same</w:t>
      </w:r>
    </w:p>
    <w:p>
      <w:pPr>
        <w:ind w:left="708"/>
        <w:spacing w:after="0"/>
        <w:rPr>
          <w:sz w:val="20"/>
          <w:szCs w:val="20"/>
          <w:color w:val="auto"/>
        </w:rPr>
      </w:pPr>
      <w:r>
        <w:rPr>
          <w:rFonts w:ascii="Courier New" w:cs="Courier New" w:eastAsia="Courier New" w:hAnsi="Courier New"/>
          <w:sz w:val="12"/>
          <w:szCs w:val="12"/>
          <w:color w:val="auto"/>
        </w:rPr>
        <w:t>economic terms and conditions, including but not limited to any fees</w:t>
      </w:r>
    </w:p>
    <w:p>
      <w:pPr>
        <w:ind w:left="708"/>
        <w:spacing w:after="0" w:line="237" w:lineRule="auto"/>
        <w:rPr>
          <w:sz w:val="20"/>
          <w:szCs w:val="20"/>
          <w:color w:val="auto"/>
        </w:rPr>
      </w:pPr>
      <w:r>
        <w:rPr>
          <w:rFonts w:ascii="Courier New" w:cs="Courier New" w:eastAsia="Courier New" w:hAnsi="Courier New"/>
          <w:sz w:val="12"/>
          <w:szCs w:val="12"/>
          <w:color w:val="auto"/>
        </w:rPr>
        <w:t>or other compensation, as the equipment loans under the Banks'</w:t>
      </w:r>
    </w:p>
    <w:p>
      <w:pPr>
        <w:ind w:left="708"/>
        <w:spacing w:after="0"/>
        <w:rPr>
          <w:sz w:val="20"/>
          <w:szCs w:val="20"/>
          <w:color w:val="auto"/>
        </w:rPr>
      </w:pPr>
      <w:r>
        <w:rPr>
          <w:rFonts w:ascii="Courier New" w:cs="Courier New" w:eastAsia="Courier New" w:hAnsi="Courier New"/>
          <w:sz w:val="12"/>
          <w:szCs w:val="12"/>
          <w:color w:val="auto"/>
        </w:rPr>
        <w:t>Equipment Facility Agreements, except that the Equipment Loans are</w:t>
      </w:r>
    </w:p>
    <w:p>
      <w:pPr>
        <w:ind w:left="708"/>
        <w:spacing w:after="0" w:line="237" w:lineRule="auto"/>
        <w:rPr>
          <w:sz w:val="20"/>
          <w:szCs w:val="20"/>
          <w:color w:val="auto"/>
        </w:rPr>
      </w:pPr>
      <w:r>
        <w:rPr>
          <w:rFonts w:ascii="Courier New" w:cs="Courier New" w:eastAsia="Courier New" w:hAnsi="Courier New"/>
          <w:sz w:val="12"/>
          <w:szCs w:val="12"/>
          <w:color w:val="auto"/>
        </w:rPr>
        <w:t>unsecured, subordinated to the obligations of the Borrower to the</w:t>
      </w:r>
    </w:p>
    <w:p>
      <w:pPr>
        <w:ind w:left="708"/>
        <w:spacing w:after="0"/>
        <w:rPr>
          <w:sz w:val="20"/>
          <w:szCs w:val="20"/>
          <w:color w:val="auto"/>
        </w:rPr>
      </w:pPr>
      <w:r>
        <w:rPr>
          <w:rFonts w:ascii="Courier New" w:cs="Courier New" w:eastAsia="Courier New" w:hAnsi="Courier New"/>
          <w:sz w:val="12"/>
          <w:szCs w:val="12"/>
          <w:color w:val="auto"/>
        </w:rPr>
        <w:t>Banks under the Finance Documents in accordance with clause 6A above</w:t>
      </w:r>
    </w:p>
    <w:p>
      <w:pPr>
        <w:ind w:left="708"/>
        <w:spacing w:after="0" w:line="237" w:lineRule="auto"/>
        <w:rPr>
          <w:sz w:val="20"/>
          <w:szCs w:val="20"/>
          <w:color w:val="auto"/>
        </w:rPr>
      </w:pPr>
      <w:r>
        <w:rPr>
          <w:rFonts w:ascii="Courier New" w:cs="Courier New" w:eastAsia="Courier New" w:hAnsi="Courier New"/>
          <w:sz w:val="12"/>
          <w:szCs w:val="12"/>
          <w:color w:val="auto"/>
        </w:rPr>
        <w:t>and, under the Banks' Equipment Facility Agreements, the Banks may</w:t>
      </w:r>
    </w:p>
    <w:p>
      <w:pPr>
        <w:ind w:left="708"/>
        <w:spacing w:after="0"/>
        <w:rPr>
          <w:sz w:val="20"/>
          <w:szCs w:val="20"/>
          <w:color w:val="auto"/>
        </w:rPr>
      </w:pPr>
      <w:r>
        <w:rPr>
          <w:rFonts w:ascii="Courier New" w:cs="Courier New" w:eastAsia="Courier New" w:hAnsi="Courier New"/>
          <w:sz w:val="12"/>
          <w:szCs w:val="12"/>
          <w:color w:val="auto"/>
        </w:rPr>
        <w:t>issue Equipment L/Cs.</w:t>
      </w:r>
    </w:p>
    <w:p>
      <w:pPr>
        <w:spacing w:after="0" w:line="134" w:lineRule="exact"/>
        <w:rPr>
          <w:sz w:val="20"/>
          <w:szCs w:val="20"/>
          <w:color w:val="auto"/>
        </w:rPr>
      </w:pPr>
    </w:p>
    <w:p>
      <w:pPr>
        <w:ind w:left="348" w:hanging="348"/>
        <w:spacing w:after="0"/>
        <w:tabs>
          <w:tab w:leader="none" w:pos="348" w:val="left"/>
        </w:tabs>
        <w:numPr>
          <w:ilvl w:val="0"/>
          <w:numId w:val="157"/>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DEFAULT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11.1. EVENTS OF DEFAULT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Each of the events set out in clause 11.2 to clause 11.7 is an event</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of default ("AN EQUIPMENT FACILITY EVENT OF DEFAULT") (whether or not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caused by any reason outside the control of the Borrower or of any</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other person). Promptly after the occurrence of an Equipment Facility</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Event of Default, the Borrower will notify TIC that such an Equipment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Facility Event of Default has occurred.</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11.2. NON-PAYMENT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does not pay any amount payable by it under this</w:t>
      </w:r>
    </w:p>
    <w:p>
      <w:pPr>
        <w:ind w:left="708"/>
        <w:spacing w:after="0"/>
        <w:rPr>
          <w:sz w:val="20"/>
          <w:szCs w:val="20"/>
          <w:color w:val="auto"/>
        </w:rPr>
      </w:pPr>
      <w:r>
        <w:rPr>
          <w:rFonts w:ascii="Courier New" w:cs="Courier New" w:eastAsia="Courier New" w:hAnsi="Courier New"/>
          <w:sz w:val="12"/>
          <w:szCs w:val="12"/>
          <w:color w:val="auto"/>
        </w:rPr>
        <w:t>Agreement at the place and in the funds expressed to be payable,</w:t>
      </w:r>
    </w:p>
    <w:p>
      <w:pPr>
        <w:ind w:left="708"/>
        <w:spacing w:after="0" w:line="237" w:lineRule="auto"/>
        <w:rPr>
          <w:sz w:val="20"/>
          <w:szCs w:val="20"/>
          <w:color w:val="auto"/>
        </w:rPr>
      </w:pPr>
      <w:r>
        <w:rPr>
          <w:rFonts w:ascii="Courier New" w:cs="Courier New" w:eastAsia="Courier New" w:hAnsi="Courier New"/>
          <w:sz w:val="12"/>
          <w:szCs w:val="12"/>
          <w:color w:val="auto"/>
        </w:rPr>
        <w:t>within the earlier of: (a) 7 (seven) Business Days; or (b) 10 (ten)</w:t>
      </w:r>
    </w:p>
    <w:p>
      <w:pPr>
        <w:ind w:left="708"/>
        <w:spacing w:after="0"/>
        <w:rPr>
          <w:sz w:val="20"/>
          <w:szCs w:val="20"/>
          <w:color w:val="auto"/>
        </w:rPr>
      </w:pPr>
      <w:r>
        <w:rPr>
          <w:rFonts w:ascii="Courier New" w:cs="Courier New" w:eastAsia="Courier New" w:hAnsi="Courier New"/>
          <w:sz w:val="12"/>
          <w:szCs w:val="12"/>
          <w:color w:val="auto"/>
        </w:rPr>
        <w:t>days, of the due date for payment.</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11.3. BREACH OF OBLIGATIONS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There is any breach of any undertaking by the Borrower in this</w:t>
      </w:r>
    </w:p>
    <w:p>
      <w:pPr>
        <w:ind w:left="708"/>
        <w:spacing w:after="0"/>
        <w:rPr>
          <w:sz w:val="20"/>
          <w:szCs w:val="20"/>
          <w:color w:val="auto"/>
        </w:rPr>
      </w:pPr>
      <w:r>
        <w:rPr>
          <w:rFonts w:ascii="Courier New" w:cs="Courier New" w:eastAsia="Courier New" w:hAnsi="Courier New"/>
          <w:sz w:val="12"/>
          <w:szCs w:val="12"/>
          <w:color w:val="auto"/>
        </w:rPr>
        <w:t>Agreement and, if such default is capable of remedy within such</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period, within 7 (seven) days after receipt by the Borrower of written</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notice from TIC requiring the breach to be remedied, the Borrower</w:t>
      </w:r>
    </w:p>
    <w:p>
      <w:pPr>
        <w:ind w:left="708"/>
        <w:spacing w:after="0"/>
        <w:rPr>
          <w:sz w:val="20"/>
          <w:szCs w:val="20"/>
          <w:color w:val="auto"/>
        </w:rPr>
      </w:pPr>
      <w:r>
        <w:rPr>
          <w:rFonts w:ascii="Courier New" w:cs="Courier New" w:eastAsia="Courier New" w:hAnsi="Courier New"/>
          <w:sz w:val="12"/>
          <w:szCs w:val="12"/>
          <w:color w:val="auto"/>
        </w:rPr>
        <w:t>shall have failed to cure such default.</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- 20 -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11.4. MISREPRESENTATION/BREACH OF WARRANTIES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Any representation or warranty made or repeated by or on behalf of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Borrower in this Agreement (including through incorporation by</w:t>
      </w:r>
    </w:p>
    <w:p>
      <w:pPr>
        <w:ind w:left="708"/>
        <w:spacing w:after="0"/>
        <w:rPr>
          <w:sz w:val="20"/>
          <w:szCs w:val="20"/>
          <w:color w:val="auto"/>
        </w:rPr>
      </w:pPr>
      <w:r>
        <w:rPr>
          <w:rFonts w:ascii="Courier New" w:cs="Courier New" w:eastAsia="Courier New" w:hAnsi="Courier New"/>
          <w:sz w:val="12"/>
          <w:szCs w:val="12"/>
          <w:color w:val="auto"/>
        </w:rPr>
        <w:t>reference into this Agreement), or in any certificate or statement</w:t>
      </w:r>
    </w:p>
    <w:p>
      <w:pPr>
        <w:ind w:left="708"/>
        <w:spacing w:after="0" w:line="237" w:lineRule="auto"/>
        <w:rPr>
          <w:sz w:val="20"/>
          <w:szCs w:val="20"/>
          <w:color w:val="auto"/>
        </w:rPr>
      </w:pPr>
      <w:r>
        <w:rPr>
          <w:rFonts w:ascii="Courier New" w:cs="Courier New" w:eastAsia="Courier New" w:hAnsi="Courier New"/>
          <w:sz w:val="12"/>
          <w:szCs w:val="12"/>
          <w:color w:val="auto"/>
        </w:rPr>
        <w:t>delivered by or on behalf of the Borrower or under this Agreement is</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incorrect or misleading in any material respect when made or deemed to</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be made or repeated.</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11.5. INVALIDITY</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This Agreement shall cease to be in full force and effect in any</w:t>
      </w:r>
    </w:p>
    <w:p>
      <w:pPr>
        <w:ind w:left="708"/>
        <w:spacing w:after="0"/>
        <w:rPr>
          <w:sz w:val="20"/>
          <w:szCs w:val="20"/>
          <w:color w:val="auto"/>
        </w:rPr>
      </w:pPr>
      <w:r>
        <w:rPr>
          <w:rFonts w:ascii="Courier New" w:cs="Courier New" w:eastAsia="Courier New" w:hAnsi="Courier New"/>
          <w:sz w:val="12"/>
          <w:szCs w:val="12"/>
          <w:color w:val="auto"/>
        </w:rPr>
        <w:t>respect or shall cease to constitute the legal, valid, binding and</w:t>
      </w:r>
    </w:p>
    <w:p>
      <w:pPr>
        <w:ind w:left="708"/>
        <w:spacing w:after="0" w:line="237" w:lineRule="auto"/>
        <w:rPr>
          <w:sz w:val="20"/>
          <w:szCs w:val="20"/>
          <w:color w:val="auto"/>
        </w:rPr>
      </w:pPr>
      <w:r>
        <w:rPr>
          <w:rFonts w:ascii="Courier New" w:cs="Courier New" w:eastAsia="Courier New" w:hAnsi="Courier New"/>
          <w:sz w:val="12"/>
          <w:szCs w:val="12"/>
          <w:color w:val="auto"/>
        </w:rPr>
        <w:t>enforceable obligation of the Borrower.</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11.6. DEFAULT UNDER THE FACILITY AGREEMENT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 Default or Event of Default (as distinguished from a Equipment</w:t>
      </w:r>
    </w:p>
    <w:p>
      <w:pPr>
        <w:ind w:left="708"/>
        <w:spacing w:after="0"/>
        <w:rPr>
          <w:sz w:val="20"/>
          <w:szCs w:val="20"/>
          <w:color w:val="auto"/>
        </w:rPr>
      </w:pPr>
      <w:r>
        <w:rPr>
          <w:rFonts w:ascii="Courier New" w:cs="Courier New" w:eastAsia="Courier New" w:hAnsi="Courier New"/>
          <w:sz w:val="12"/>
          <w:szCs w:val="12"/>
          <w:color w:val="auto"/>
        </w:rPr>
        <w:t>Facility Event of Default) under the Facility Agreement, as amended,</w:t>
      </w:r>
    </w:p>
    <w:p>
      <w:pPr>
        <w:ind w:left="708"/>
        <w:spacing w:after="0" w:line="237" w:lineRule="auto"/>
        <w:rPr>
          <w:sz w:val="20"/>
          <w:szCs w:val="20"/>
          <w:color w:val="auto"/>
        </w:rPr>
      </w:pPr>
      <w:r>
        <w:rPr>
          <w:rFonts w:ascii="Courier New" w:cs="Courier New" w:eastAsia="Courier New" w:hAnsi="Courier New"/>
          <w:sz w:val="12"/>
          <w:szCs w:val="12"/>
          <w:color w:val="auto"/>
        </w:rPr>
        <w:t>has occurred and is continuing.</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11.7. CROSS ACCELERATION</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Any amount in respect of Financial Indebtedness of the Borrower which</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aggregates US $20,000,000 (twenty million United States Dollars) or</w:t>
      </w:r>
    </w:p>
    <w:p>
      <w:pPr>
        <w:ind w:left="708"/>
        <w:spacing w:after="0"/>
        <w:rPr>
          <w:sz w:val="20"/>
          <w:szCs w:val="20"/>
          <w:color w:val="auto"/>
        </w:rPr>
      </w:pPr>
      <w:r>
        <w:rPr>
          <w:rFonts w:ascii="Courier New" w:cs="Courier New" w:eastAsia="Courier New" w:hAnsi="Courier New"/>
          <w:sz w:val="12"/>
          <w:szCs w:val="12"/>
          <w:color w:val="auto"/>
        </w:rPr>
        <w:t>its equivalent, or more at any one time outstanding: (a) becomes</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prematurely due and payable; (b) becomes due for redemption before its</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normal maturity date; or (c) is placed on demand, in each such case by</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reason of the occurrence of an event of default (howsoever</w:t>
      </w:r>
    </w:p>
    <w:p>
      <w:pPr>
        <w:ind w:left="708"/>
        <w:spacing w:after="0"/>
        <w:rPr>
          <w:sz w:val="20"/>
          <w:szCs w:val="20"/>
          <w:color w:val="auto"/>
        </w:rPr>
      </w:pPr>
      <w:r>
        <w:rPr>
          <w:rFonts w:ascii="Courier New" w:cs="Courier New" w:eastAsia="Courier New" w:hAnsi="Courier New"/>
          <w:sz w:val="12"/>
          <w:szCs w:val="12"/>
          <w:color w:val="auto"/>
        </w:rPr>
        <w:t>characterised) or any event having the same effect resulting from a</w:t>
      </w:r>
    </w:p>
    <w:p>
      <w:pPr>
        <w:ind w:left="708"/>
        <w:spacing w:after="0" w:line="237" w:lineRule="auto"/>
        <w:rPr>
          <w:sz w:val="20"/>
          <w:szCs w:val="20"/>
          <w:color w:val="auto"/>
        </w:rPr>
      </w:pPr>
      <w:r>
        <w:rPr>
          <w:rFonts w:ascii="Courier New" w:cs="Courier New" w:eastAsia="Courier New" w:hAnsi="Courier New"/>
          <w:sz w:val="12"/>
          <w:szCs w:val="12"/>
          <w:color w:val="auto"/>
        </w:rPr>
        <w:t>default by the Borrower.</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11.8. EXECUTION OR OTHER PROCESS</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Any execution, attachment, sequestration or other process arising out</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of any claim by any third party against the Borrower, save where: (a)</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the Borrower is in good faith on reasonable grounds, contesting the</w:t>
      </w:r>
    </w:p>
    <w:p>
      <w:pPr>
        <w:ind w:left="708"/>
        <w:spacing w:after="0"/>
        <w:rPr>
          <w:sz w:val="20"/>
          <w:szCs w:val="20"/>
          <w:color w:val="auto"/>
        </w:rPr>
      </w:pPr>
      <w:r>
        <w:rPr>
          <w:rFonts w:ascii="Courier New" w:cs="Courier New" w:eastAsia="Courier New" w:hAnsi="Courier New"/>
          <w:sz w:val="12"/>
          <w:szCs w:val="12"/>
          <w:color w:val="auto"/>
        </w:rPr>
        <w:t>execution, attachment, sequestration or other process by appropriate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Proceedings diligently pursued; (b) TIC is satisfied that the ability</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of the Borrower to comply with its respective obligations under this</w:t>
      </w:r>
    </w:p>
    <w:p>
      <w:pPr>
        <w:ind w:left="708"/>
        <w:spacing w:after="0"/>
        <w:rPr>
          <w:sz w:val="20"/>
          <w:szCs w:val="20"/>
          <w:color w:val="auto"/>
        </w:rPr>
      </w:pPr>
      <w:r>
        <w:rPr>
          <w:rFonts w:ascii="Courier New" w:cs="Courier New" w:eastAsia="Courier New" w:hAnsi="Courier New"/>
          <w:sz w:val="12"/>
          <w:szCs w:val="12"/>
          <w:color w:val="auto"/>
        </w:rPr>
        <w:t>Agreement will not be adversely affected whilst such distress,</w:t>
      </w:r>
    </w:p>
    <w:p>
      <w:pPr>
        <w:ind w:left="708"/>
        <w:spacing w:after="0" w:line="237" w:lineRule="auto"/>
        <w:rPr>
          <w:sz w:val="20"/>
          <w:szCs w:val="20"/>
          <w:color w:val="auto"/>
        </w:rPr>
      </w:pPr>
      <w:r>
        <w:rPr>
          <w:rFonts w:ascii="Courier New" w:cs="Courier New" w:eastAsia="Courier New" w:hAnsi="Courier New"/>
          <w:sz w:val="12"/>
          <w:szCs w:val="12"/>
          <w:color w:val="auto"/>
        </w:rPr>
        <w:t>execution, attachment, diligence or other process is being so</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contested; and (c) such process as aforesaid is cancelled or withdrawn</w:t>
      </w:r>
    </w:p>
    <w:p>
      <w:pPr>
        <w:sectPr>
          <w:pgSz w:w="11900" w:h="16838" w:orient="portrait"/>
          <w:cols w:equalWidth="0" w:num="1">
            <w:col w:w="10247"/>
          </w:cols>
          <w:pgMar w:left="212" w:top="137" w:right="1440" w:bottom="0" w:gutter="0" w:footer="0" w:header="0"/>
        </w:sectPr>
      </w:pPr>
    </w:p>
    <w:bookmarkStart w:id="108" w:name="page109"/>
    <w:bookmarkEnd w:id="108"/>
    <w:p>
      <w:pPr>
        <w:spacing w:after="0" w:line="5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not later than 45 (forty-five) days after the institution thereof.</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- 21 -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11.9. ACCELERATION</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Upon the occurrence of an Equipment Facility Event of Default and at</w:t>
      </w:r>
    </w:p>
    <w:p>
      <w:pPr>
        <w:ind w:left="708"/>
        <w:spacing w:after="0"/>
        <w:rPr>
          <w:sz w:val="20"/>
          <w:szCs w:val="20"/>
          <w:color w:val="auto"/>
        </w:rPr>
      </w:pPr>
      <w:r>
        <w:rPr>
          <w:rFonts w:ascii="Courier New" w:cs="Courier New" w:eastAsia="Courier New" w:hAnsi="Courier New"/>
          <w:sz w:val="12"/>
          <w:szCs w:val="12"/>
          <w:color w:val="auto"/>
        </w:rPr>
        <w:t>any time thereafter while the same is continuing, TIC may, by notice</w:t>
      </w:r>
    </w:p>
    <w:p>
      <w:pPr>
        <w:ind w:left="708"/>
        <w:spacing w:after="0" w:line="237" w:lineRule="auto"/>
        <w:rPr>
          <w:sz w:val="20"/>
          <w:szCs w:val="20"/>
          <w:color w:val="auto"/>
        </w:rPr>
      </w:pPr>
      <w:r>
        <w:rPr>
          <w:rFonts w:ascii="Courier New" w:cs="Courier New" w:eastAsia="Courier New" w:hAnsi="Courier New"/>
          <w:sz w:val="12"/>
          <w:szCs w:val="12"/>
          <w:color w:val="auto"/>
        </w:rPr>
        <w:t>to the Borrower: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11.9.1. declare that an Equipment Facility Event of Default has</w:t>
      </w:r>
    </w:p>
    <w:p>
      <w:pPr>
        <w:ind w:left="1048"/>
        <w:spacing w:after="0"/>
        <w:rPr>
          <w:sz w:val="20"/>
          <w:szCs w:val="20"/>
          <w:color w:val="auto"/>
        </w:rPr>
      </w:pPr>
      <w:r>
        <w:rPr>
          <w:rFonts w:ascii="Courier New" w:cs="Courier New" w:eastAsia="Courier New" w:hAnsi="Courier New"/>
          <w:sz w:val="12"/>
          <w:szCs w:val="12"/>
          <w:color w:val="auto"/>
        </w:rPr>
        <w:t>occurred; and/or</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11.9.2. declare that the Equipment Loans together with all Interest</w:t>
      </w:r>
    </w:p>
    <w:p>
      <w:pPr>
        <w:ind w:left="1048"/>
        <w:spacing w:after="0"/>
        <w:rPr>
          <w:sz w:val="20"/>
          <w:szCs w:val="20"/>
          <w:color w:val="auto"/>
        </w:rPr>
      </w:pPr>
      <w:r>
        <w:rPr>
          <w:rFonts w:ascii="Courier New" w:cs="Courier New" w:eastAsia="Courier New" w:hAnsi="Courier New"/>
          <w:sz w:val="12"/>
          <w:szCs w:val="12"/>
          <w:color w:val="auto"/>
        </w:rPr>
        <w:t>accrued on all Equipment Loans and all other amounts (including</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amounts due under clause 13, to the extent applicable) payable by</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Borrower under this Agreement from time to time, shall</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thenceforth be repayable on demand being made by TIC (and in the</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event of any such demand, the Equipment Loans, such Interest and</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such other amounts shall be immediately due and payable); and/or</w:t>
      </w:r>
    </w:p>
    <w:p>
      <w:pPr>
        <w:spacing w:after="0" w:line="141"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11.9.3. declare the Equipment Loans immediately due and payable,</w:t>
      </w:r>
    </w:p>
    <w:p>
      <w:pPr>
        <w:ind w:left="1048"/>
        <w:spacing w:after="0"/>
        <w:rPr>
          <w:sz w:val="20"/>
          <w:szCs w:val="20"/>
          <w:color w:val="auto"/>
        </w:rPr>
      </w:pPr>
      <w:r>
        <w:rPr>
          <w:rFonts w:ascii="Courier New" w:cs="Courier New" w:eastAsia="Courier New" w:hAnsi="Courier New"/>
          <w:sz w:val="12"/>
          <w:szCs w:val="12"/>
          <w:color w:val="auto"/>
        </w:rPr>
        <w:t>whereupon they shall, subject to clause 6A above, become</w:t>
      </w:r>
    </w:p>
    <w:p>
      <w:pPr>
        <w:ind w:left="1048"/>
        <w:spacing w:after="0" w:line="237" w:lineRule="auto"/>
        <w:rPr>
          <w:sz w:val="20"/>
          <w:szCs w:val="20"/>
          <w:color w:val="auto"/>
        </w:rPr>
      </w:pPr>
      <w:r>
        <w:rPr>
          <w:rFonts w:ascii="Courier New" w:cs="Courier New" w:eastAsia="Courier New" w:hAnsi="Courier New"/>
          <w:sz w:val="12"/>
          <w:szCs w:val="12"/>
          <w:color w:val="auto"/>
        </w:rPr>
        <w:t>immediately due and payable, together with all Interest accrued</w:t>
      </w:r>
    </w:p>
    <w:p>
      <w:pPr>
        <w:ind w:left="1048"/>
        <w:spacing w:after="0"/>
        <w:rPr>
          <w:sz w:val="20"/>
          <w:szCs w:val="20"/>
          <w:color w:val="auto"/>
        </w:rPr>
      </w:pPr>
      <w:r>
        <w:rPr>
          <w:rFonts w:ascii="Courier New" w:cs="Courier New" w:eastAsia="Courier New" w:hAnsi="Courier New"/>
          <w:sz w:val="12"/>
          <w:szCs w:val="12"/>
          <w:color w:val="auto"/>
        </w:rPr>
        <w:t>on the Equipment Loans and all other amounts payable by the</w:t>
      </w:r>
    </w:p>
    <w:p>
      <w:pPr>
        <w:ind w:left="1048"/>
        <w:spacing w:after="0" w:line="237" w:lineRule="auto"/>
        <w:rPr>
          <w:sz w:val="20"/>
          <w:szCs w:val="20"/>
          <w:color w:val="auto"/>
        </w:rPr>
      </w:pPr>
      <w:r>
        <w:rPr>
          <w:rFonts w:ascii="Courier New" w:cs="Courier New" w:eastAsia="Courier New" w:hAnsi="Courier New"/>
          <w:sz w:val="12"/>
          <w:szCs w:val="12"/>
          <w:color w:val="auto"/>
        </w:rPr>
        <w:t>Borrower (including, amounts due under clause 13, to the extent</w:t>
      </w:r>
    </w:p>
    <w:p>
      <w:pPr>
        <w:ind w:left="1048"/>
        <w:spacing w:after="0"/>
        <w:rPr>
          <w:sz w:val="20"/>
          <w:szCs w:val="20"/>
          <w:color w:val="auto"/>
        </w:rPr>
      </w:pPr>
      <w:r>
        <w:rPr>
          <w:rFonts w:ascii="Courier New" w:cs="Courier New" w:eastAsia="Courier New" w:hAnsi="Courier New"/>
          <w:sz w:val="12"/>
          <w:szCs w:val="12"/>
          <w:color w:val="auto"/>
        </w:rPr>
        <w:t>applicable).</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11.10. EQUIPMENT LOANS DUE ON DEMAND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Subject to clause 6A above, If, pursuant to clause 11.9.2 above TIC</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declares the Equipment Loans to be due and payable on demand, then and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at any time thereafter, so long as any Equipment Facility Event of</w:t>
      </w:r>
    </w:p>
    <w:p>
      <w:pPr>
        <w:ind w:left="708"/>
        <w:spacing w:after="0"/>
        <w:rPr>
          <w:sz w:val="20"/>
          <w:szCs w:val="20"/>
          <w:color w:val="auto"/>
        </w:rPr>
      </w:pPr>
      <w:r>
        <w:rPr>
          <w:rFonts w:ascii="Courier New" w:cs="Courier New" w:eastAsia="Courier New" w:hAnsi="Courier New"/>
          <w:sz w:val="12"/>
          <w:szCs w:val="12"/>
          <w:color w:val="auto"/>
        </w:rPr>
        <w:t>Default is continuing or has not been waived, TIC may by written</w:t>
      </w:r>
    </w:p>
    <w:p>
      <w:pPr>
        <w:ind w:left="708"/>
        <w:spacing w:after="0" w:line="237" w:lineRule="auto"/>
        <w:rPr>
          <w:sz w:val="20"/>
          <w:szCs w:val="20"/>
          <w:color w:val="auto"/>
        </w:rPr>
      </w:pPr>
      <w:r>
        <w:rPr>
          <w:rFonts w:ascii="Courier New" w:cs="Courier New" w:eastAsia="Courier New" w:hAnsi="Courier New"/>
          <w:sz w:val="12"/>
          <w:szCs w:val="12"/>
          <w:color w:val="auto"/>
        </w:rPr>
        <w:t>notice to the Borrower require repayment of the Equipment Loans on</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such date as TIC may specify in such notice (whereupon the same shall</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become due and payable on such date together with accrued Interest</w:t>
      </w:r>
    </w:p>
    <w:p>
      <w:pPr>
        <w:ind w:left="708"/>
        <w:spacing w:after="0"/>
        <w:rPr>
          <w:sz w:val="20"/>
          <w:szCs w:val="20"/>
          <w:color w:val="auto"/>
        </w:rPr>
      </w:pPr>
      <w:r>
        <w:rPr>
          <w:rFonts w:ascii="Courier New" w:cs="Courier New" w:eastAsia="Courier New" w:hAnsi="Courier New"/>
          <w:sz w:val="12"/>
          <w:szCs w:val="12"/>
          <w:color w:val="auto"/>
        </w:rPr>
        <w:t>thereon and any other sums then owed by the Borrower hereunder) or</w:t>
      </w:r>
    </w:p>
    <w:p>
      <w:pPr>
        <w:ind w:left="708"/>
        <w:spacing w:after="0" w:line="237" w:lineRule="auto"/>
        <w:rPr>
          <w:sz w:val="20"/>
          <w:szCs w:val="20"/>
          <w:color w:val="auto"/>
        </w:rPr>
      </w:pPr>
      <w:r>
        <w:rPr>
          <w:rFonts w:ascii="Courier New" w:cs="Courier New" w:eastAsia="Courier New" w:hAnsi="Courier New"/>
          <w:sz w:val="12"/>
          <w:szCs w:val="12"/>
          <w:color w:val="auto"/>
        </w:rPr>
        <w:t>withdraw such declaration with effect from such date as they may</w:t>
      </w:r>
    </w:p>
    <w:p>
      <w:pPr>
        <w:ind w:left="708"/>
        <w:spacing w:after="0"/>
        <w:rPr>
          <w:sz w:val="20"/>
          <w:szCs w:val="20"/>
          <w:color w:val="auto"/>
        </w:rPr>
      </w:pPr>
      <w:r>
        <w:rPr>
          <w:rFonts w:ascii="Courier New" w:cs="Courier New" w:eastAsia="Courier New" w:hAnsi="Courier New"/>
          <w:sz w:val="12"/>
          <w:szCs w:val="12"/>
          <w:color w:val="auto"/>
        </w:rPr>
        <w:t>specify in such notice.</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11.11. COLLECTION</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Subject to clause 6A above, in the event of acceleration of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Equipment Loans pursuant to clause 11.9.3 above or of a written notice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under clause 11.10 above, then, without derogating from any other</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remedies or relief available to TIC under law or under this Agreement,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TIC shall be entitled to take all steps as it deems fit in order to</w:t>
      </w:r>
    </w:p>
    <w:p>
      <w:pPr>
        <w:ind w:left="708"/>
        <w:spacing w:after="0"/>
        <w:rPr>
          <w:sz w:val="20"/>
          <w:szCs w:val="20"/>
          <w:color w:val="auto"/>
        </w:rPr>
      </w:pPr>
      <w:r>
        <w:rPr>
          <w:rFonts w:ascii="Courier New" w:cs="Courier New" w:eastAsia="Courier New" w:hAnsi="Courier New"/>
          <w:sz w:val="12"/>
          <w:szCs w:val="12"/>
          <w:color w:val="auto"/>
        </w:rPr>
        <w:t>collect all sums owed by the Borrower to TIC under or in connection</w:t>
      </w:r>
    </w:p>
    <w:p>
      <w:pPr>
        <w:ind w:left="708"/>
        <w:spacing w:after="0" w:line="237" w:lineRule="auto"/>
        <w:rPr>
          <w:sz w:val="20"/>
          <w:szCs w:val="20"/>
          <w:color w:val="auto"/>
        </w:rPr>
      </w:pPr>
      <w:r>
        <w:rPr>
          <w:rFonts w:ascii="Courier New" w:cs="Courier New" w:eastAsia="Courier New" w:hAnsi="Courier New"/>
          <w:sz w:val="12"/>
          <w:szCs w:val="12"/>
          <w:color w:val="auto"/>
        </w:rPr>
        <w:t>with this Agreement (including all sums referred to in clause 11.9</w:t>
      </w:r>
    </w:p>
    <w:p>
      <w:pPr>
        <w:ind w:left="708"/>
        <w:spacing w:after="0"/>
        <w:rPr>
          <w:sz w:val="20"/>
          <w:szCs w:val="20"/>
          <w:color w:val="auto"/>
        </w:rPr>
      </w:pPr>
      <w:r>
        <w:rPr>
          <w:rFonts w:ascii="Courier New" w:cs="Courier New" w:eastAsia="Courier New" w:hAnsi="Courier New"/>
          <w:sz w:val="12"/>
          <w:szCs w:val="12"/>
          <w:color w:val="auto"/>
        </w:rPr>
        <w:t>above), all at the expense of the Borrower and to utilise the sums</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received to repay in part or in full all amounts owed by the Borrower</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hereunder.</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- 22 -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11.12. INDEMNITY</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Subject to clause 6A above, the Borrower shall indemnify TIC against</w:t>
      </w:r>
    </w:p>
    <w:p>
      <w:pPr>
        <w:ind w:left="708"/>
        <w:spacing w:after="0"/>
        <w:rPr>
          <w:sz w:val="20"/>
          <w:szCs w:val="20"/>
          <w:color w:val="auto"/>
        </w:rPr>
      </w:pPr>
      <w:r>
        <w:rPr>
          <w:rFonts w:ascii="Courier New" w:cs="Courier New" w:eastAsia="Courier New" w:hAnsi="Courier New"/>
          <w:sz w:val="12"/>
          <w:szCs w:val="12"/>
          <w:color w:val="auto"/>
        </w:rPr>
        <w:t>any losses, charges or expenses which TIC may sustain or incur as a</w:t>
      </w:r>
    </w:p>
    <w:p>
      <w:pPr>
        <w:ind w:left="708"/>
        <w:spacing w:after="0" w:line="237" w:lineRule="auto"/>
        <w:rPr>
          <w:sz w:val="20"/>
          <w:szCs w:val="20"/>
          <w:color w:val="auto"/>
        </w:rPr>
      </w:pPr>
      <w:r>
        <w:rPr>
          <w:rFonts w:ascii="Courier New" w:cs="Courier New" w:eastAsia="Courier New" w:hAnsi="Courier New"/>
          <w:sz w:val="12"/>
          <w:szCs w:val="12"/>
          <w:color w:val="auto"/>
        </w:rPr>
        <w:t>consequence of:</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11.12.1. the occurrence of any Equipment Facility Event of Default or</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Equipment Facility Default; or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11.12.2. the operation of clauses 11.9, 11.10 or 11.11,</w:t>
      </w:r>
    </w:p>
    <w:p>
      <w:pPr>
        <w:spacing w:after="0" w:line="134"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including, any losses, charges or expenses on account of funds</w:t>
      </w:r>
    </w:p>
    <w:p>
      <w:pPr>
        <w:ind w:left="1048"/>
        <w:spacing w:after="0"/>
        <w:rPr>
          <w:sz w:val="20"/>
          <w:szCs w:val="20"/>
          <w:color w:val="auto"/>
        </w:rPr>
      </w:pPr>
      <w:r>
        <w:rPr>
          <w:rFonts w:ascii="Courier New" w:cs="Courier New" w:eastAsia="Courier New" w:hAnsi="Courier New"/>
          <w:sz w:val="12"/>
          <w:szCs w:val="12"/>
          <w:color w:val="auto"/>
        </w:rPr>
        <w:t>acquired, contracted for or utilised to fund any amount payable</w:t>
      </w:r>
    </w:p>
    <w:p>
      <w:pPr>
        <w:ind w:left="1048"/>
        <w:spacing w:after="0" w:line="237" w:lineRule="auto"/>
        <w:rPr>
          <w:sz w:val="20"/>
          <w:szCs w:val="20"/>
          <w:color w:val="auto"/>
        </w:rPr>
      </w:pPr>
      <w:r>
        <w:rPr>
          <w:rFonts w:ascii="Courier New" w:cs="Courier New" w:eastAsia="Courier New" w:hAnsi="Courier New"/>
          <w:sz w:val="12"/>
          <w:szCs w:val="12"/>
          <w:color w:val="auto"/>
        </w:rPr>
        <w:t>under this Agreement or any amount repaid or prepaid. A</w:t>
      </w:r>
    </w:p>
    <w:p>
      <w:pPr>
        <w:ind w:left="1048"/>
        <w:spacing w:after="0"/>
        <w:rPr>
          <w:sz w:val="20"/>
          <w:szCs w:val="20"/>
          <w:color w:val="auto"/>
        </w:rPr>
      </w:pPr>
      <w:r>
        <w:rPr>
          <w:rFonts w:ascii="Courier New" w:cs="Courier New" w:eastAsia="Courier New" w:hAnsi="Courier New"/>
          <w:sz w:val="12"/>
          <w:szCs w:val="12"/>
          <w:color w:val="auto"/>
        </w:rPr>
        <w:t>certificate of TIC as to the amount of any such loss or expense</w:t>
      </w:r>
    </w:p>
    <w:p>
      <w:pPr>
        <w:ind w:left="1048"/>
        <w:spacing w:after="0" w:line="237" w:lineRule="auto"/>
        <w:rPr>
          <w:sz w:val="20"/>
          <w:szCs w:val="20"/>
          <w:color w:val="auto"/>
        </w:rPr>
      </w:pPr>
      <w:r>
        <w:rPr>
          <w:rFonts w:ascii="Courier New" w:cs="Courier New" w:eastAsia="Courier New" w:hAnsi="Courier New"/>
          <w:sz w:val="12"/>
          <w:szCs w:val="12"/>
          <w:color w:val="auto"/>
        </w:rPr>
        <w:t>shall be PRIMA FACIE evidence in the absence of manifest error.</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11.13. TERMINATION OF COMMITMENT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 the event of the operation of clause 11.9 above, TIC shall be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entitled to terminate its Commitments. For the removal of doubt, such</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termination shall not derogate from any obligations of the Borrower to</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TIC under this Agreement.</w:t>
      </w:r>
    </w:p>
    <w:p>
      <w:pPr>
        <w:spacing w:after="0" w:line="134" w:lineRule="exact"/>
        <w:rPr>
          <w:sz w:val="20"/>
          <w:szCs w:val="20"/>
          <w:color w:val="auto"/>
        </w:rPr>
      </w:pPr>
    </w:p>
    <w:p>
      <w:pPr>
        <w:ind w:left="348" w:hanging="348"/>
        <w:spacing w:after="0"/>
        <w:tabs>
          <w:tab w:leader="none" w:pos="348" w:val="left"/>
        </w:tabs>
        <w:numPr>
          <w:ilvl w:val="0"/>
          <w:numId w:val="15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DEFAULT INTEREST</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12.1. DEFAULT RATE PERIODS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If any sum due and payable by the Borrower hereunder is not paid on</w:t>
      </w:r>
    </w:p>
    <w:p>
      <w:pPr>
        <w:ind w:left="708"/>
        <w:spacing w:after="0"/>
        <w:rPr>
          <w:sz w:val="20"/>
          <w:szCs w:val="20"/>
          <w:color w:val="auto"/>
        </w:rPr>
      </w:pPr>
      <w:r>
        <w:rPr>
          <w:rFonts w:ascii="Courier New" w:cs="Courier New" w:eastAsia="Courier New" w:hAnsi="Courier New"/>
          <w:sz w:val="12"/>
          <w:szCs w:val="12"/>
          <w:color w:val="auto"/>
        </w:rPr>
        <w:t>the due date therefor in accordance with the provisions of this</w:t>
      </w:r>
    </w:p>
    <w:p>
      <w:pPr>
        <w:ind w:left="708"/>
        <w:spacing w:after="0" w:line="237" w:lineRule="auto"/>
        <w:rPr>
          <w:sz w:val="20"/>
          <w:szCs w:val="20"/>
          <w:color w:val="auto"/>
        </w:rPr>
      </w:pPr>
      <w:r>
        <w:rPr>
          <w:rFonts w:ascii="Courier New" w:cs="Courier New" w:eastAsia="Courier New" w:hAnsi="Courier New"/>
          <w:sz w:val="12"/>
          <w:szCs w:val="12"/>
          <w:color w:val="auto"/>
        </w:rPr>
        <w:t>Agreement ("UNPAID SUM"), the period beginning on such due date and</w:t>
      </w:r>
    </w:p>
    <w:p>
      <w:pPr>
        <w:ind w:left="708"/>
        <w:spacing w:after="0"/>
        <w:rPr>
          <w:sz w:val="20"/>
          <w:szCs w:val="20"/>
          <w:color w:val="auto"/>
        </w:rPr>
      </w:pPr>
      <w:r>
        <w:rPr>
          <w:rFonts w:ascii="Courier New" w:cs="Courier New" w:eastAsia="Courier New" w:hAnsi="Courier New"/>
          <w:sz w:val="12"/>
          <w:szCs w:val="12"/>
          <w:color w:val="auto"/>
        </w:rPr>
        <w:t>ending on the date upon which the obligation of the Borrower to pay</w:t>
      </w:r>
    </w:p>
    <w:p>
      <w:pPr>
        <w:ind w:left="708"/>
        <w:spacing w:after="0" w:line="237" w:lineRule="auto"/>
        <w:rPr>
          <w:sz w:val="20"/>
          <w:szCs w:val="20"/>
          <w:color w:val="auto"/>
        </w:rPr>
      </w:pPr>
      <w:r>
        <w:rPr>
          <w:rFonts w:ascii="Courier New" w:cs="Courier New" w:eastAsia="Courier New" w:hAnsi="Courier New"/>
          <w:sz w:val="12"/>
          <w:szCs w:val="12"/>
          <w:color w:val="auto"/>
        </w:rPr>
        <w:t>the Unpaid Sum is discharged, shall be divided into successive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periods, each of which (other than the first) shall start on the last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day of such preceding period and the duration of each of which shall</w:t>
      </w:r>
    </w:p>
    <w:p>
      <w:pPr>
        <w:ind w:left="708"/>
        <w:spacing w:after="0"/>
        <w:rPr>
          <w:sz w:val="20"/>
          <w:szCs w:val="20"/>
          <w:color w:val="auto"/>
        </w:rPr>
      </w:pPr>
      <w:r>
        <w:rPr>
          <w:rFonts w:ascii="Courier New" w:cs="Courier New" w:eastAsia="Courier New" w:hAnsi="Courier New"/>
          <w:sz w:val="12"/>
          <w:szCs w:val="12"/>
          <w:color w:val="auto"/>
        </w:rPr>
        <w:t>(except as otherwise provided in this clause 12) be selected by TIC</w:t>
      </w:r>
    </w:p>
    <w:p>
      <w:pPr>
        <w:ind w:left="708"/>
        <w:spacing w:after="0" w:line="237" w:lineRule="auto"/>
        <w:rPr>
          <w:sz w:val="20"/>
          <w:szCs w:val="20"/>
          <w:color w:val="auto"/>
        </w:rPr>
      </w:pPr>
      <w:r>
        <w:rPr>
          <w:rFonts w:ascii="Courier New" w:cs="Courier New" w:eastAsia="Courier New" w:hAnsi="Courier New"/>
          <w:sz w:val="12"/>
          <w:szCs w:val="12"/>
          <w:color w:val="auto"/>
        </w:rPr>
        <w:t>(such periods selected as aforesaid "INTEREST PERIODS").</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- 23 -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12.2. DEFAULT INTEREST</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During each such Interest Period as is mentioned in clause 12.1 above,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 Unpaid Sum shall bear Interest at the rate per annum which is the</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sum from time to time of: (a) 3% (three percent); and (b) the Interest</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rate in respect of such Interest Period as would have been determined</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in accordance with clause 7.1 above (provided that, if, for any such</w:t>
      </w:r>
    </w:p>
    <w:p>
      <w:pPr>
        <w:ind w:left="708"/>
        <w:spacing w:after="0"/>
        <w:rPr>
          <w:sz w:val="20"/>
          <w:szCs w:val="20"/>
          <w:color w:val="auto"/>
        </w:rPr>
      </w:pPr>
      <w:r>
        <w:rPr>
          <w:rFonts w:ascii="Courier New" w:cs="Courier New" w:eastAsia="Courier New" w:hAnsi="Courier New"/>
          <w:sz w:val="12"/>
          <w:szCs w:val="12"/>
          <w:color w:val="auto"/>
        </w:rPr>
        <w:t>Interest Period LIBOR cannot be determined, the rate of Interest</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applicable to such Unpaid Sum shall be the rate per annum which is the</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sum of: (i) 3% (three percent); and (ii) 3% (three percent) plus a</w:t>
      </w:r>
    </w:p>
    <w:p>
      <w:pPr>
        <w:ind w:left="708"/>
        <w:spacing w:after="0"/>
        <w:rPr>
          <w:sz w:val="20"/>
          <w:szCs w:val="20"/>
          <w:color w:val="auto"/>
        </w:rPr>
      </w:pPr>
      <w:r>
        <w:rPr>
          <w:rFonts w:ascii="Courier New" w:cs="Courier New" w:eastAsia="Courier New" w:hAnsi="Courier New"/>
          <w:sz w:val="12"/>
          <w:szCs w:val="12"/>
          <w:color w:val="auto"/>
        </w:rPr>
        <w:t>rate as certified by TIC in accordance with clause 7.4 above.</w:t>
      </w:r>
    </w:p>
    <w:p>
      <w:pPr>
        <w:spacing w:after="0" w:line="133"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12.3. PAYMENT OF DEFAULT INTEREST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Any Interest which shall have accrued under clause 12.2 above in</w:t>
      </w:r>
    </w:p>
    <w:p>
      <w:pPr>
        <w:spacing w:after="0" w:line="4"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respect of an Unpaid Sum shall be due and payable and shall be paid by</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the Borrower at the end of each Interest Period by reference to which</w:t>
      </w:r>
    </w:p>
    <w:p>
      <w:pPr>
        <w:spacing w:after="0" w:line="10"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it is calculated or on such other dates as TIC may specify by written</w:t>
      </w:r>
    </w:p>
    <w:p>
      <w:pPr>
        <w:sectPr>
          <w:pgSz w:w="11900" w:h="16895" w:orient="portrait"/>
          <w:cols w:equalWidth="0" w:num="1">
            <w:col w:w="10247"/>
          </w:cols>
          <w:pgMar w:left="212" w:top="137" w:right="1440" w:bottom="0" w:gutter="0" w:footer="0" w:header="0"/>
        </w:sectPr>
      </w:pPr>
    </w:p>
    <w:bookmarkStart w:id="109" w:name="page110"/>
    <w:bookmarkEnd w:id="109"/>
    <w:p>
      <w:pPr>
        <w:ind w:left="708"/>
        <w:spacing w:after="0"/>
        <w:rPr>
          <w:sz w:val="20"/>
          <w:szCs w:val="20"/>
          <w:color w:val="auto"/>
        </w:rPr>
      </w:pPr>
      <w:r>
        <w:rPr>
          <w:rFonts w:ascii="Courier New" w:cs="Courier New" w:eastAsia="Courier New" w:hAnsi="Courier New"/>
          <w:sz w:val="12"/>
          <w:szCs w:val="12"/>
          <w:color w:val="auto"/>
        </w:rPr>
        <w:t>notice to the Borrower.</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12.4. LIMIT ON DEFAULT INTEREST</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Notwithstanding anything to the contrary in this clause 12, the</w:t>
      </w:r>
    </w:p>
    <w:p>
      <w:pPr>
        <w:ind w:left="708"/>
        <w:spacing w:after="0"/>
        <w:rPr>
          <w:sz w:val="20"/>
          <w:szCs w:val="20"/>
          <w:color w:val="auto"/>
        </w:rPr>
      </w:pPr>
      <w:r>
        <w:rPr>
          <w:rFonts w:ascii="Courier New" w:cs="Courier New" w:eastAsia="Courier New" w:hAnsi="Courier New"/>
          <w:sz w:val="12"/>
          <w:szCs w:val="12"/>
          <w:color w:val="auto"/>
        </w:rPr>
        <w:t>effective rate of Interest (having regard to the periods determined</w:t>
      </w:r>
    </w:p>
    <w:p>
      <w:pPr>
        <w:ind w:left="708"/>
        <w:spacing w:after="0" w:line="237" w:lineRule="auto"/>
        <w:rPr>
          <w:sz w:val="20"/>
          <w:szCs w:val="20"/>
          <w:color w:val="auto"/>
        </w:rPr>
      </w:pPr>
      <w:r>
        <w:rPr>
          <w:rFonts w:ascii="Courier New" w:cs="Courier New" w:eastAsia="Courier New" w:hAnsi="Courier New"/>
          <w:sz w:val="12"/>
          <w:szCs w:val="12"/>
          <w:color w:val="auto"/>
        </w:rPr>
        <w:t>above) payable on Unpaid Sums shall at no time exceed the lower rate</w:t>
      </w:r>
    </w:p>
    <w:p>
      <w:pPr>
        <w:ind w:left="708"/>
        <w:spacing w:after="0"/>
        <w:rPr>
          <w:sz w:val="20"/>
          <w:szCs w:val="20"/>
          <w:color w:val="auto"/>
        </w:rPr>
      </w:pPr>
      <w:r>
        <w:rPr>
          <w:rFonts w:ascii="Courier New" w:cs="Courier New" w:eastAsia="Courier New" w:hAnsi="Courier New"/>
          <w:sz w:val="12"/>
          <w:szCs w:val="12"/>
          <w:color w:val="auto"/>
        </w:rPr>
        <w:t>of Interest applicable at the same time under the Banks' Equipment</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Facility Agreements. For the avoidance of doubt, VAT, Tax withholding</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or other Tax required to be paid shall not be taken into account for</w:t>
      </w:r>
    </w:p>
    <w:p>
      <w:pPr>
        <w:ind w:left="708"/>
        <w:spacing w:after="0"/>
        <w:rPr>
          <w:sz w:val="20"/>
          <w:szCs w:val="20"/>
          <w:color w:val="auto"/>
        </w:rPr>
      </w:pPr>
      <w:r>
        <w:rPr>
          <w:rFonts w:ascii="Courier New" w:cs="Courier New" w:eastAsia="Courier New" w:hAnsi="Courier New"/>
          <w:sz w:val="12"/>
          <w:szCs w:val="12"/>
          <w:color w:val="auto"/>
        </w:rPr>
        <w:t>the purposes of comparing Interest rates.</w:t>
      </w:r>
    </w:p>
    <w:p>
      <w:pPr>
        <w:spacing w:after="0" w:line="133" w:lineRule="exact"/>
        <w:rPr>
          <w:sz w:val="20"/>
          <w:szCs w:val="20"/>
          <w:color w:val="auto"/>
        </w:rPr>
      </w:pPr>
    </w:p>
    <w:p>
      <w:pPr>
        <w:ind w:left="348" w:hanging="348"/>
        <w:spacing w:after="0"/>
        <w:tabs>
          <w:tab w:leader="none" w:pos="348" w:val="left"/>
        </w:tabs>
        <w:numPr>
          <w:ilvl w:val="0"/>
          <w:numId w:val="1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FAILURE TO DRAW AN EQUIPMENT LOAN</w:t>
      </w:r>
    </w:p>
    <w:p>
      <w:pPr>
        <w:spacing w:after="0" w:line="138" w:lineRule="exact"/>
        <w:rPr>
          <w:rFonts w:ascii="Courier New" w:cs="Courier New" w:eastAsia="Courier New" w:hAnsi="Courier New"/>
          <w:sz w:val="12"/>
          <w:szCs w:val="12"/>
          <w:color w:val="auto"/>
        </w:rPr>
      </w:pPr>
    </w:p>
    <w:p>
      <w:pPr>
        <w:ind w:left="348"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 the event that the Borrower shall make any Drawdown Request, but shall not be entitled to receive (and shall have not received) the relevant Equipment Loan by reason of not having fulfilled all of the conditions therefor listed in clauses 4.1 or 4.2 above, then, without derogating from any other right of TIC hereunder and under any applicable law, the Borrower shall indemnify and compensate TIC for any and all of TIC's costs and expenses in financing the amount requested by the Borrower, the liquidation of any such funds and including loss of profit of TIC by reason of any such event.</w:t>
      </w:r>
    </w:p>
    <w:p>
      <w:pPr>
        <w:spacing w:after="0" w:line="273"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24 -</w:t>
      </w:r>
    </w:p>
    <w:p>
      <w:pPr>
        <w:spacing w:after="0" w:line="386"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5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PAYMENTS</w:t>
      </w:r>
    </w:p>
    <w:p>
      <w:pPr>
        <w:spacing w:after="0" w:line="134"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14.1. PAYMENTS BY BORROWER</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All payments to be made by the Borrower to TIC shall be made in same</w:t>
      </w:r>
    </w:p>
    <w:p>
      <w:pPr>
        <w:ind w:left="708"/>
        <w:spacing w:after="0"/>
        <w:rPr>
          <w:sz w:val="20"/>
          <w:szCs w:val="20"/>
          <w:color w:val="auto"/>
        </w:rPr>
      </w:pPr>
      <w:r>
        <w:rPr>
          <w:rFonts w:ascii="Courier New" w:cs="Courier New" w:eastAsia="Courier New" w:hAnsi="Courier New"/>
          <w:sz w:val="12"/>
          <w:szCs w:val="12"/>
          <w:color w:val="auto"/>
        </w:rPr>
        <w:t>day funds to TIC's Account. All payments required to be made by the</w:t>
      </w:r>
    </w:p>
    <w:p>
      <w:pPr>
        <w:spacing w:after="0" w:line="3"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Borrower under this Agreement shall be calculated without reference to</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any set-off or counterclaim and shall be made free and clear of and</w:t>
      </w:r>
    </w:p>
    <w:p>
      <w:pPr>
        <w:ind w:left="708"/>
        <w:spacing w:after="0"/>
        <w:rPr>
          <w:sz w:val="20"/>
          <w:szCs w:val="20"/>
          <w:color w:val="auto"/>
        </w:rPr>
      </w:pPr>
      <w:r>
        <w:rPr>
          <w:rFonts w:ascii="Courier New" w:cs="Courier New" w:eastAsia="Courier New" w:hAnsi="Courier New"/>
          <w:sz w:val="12"/>
          <w:szCs w:val="12"/>
          <w:color w:val="auto"/>
        </w:rPr>
        <w:t>without any deduction for or on account of, any set-off or</w:t>
      </w:r>
    </w:p>
    <w:p>
      <w:pPr>
        <w:ind w:left="708"/>
        <w:spacing w:after="0" w:line="237" w:lineRule="auto"/>
        <w:rPr>
          <w:sz w:val="20"/>
          <w:szCs w:val="20"/>
          <w:color w:val="auto"/>
        </w:rPr>
      </w:pPr>
      <w:r>
        <w:rPr>
          <w:rFonts w:ascii="Courier New" w:cs="Courier New" w:eastAsia="Courier New" w:hAnsi="Courier New"/>
          <w:sz w:val="12"/>
          <w:szCs w:val="12"/>
          <w:color w:val="auto"/>
        </w:rPr>
        <w:t>counterclaim.</w:t>
      </w:r>
    </w:p>
    <w:p>
      <w:pPr>
        <w:spacing w:after="0" w:line="134"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14.2. PAYMENTS BY TIC TO BORROWER</w:t>
      </w:r>
    </w:p>
    <w:p>
      <w:pPr>
        <w:spacing w:after="0" w:line="139" w:lineRule="exact"/>
        <w:rPr>
          <w:sz w:val="20"/>
          <w:szCs w:val="20"/>
          <w:color w:val="auto"/>
        </w:rPr>
      </w:pPr>
    </w:p>
    <w:p>
      <w:pPr>
        <w:ind w:left="708"/>
        <w:spacing w:after="0"/>
        <w:rPr>
          <w:sz w:val="20"/>
          <w:szCs w:val="20"/>
          <w:color w:val="auto"/>
        </w:rPr>
      </w:pPr>
      <w:r>
        <w:rPr>
          <w:rFonts w:ascii="Courier New" w:cs="Courier New" w:eastAsia="Courier New" w:hAnsi="Courier New"/>
          <w:sz w:val="11"/>
          <w:szCs w:val="11"/>
          <w:color w:val="auto"/>
        </w:rPr>
        <w:t>All payments to be made by TIC to the Borrower in respect of Equipment</w:t>
      </w:r>
    </w:p>
    <w:p>
      <w:pPr>
        <w:spacing w:after="0" w:line="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Loans shall be made by transfer of such payment to the Borrower's</w:t>
      </w:r>
    </w:p>
    <w:p>
      <w:pPr>
        <w:ind w:left="708"/>
        <w:spacing w:after="0"/>
        <w:rPr>
          <w:sz w:val="20"/>
          <w:szCs w:val="20"/>
          <w:color w:val="auto"/>
        </w:rPr>
      </w:pPr>
      <w:r>
        <w:rPr>
          <w:rFonts w:ascii="Courier New" w:cs="Courier New" w:eastAsia="Courier New" w:hAnsi="Courier New"/>
          <w:sz w:val="12"/>
          <w:szCs w:val="12"/>
          <w:color w:val="auto"/>
        </w:rPr>
        <w:t>Account.</w:t>
      </w:r>
    </w:p>
    <w:p>
      <w:pPr>
        <w:spacing w:after="0" w:line="133" w:lineRule="exact"/>
        <w:rPr>
          <w:sz w:val="20"/>
          <w:szCs w:val="20"/>
          <w:color w:val="auto"/>
        </w:rPr>
      </w:pPr>
    </w:p>
    <w:p>
      <w:pPr>
        <w:ind w:left="348" w:hanging="348"/>
        <w:spacing w:after="0"/>
        <w:tabs>
          <w:tab w:leader="none" w:pos="348" w:val="left"/>
        </w:tabs>
        <w:numPr>
          <w:ilvl w:val="0"/>
          <w:numId w:val="1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MISCELLANEOUS</w:t>
      </w:r>
    </w:p>
    <w:p>
      <w:pPr>
        <w:spacing w:after="0" w:line="138" w:lineRule="exact"/>
        <w:rPr>
          <w:rFonts w:ascii="Courier New" w:cs="Courier New" w:eastAsia="Courier New" w:hAnsi="Courier New"/>
          <w:sz w:val="12"/>
          <w:szCs w:val="12"/>
          <w:color w:val="auto"/>
        </w:rPr>
      </w:pPr>
    </w:p>
    <w:p>
      <w:pPr>
        <w:ind w:left="348"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provisions of clause 26 ("REMEDIES AND WAIVERS"), clause 27 ("NOTICES") (other than clauses 27.2.2 and 27.2.3, which shall be replaced with: "27.2.2. to TIC at:</w:t>
      </w:r>
    </w:p>
    <w:p>
      <w:pPr>
        <w:spacing w:after="0" w:line="139" w:lineRule="exact"/>
        <w:rPr>
          <w:rFonts w:ascii="Courier New" w:cs="Courier New" w:eastAsia="Courier New" w:hAnsi="Courier New"/>
          <w:sz w:val="12"/>
          <w:szCs w:val="12"/>
          <w:color w:val="auto"/>
        </w:rPr>
      </w:pPr>
    </w:p>
    <w:p>
      <w:pPr>
        <w:ind w:left="348" w:right="827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Israel Coropration Ltd. Milennium Tower</w:t>
      </w:r>
    </w:p>
    <w:p>
      <w:pPr>
        <w:spacing w:after="0" w:line="4" w:lineRule="exact"/>
        <w:rPr>
          <w:rFonts w:ascii="Courier New" w:cs="Courier New" w:eastAsia="Courier New" w:hAnsi="Courier New"/>
          <w:sz w:val="12"/>
          <w:szCs w:val="12"/>
          <w:color w:val="auto"/>
        </w:rPr>
      </w:pPr>
    </w:p>
    <w:p>
      <w:pPr>
        <w:ind w:left="348" w:right="8359"/>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23 Aranha St. Tel-Aviv, Israel 61070</w:t>
      </w: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ATTENTION: CHIEF FINANCIAL OFFICER</w:t>
      </w: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FACSIMILE: 972-3-684-457</w:t>
      </w:r>
    </w:p>
    <w:p>
      <w:pPr>
        <w:spacing w:after="0" w:line="137" w:lineRule="exact"/>
        <w:rPr>
          <w:rFonts w:ascii="Courier New" w:cs="Courier New" w:eastAsia="Courier New" w:hAnsi="Courier New"/>
          <w:sz w:val="12"/>
          <w:szCs w:val="12"/>
          <w:color w:val="auto"/>
        </w:rPr>
      </w:pPr>
    </w:p>
    <w:p>
      <w:pPr>
        <w:jc w:val="both"/>
        <w:ind w:left="348" w:right="883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WITH A COPY TO: Gornitzky &amp; Co.</w:t>
      </w:r>
    </w:p>
    <w:p>
      <w:pPr>
        <w:ind w:left="348" w:right="8359"/>
        <w:spacing w:after="0" w:line="260"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45 Rothschild Blvd. Tel Aviv, Israel 65784</w:t>
      </w: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ATTENTION: ZVI EPHRAT, ADV.</w:t>
      </w:r>
    </w:p>
    <w:p>
      <w:pPr>
        <w:ind w:left="34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FACSIMILE: (03) 560 6555,</w:t>
      </w:r>
    </w:p>
    <w:p>
      <w:pPr>
        <w:spacing w:after="0" w:line="137" w:lineRule="exact"/>
        <w:rPr>
          <w:rFonts w:ascii="Courier New" w:cs="Courier New" w:eastAsia="Courier New" w:hAnsi="Courier New"/>
          <w:sz w:val="12"/>
          <w:szCs w:val="12"/>
          <w:color w:val="auto"/>
        </w:rPr>
      </w:pPr>
    </w:p>
    <w:p>
      <w:pPr>
        <w:ind w:left="348"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clause 28 ("AMENDMENTS"), clause 29 ("COUNTERPARTS"), clause 30 ("GOVERNING LAW AND JURISDICTION"), clause 31 ("ENTIRE AGREEMENT") and clause 33 ("BANKS REPRESENTATION") of the Facility Agreement with necessary changes, attached hereto in SCHEDULE 15, are hereby incorporated by reference. This Agreement may not be assigned by any party without the prior written consent of the other party hereto.</w:t>
      </w:r>
    </w:p>
    <w:p>
      <w:pPr>
        <w:spacing w:after="0" w:line="271"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60"/>
        </w:numPr>
        <w:rPr>
          <w:rFonts w:ascii="Courier New" w:cs="Courier New" w:eastAsia="Courier New" w:hAnsi="Courier New"/>
          <w:sz w:val="12"/>
          <w:szCs w:val="12"/>
          <w:color w:val="auto"/>
        </w:rPr>
      </w:pPr>
      <w:r>
        <w:rPr>
          <w:rFonts w:ascii="Courier New" w:cs="Courier New" w:eastAsia="Courier New" w:hAnsi="Courier New"/>
          <w:sz w:val="12"/>
          <w:szCs w:val="12"/>
          <w:color w:val="auto"/>
        </w:rPr>
        <w:t>25 -</w:t>
      </w:r>
    </w:p>
    <w:p>
      <w:pPr>
        <w:spacing w:after="0" w:line="391" w:lineRule="exact"/>
        <w:rPr>
          <w:sz w:val="20"/>
          <w:szCs w:val="20"/>
          <w:color w:val="auto"/>
        </w:rPr>
      </w:pPr>
    </w:p>
    <w:p>
      <w:pPr>
        <w:ind w:left="8" w:right="4619"/>
        <w:spacing w:after="0" w:line="235" w:lineRule="auto"/>
        <w:rPr>
          <w:sz w:val="20"/>
          <w:szCs w:val="20"/>
          <w:color w:val="auto"/>
        </w:rPr>
      </w:pPr>
      <w:r>
        <w:rPr>
          <w:rFonts w:ascii="Courier New" w:cs="Courier New" w:eastAsia="Courier New" w:hAnsi="Courier New"/>
          <w:sz w:val="12"/>
          <w:szCs w:val="12"/>
          <w:color w:val="auto"/>
        </w:rPr>
        <w:t>IN WITNESS WHEREOF, THE PARTIES HAVE SIGNED THIS EQUIPMENT FACILITY AGREEMENT ON THE DATE FIRST MENTIONED ABOVE.</w:t>
      </w:r>
    </w:p>
    <w:p>
      <w:pPr>
        <w:spacing w:after="0" w:line="270" w:lineRule="exact"/>
        <w:rPr>
          <w:sz w:val="20"/>
          <w:szCs w:val="20"/>
          <w:color w:val="auto"/>
        </w:rPr>
      </w:pPr>
    </w:p>
    <w:p>
      <w:pPr>
        <w:ind w:left="8"/>
        <w:spacing w:after="0"/>
        <w:tabs>
          <w:tab w:leader="none" w:pos="468" w:val="left"/>
        </w:tabs>
        <w:rPr>
          <w:sz w:val="20"/>
          <w:szCs w:val="20"/>
          <w:color w:val="auto"/>
        </w:rPr>
      </w:pPr>
      <w:r>
        <w:rPr>
          <w:rFonts w:ascii="Courier New" w:cs="Courier New" w:eastAsia="Courier New" w:hAnsi="Courier New"/>
          <w:sz w:val="12"/>
          <w:szCs w:val="12"/>
          <w:color w:val="auto"/>
        </w:rPr>
        <w:t>for:</w:t>
        <w:tab/>
        <w:t>TOWER SEMICONDUCTOR LTD.</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By:</w:t>
      </w:r>
    </w:p>
    <w:p>
      <w:pPr>
        <w:ind w:left="488"/>
        <w:spacing w:after="0"/>
        <w:rPr>
          <w:sz w:val="20"/>
          <w:szCs w:val="20"/>
          <w:color w:val="auto"/>
        </w:rPr>
      </w:pPr>
      <w:r>
        <w:rPr>
          <w:rFonts w:ascii="Courier New" w:cs="Courier New" w:eastAsia="Courier New" w:hAnsi="Courier New"/>
          <w:sz w:val="12"/>
          <w:szCs w:val="12"/>
          <w:color w:val="auto"/>
        </w:rPr>
        <w:t>_____________________________</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Title:</w:t>
      </w:r>
    </w:p>
    <w:p>
      <w:pPr>
        <w:ind w:left="488"/>
        <w:spacing w:after="0"/>
        <w:rPr>
          <w:sz w:val="20"/>
          <w:szCs w:val="20"/>
          <w:color w:val="auto"/>
        </w:rPr>
      </w:pPr>
      <w:r>
        <w:rPr>
          <w:rFonts w:ascii="Courier New" w:cs="Courier New" w:eastAsia="Courier New" w:hAnsi="Courier New"/>
          <w:sz w:val="12"/>
          <w:szCs w:val="12"/>
          <w:color w:val="auto"/>
        </w:rPr>
        <w:t>_____________________________</w:t>
      </w:r>
    </w:p>
    <w:p>
      <w:pPr>
        <w:spacing w:after="0" w:line="269" w:lineRule="exact"/>
        <w:rPr>
          <w:sz w:val="20"/>
          <w:szCs w:val="20"/>
          <w:color w:val="auto"/>
        </w:rPr>
      </w:pPr>
    </w:p>
    <w:p>
      <w:pPr>
        <w:ind w:left="8"/>
        <w:spacing w:after="0"/>
        <w:tabs>
          <w:tab w:leader="none" w:pos="468" w:val="left"/>
        </w:tabs>
        <w:rPr>
          <w:sz w:val="20"/>
          <w:szCs w:val="20"/>
          <w:color w:val="auto"/>
        </w:rPr>
      </w:pPr>
      <w:r>
        <w:rPr>
          <w:rFonts w:ascii="Courier New" w:cs="Courier New" w:eastAsia="Courier New" w:hAnsi="Courier New"/>
          <w:sz w:val="12"/>
          <w:szCs w:val="12"/>
          <w:color w:val="auto"/>
        </w:rPr>
        <w:t>for:</w:t>
        <w:tab/>
        <w:t>ISRAEL CORPORATION LTD.</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By:</w:t>
      </w:r>
    </w:p>
    <w:p>
      <w:pPr>
        <w:ind w:left="488"/>
        <w:spacing w:after="0"/>
        <w:rPr>
          <w:sz w:val="20"/>
          <w:szCs w:val="20"/>
          <w:color w:val="auto"/>
        </w:rPr>
      </w:pPr>
      <w:r>
        <w:rPr>
          <w:rFonts w:ascii="Courier New" w:cs="Courier New" w:eastAsia="Courier New" w:hAnsi="Courier New"/>
          <w:sz w:val="12"/>
          <w:szCs w:val="12"/>
          <w:color w:val="auto"/>
        </w:rPr>
        <w:t>_____________________________</w:t>
      </w:r>
    </w:p>
    <w:p>
      <w:pPr>
        <w:spacing w:after="0" w:line="13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Title:</w:t>
      </w:r>
    </w:p>
    <w:p>
      <w:pPr>
        <w:ind w:left="488"/>
        <w:spacing w:after="0"/>
        <w:rPr>
          <w:sz w:val="20"/>
          <w:szCs w:val="20"/>
          <w:color w:val="auto"/>
        </w:rPr>
      </w:pPr>
      <w:r>
        <w:rPr>
          <w:rFonts w:ascii="Courier New" w:cs="Courier New" w:eastAsia="Courier New" w:hAnsi="Courier New"/>
          <w:sz w:val="12"/>
          <w:szCs w:val="12"/>
          <w:color w:val="auto"/>
        </w:rPr>
        <w:t>_____________________________</w:t>
      </w:r>
    </w:p>
    <w:p>
      <w:pPr>
        <w:sectPr>
          <w:pgSz w:w="11900" w:h="16838" w:orient="portrait"/>
          <w:cols w:equalWidth="0" w:num="1">
            <w:col w:w="10247"/>
          </w:cols>
          <w:pgMar w:left="212" w:top="137" w:right="1440" w:bottom="1440" w:gutter="0" w:footer="0" w:header="0"/>
        </w:sectPr>
      </w:pPr>
    </w:p>
    <w:p>
      <w:pPr>
        <w:spacing w:after="0" w:line="273" w:lineRule="exact"/>
        <w:rPr>
          <w:sz w:val="20"/>
          <w:szCs w:val="20"/>
          <w:color w:val="auto"/>
        </w:rPr>
      </w:pPr>
    </w:p>
    <w:p>
      <w:pPr>
        <w:ind w:left="2608"/>
        <w:spacing w:after="0"/>
        <w:rPr>
          <w:sz w:val="20"/>
          <w:szCs w:val="20"/>
          <w:color w:val="auto"/>
        </w:rPr>
      </w:pPr>
      <w:r>
        <w:rPr>
          <w:rFonts w:ascii="Courier New" w:cs="Courier New" w:eastAsia="Courier New" w:hAnsi="Courier New"/>
          <w:sz w:val="11"/>
          <w:szCs w:val="11"/>
          <w:color w:val="auto"/>
        </w:rPr>
        <w:t>- 26 -</w:t>
      </w:r>
    </w:p>
    <w:p>
      <w:pPr>
        <w:sectPr>
          <w:pgSz w:w="11900" w:h="16838" w:orient="portrait"/>
          <w:cols w:equalWidth="0" w:num="1">
            <w:col w:w="10247"/>
          </w:cols>
          <w:pgMar w:left="212" w:top="137" w:right="1440" w:bottom="1440" w:gutter="0" w:footer="0" w:header="0"/>
          <w:type w:val="continuous"/>
        </w:sectPr>
      </w:pPr>
    </w:p>
    <w:bookmarkStart w:id="110" w:name="page111"/>
    <w:bookmarkEnd w:id="110"/>
    <w:p>
      <w:pPr>
        <w:spacing w:after="0" w:line="64" w:lineRule="exact"/>
        <w:rPr>
          <w:sz w:val="20"/>
          <w:szCs w:val="20"/>
          <w:color w:val="auto"/>
        </w:rPr>
      </w:pPr>
    </w:p>
    <w:p>
      <w:pPr>
        <w:jc w:val="center"/>
        <w:ind w:right="-148"/>
        <w:spacing w:after="0"/>
        <w:rPr>
          <w:sz w:val="20"/>
          <w:szCs w:val="20"/>
          <w:color w:val="auto"/>
        </w:rPr>
      </w:pPr>
      <w:r>
        <w:rPr>
          <w:rFonts w:ascii="Courier New" w:cs="Courier New" w:eastAsia="Courier New" w:hAnsi="Courier New"/>
          <w:sz w:val="11"/>
          <w:szCs w:val="11"/>
          <w:color w:val="auto"/>
        </w:rPr>
        <w:t>EXHIBIT 4.85</w:t>
      </w:r>
    </w:p>
    <w:p>
      <w:pPr>
        <w:spacing w:after="0" w:line="141" w:lineRule="exact"/>
        <w:rPr>
          <w:sz w:val="20"/>
          <w:szCs w:val="20"/>
          <w:color w:val="auto"/>
        </w:rPr>
      </w:pPr>
    </w:p>
    <w:p>
      <w:pPr>
        <w:ind w:left="2328"/>
        <w:spacing w:after="0"/>
        <w:rPr>
          <w:sz w:val="20"/>
          <w:szCs w:val="20"/>
          <w:color w:val="auto"/>
        </w:rPr>
      </w:pPr>
      <w:r>
        <w:rPr>
          <w:rFonts w:ascii="Courier New" w:cs="Courier New" w:eastAsia="Courier New" w:hAnsi="Courier New"/>
          <w:sz w:val="12"/>
          <w:szCs w:val="12"/>
          <w:color w:val="auto"/>
        </w:rPr>
        <w:t>AMENDMENT NO. 1</w:t>
      </w:r>
    </w:p>
    <w:p>
      <w:pPr>
        <w:ind w:left="1748"/>
        <w:spacing w:after="0"/>
        <w:rPr>
          <w:sz w:val="20"/>
          <w:szCs w:val="20"/>
          <w:color w:val="auto"/>
        </w:rPr>
      </w:pPr>
      <w:r>
        <w:rPr>
          <w:rFonts w:ascii="Courier New" w:cs="Courier New" w:eastAsia="Courier New" w:hAnsi="Courier New"/>
          <w:sz w:val="12"/>
          <w:szCs w:val="12"/>
          <w:color w:val="auto"/>
        </w:rPr>
        <w:t>TO RESTATED FACILITY AGREEMENT</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Made and entered into on this 10th day of September, 2007, by and</w:t>
      </w:r>
    </w:p>
    <w:p>
      <w:pPr>
        <w:ind w:left="708"/>
        <w:spacing w:after="0"/>
        <w:rPr>
          <w:sz w:val="20"/>
          <w:szCs w:val="20"/>
          <w:color w:val="auto"/>
        </w:rPr>
      </w:pPr>
      <w:r>
        <w:rPr>
          <w:rFonts w:ascii="Courier New" w:cs="Courier New" w:eastAsia="Courier New" w:hAnsi="Courier New"/>
          <w:sz w:val="12"/>
          <w:szCs w:val="12"/>
          <w:color w:val="auto"/>
        </w:rPr>
        <w:t>between:</w:t>
      </w:r>
    </w:p>
    <w:p>
      <w:pPr>
        <w:spacing w:after="0" w:line="133" w:lineRule="exact"/>
        <w:rPr>
          <w:sz w:val="20"/>
          <w:szCs w:val="20"/>
          <w:color w:val="auto"/>
        </w:rPr>
      </w:pPr>
    </w:p>
    <w:p>
      <w:pPr>
        <w:ind w:left="1048" w:hanging="345"/>
        <w:spacing w:after="0"/>
        <w:tabs>
          <w:tab w:leader="none" w:pos="1048" w:val="left"/>
        </w:tabs>
        <w:numPr>
          <w:ilvl w:val="0"/>
          <w:numId w:val="1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TOWER SEMICONDUCTOR LTD. ("THE BORROWER")</w:t>
      </w:r>
    </w:p>
    <w:p>
      <w:pPr>
        <w:spacing w:after="0" w:line="134" w:lineRule="exact"/>
        <w:rPr>
          <w:rFonts w:ascii="Courier New" w:cs="Courier New" w:eastAsia="Courier New" w:hAnsi="Courier New"/>
          <w:sz w:val="12"/>
          <w:szCs w:val="12"/>
          <w:color w:val="auto"/>
        </w:rPr>
      </w:pPr>
    </w:p>
    <w:p>
      <w:pPr>
        <w:ind w:left="708"/>
        <w:spacing w:after="0"/>
        <w:rPr>
          <w:rFonts w:ascii="Courier New" w:cs="Courier New" w:eastAsia="Courier New" w:hAnsi="Courier New"/>
          <w:sz w:val="12"/>
          <w:szCs w:val="12"/>
          <w:color w:val="auto"/>
        </w:rPr>
      </w:pPr>
      <w:r>
        <w:rPr>
          <w:rFonts w:ascii="Courier New" w:cs="Courier New" w:eastAsia="Courier New" w:hAnsi="Courier New"/>
          <w:sz w:val="12"/>
          <w:szCs w:val="12"/>
          <w:color w:val="auto"/>
        </w:rPr>
        <w:t>and</w:t>
      </w:r>
    </w:p>
    <w:p>
      <w:pPr>
        <w:spacing w:after="0" w:line="134" w:lineRule="exact"/>
        <w:rPr>
          <w:rFonts w:ascii="Courier New" w:cs="Courier New" w:eastAsia="Courier New" w:hAnsi="Courier New"/>
          <w:sz w:val="12"/>
          <w:szCs w:val="12"/>
          <w:color w:val="auto"/>
        </w:rPr>
      </w:pPr>
    </w:p>
    <w:p>
      <w:pPr>
        <w:ind w:left="1048" w:hanging="345"/>
        <w:spacing w:after="0"/>
        <w:tabs>
          <w:tab w:leader="none" w:pos="1048" w:val="left"/>
        </w:tabs>
        <w:numPr>
          <w:ilvl w:val="0"/>
          <w:numId w:val="161"/>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BANK LEUMI LE-ISRAEL B.M. and BANK HAPOALIM B.M. ("THE BANKS")</w:t>
      </w:r>
    </w:p>
    <w:p>
      <w:pPr>
        <w:sectPr>
          <w:pgSz w:w="11900" w:h="16903" w:orient="portrait"/>
          <w:cols w:equalWidth="0" w:num="1">
            <w:col w:w="10247"/>
          </w:cols>
          <w:pgMar w:left="212" w:top="411" w:right="1440" w:bottom="0" w:gutter="0" w:footer="0" w:header="0"/>
        </w:sectPr>
      </w:pPr>
    </w:p>
    <w:p>
      <w:pPr>
        <w:spacing w:after="0" w:line="13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the Borrower, on the one hand, and the Banks, on the other hand,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are parties to a Facility Agreement dated January 18, 2001,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amended from time to time and as amended and restated on August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24, 2006 (the Facility Agreement, as amended as aforesaid,</w:t>
      </w:r>
    </w:p>
    <w:p>
      <w:pPr>
        <w:spacing w:after="0"/>
        <w:rPr>
          <w:sz w:val="20"/>
          <w:szCs w:val="20"/>
          <w:color w:val="auto"/>
        </w:rPr>
      </w:pPr>
      <w:r>
        <w:rPr>
          <w:rFonts w:ascii="Courier New" w:cs="Courier New" w:eastAsia="Courier New" w:hAnsi="Courier New"/>
          <w:sz w:val="12"/>
          <w:szCs w:val="12"/>
          <w:color w:val="auto"/>
        </w:rPr>
        <w:t>hereinafter "THE FACILITY AGREEMENT"); and</w:t>
      </w:r>
    </w:p>
    <w:p>
      <w:pPr>
        <w:spacing w:after="0" w:line="133" w:lineRule="exact"/>
        <w:rPr>
          <w:sz w:val="20"/>
          <w:szCs w:val="20"/>
          <w:color w:val="auto"/>
        </w:rPr>
      </w:pPr>
    </w:p>
    <w:p>
      <w:pPr>
        <w:sectPr>
          <w:pgSz w:w="11900" w:h="16903" w:orient="portrait"/>
          <w:cols w:equalWidth="0" w:num="2">
            <w:col w:w="568" w:space="480"/>
            <w:col w:w="9199"/>
          </w:cols>
          <w:pgMar w:left="212" w:top="411" w:right="1440" w:bottom="0" w:gutter="0" w:footer="0" w:header="0"/>
          <w:type w:val="continuous"/>
        </w:sectPr>
      </w:pPr>
    </w:p>
    <w:p>
      <w:pPr>
        <w:spacing w:after="0" w:line="5"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the Borrower proposes, as part of its "ramp up" of Fab 2 in</w:t>
      </w:r>
    </w:p>
    <w:p>
      <w:pPr>
        <w:spacing w:after="0"/>
        <w:rPr>
          <w:sz w:val="20"/>
          <w:szCs w:val="20"/>
          <w:color w:val="auto"/>
        </w:rPr>
      </w:pPr>
      <w:r>
        <w:rPr>
          <w:rFonts w:ascii="Courier New" w:cs="Courier New" w:eastAsia="Courier New" w:hAnsi="Courier New"/>
          <w:sz w:val="12"/>
          <w:szCs w:val="12"/>
          <w:color w:val="auto"/>
        </w:rPr>
        <w:t>accordance with the Project, to purchase the bulk of a tool set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of the 130 nm-90 nm technology bought by Macquarie Bank Australia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or other persons from Advanced Micro Devices Dresden fabrication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facility and/or related tools owned by Advanced Micro Devices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Dresden ("THE AMD EQUIPMENT"), or such complementary and/or other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tool sets that have substantially similar purposes, comparable</w:t>
      </w:r>
    </w:p>
    <w:p>
      <w:pPr>
        <w:spacing w:after="0"/>
        <w:rPr>
          <w:sz w:val="20"/>
          <w:szCs w:val="20"/>
          <w:color w:val="auto"/>
        </w:rPr>
      </w:pPr>
      <w:r>
        <w:rPr>
          <w:rFonts w:ascii="Courier New" w:cs="Courier New" w:eastAsia="Courier New" w:hAnsi="Courier New"/>
          <w:sz w:val="12"/>
          <w:szCs w:val="12"/>
          <w:color w:val="auto"/>
        </w:rPr>
        <w:t>economic terms and similar anticipated benefits as the AMD</w:t>
      </w:r>
    </w:p>
    <w:p>
      <w:pPr>
        <w:spacing w:after="0" w:line="237" w:lineRule="auto"/>
        <w:rPr>
          <w:sz w:val="20"/>
          <w:szCs w:val="20"/>
          <w:color w:val="auto"/>
        </w:rPr>
      </w:pPr>
      <w:r>
        <w:rPr>
          <w:rFonts w:ascii="Courier New" w:cs="Courier New" w:eastAsia="Courier New" w:hAnsi="Courier New"/>
          <w:sz w:val="12"/>
          <w:szCs w:val="12"/>
          <w:color w:val="auto"/>
        </w:rPr>
        <w:t>Equipment, all as may be approved in advance and in writing by</w:t>
      </w:r>
    </w:p>
    <w:p>
      <w:pPr>
        <w:spacing w:after="0"/>
        <w:rPr>
          <w:sz w:val="20"/>
          <w:szCs w:val="20"/>
          <w:color w:val="auto"/>
        </w:rPr>
      </w:pPr>
      <w:r>
        <w:rPr>
          <w:rFonts w:ascii="Courier New" w:cs="Courier New" w:eastAsia="Courier New" w:hAnsi="Courier New"/>
          <w:sz w:val="12"/>
          <w:szCs w:val="12"/>
          <w:color w:val="auto"/>
        </w:rPr>
        <w:t>the Banks ("THE ALTERNATE EQUIPMENT"); and</w:t>
      </w:r>
    </w:p>
    <w:p>
      <w:pPr>
        <w:spacing w:after="0" w:line="138" w:lineRule="exact"/>
        <w:rPr>
          <w:sz w:val="20"/>
          <w:szCs w:val="20"/>
          <w:color w:val="auto"/>
        </w:rPr>
      </w:pPr>
    </w:p>
    <w:p>
      <w:pPr>
        <w:sectPr>
          <w:pgSz w:w="11900" w:h="16903" w:orient="portrait"/>
          <w:cols w:equalWidth="0" w:num="2">
            <w:col w:w="568" w:space="480"/>
            <w:col w:w="9199"/>
          </w:cols>
          <w:pgMar w:left="212" w:top="411" w:right="1440" w:bottom="0" w:gutter="0" w:footer="0" w:header="0"/>
          <w:type w:val="continuous"/>
        </w:sectPr>
      </w:pPr>
    </w:p>
    <w:p>
      <w:pPr>
        <w:ind w:left="8"/>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1"/>
          <w:szCs w:val="11"/>
          <w:color w:val="auto"/>
        </w:rPr>
        <w:t>the Borrower estimates the cost of the AMD Equipment, including</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acquisition, installation, accessories, facility extension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other related tool costs, to be approximately US $100,000,000</w:t>
      </w:r>
    </w:p>
    <w:p>
      <w:pPr>
        <w:spacing w:after="0"/>
        <w:rPr>
          <w:sz w:val="20"/>
          <w:szCs w:val="20"/>
          <w:color w:val="auto"/>
        </w:rPr>
      </w:pPr>
      <w:r>
        <w:rPr>
          <w:rFonts w:ascii="Courier New" w:cs="Courier New" w:eastAsia="Courier New" w:hAnsi="Courier New"/>
          <w:sz w:val="12"/>
          <w:szCs w:val="12"/>
          <w:color w:val="auto"/>
        </w:rPr>
        <w:t>(one hundred million United States Dollars); and</w:t>
      </w:r>
    </w:p>
    <w:p>
      <w:pPr>
        <w:spacing w:after="0" w:line="200" w:lineRule="exact"/>
        <w:rPr>
          <w:sz w:val="20"/>
          <w:szCs w:val="20"/>
          <w:color w:val="auto"/>
        </w:rPr>
      </w:pPr>
    </w:p>
    <w:p>
      <w:pPr>
        <w:sectPr>
          <w:pgSz w:w="11900" w:h="16903" w:orient="portrait"/>
          <w:cols w:equalWidth="0" w:num="2">
            <w:col w:w="568" w:space="480"/>
            <w:col w:w="9199"/>
          </w:cols>
          <w:pgMar w:left="212" w:top="411" w:right="1440" w:bottom="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by consent, dated June 6, 2007, the Banks consented to the</w:t>
      </w:r>
    </w:p>
    <w:p>
      <w:pPr>
        <w:spacing w:after="0"/>
        <w:rPr>
          <w:sz w:val="20"/>
          <w:szCs w:val="20"/>
          <w:color w:val="auto"/>
        </w:rPr>
      </w:pPr>
      <w:r>
        <w:rPr>
          <w:rFonts w:ascii="Courier New" w:cs="Courier New" w:eastAsia="Courier New" w:hAnsi="Courier New"/>
          <w:sz w:val="12"/>
          <w:szCs w:val="12"/>
          <w:color w:val="auto"/>
        </w:rPr>
        <w:t>issuance by the Borrower of up to US $60,000,000 (sixty million</w:t>
      </w:r>
    </w:p>
    <w:p>
      <w:pPr>
        <w:spacing w:after="0" w:line="237" w:lineRule="auto"/>
        <w:rPr>
          <w:sz w:val="20"/>
          <w:szCs w:val="20"/>
          <w:color w:val="auto"/>
        </w:rPr>
      </w:pPr>
      <w:r>
        <w:rPr>
          <w:rFonts w:ascii="Courier New" w:cs="Courier New" w:eastAsia="Courier New" w:hAnsi="Courier New"/>
          <w:sz w:val="12"/>
          <w:szCs w:val="12"/>
          <w:color w:val="auto"/>
        </w:rPr>
        <w:t>United States Dollars) of Permitted Subordinated Debt partially</w:t>
      </w:r>
    </w:p>
    <w:p>
      <w:pPr>
        <w:spacing w:after="0"/>
        <w:rPr>
          <w:sz w:val="20"/>
          <w:szCs w:val="20"/>
          <w:color w:val="auto"/>
        </w:rPr>
      </w:pPr>
      <w:r>
        <w:rPr>
          <w:rFonts w:ascii="Courier New" w:cs="Courier New" w:eastAsia="Courier New" w:hAnsi="Courier New"/>
          <w:sz w:val="12"/>
          <w:szCs w:val="12"/>
          <w:color w:val="auto"/>
        </w:rPr>
        <w:t>to finance the purchase of the AMD Equipment, of which gross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proceeds of US $39,977,064 (thirty-nine million, nine hundred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seventy-seven thousand and sixty-four United States Dollars) were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raised on June 13, 2007; and</w:t>
      </w:r>
    </w:p>
    <w:p>
      <w:pPr>
        <w:spacing w:after="0" w:line="134" w:lineRule="exact"/>
        <w:rPr>
          <w:sz w:val="20"/>
          <w:szCs w:val="20"/>
          <w:color w:val="auto"/>
        </w:rPr>
      </w:pPr>
    </w:p>
    <w:p>
      <w:pPr>
        <w:sectPr>
          <w:pgSz w:w="11900" w:h="16903" w:orient="portrait"/>
          <w:cols w:equalWidth="0" w:num="2">
            <w:col w:w="568" w:space="480"/>
            <w:col w:w="9199"/>
          </w:cols>
          <w:pgMar w:left="212" w:top="411" w:right="1440" w:bottom="0" w:gutter="0" w:footer="0" w:header="0"/>
          <w:type w:val="continuous"/>
        </w:sectPr>
      </w:pPr>
    </w:p>
    <w:p>
      <w:pPr>
        <w:spacing w:after="0" w:line="5"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the Borrower's plan for financing the purchase of the AMD</w:t>
      </w:r>
    </w:p>
    <w:p>
      <w:pPr>
        <w:spacing w:after="0"/>
        <w:rPr>
          <w:sz w:val="20"/>
          <w:szCs w:val="20"/>
          <w:color w:val="auto"/>
        </w:rPr>
      </w:pPr>
      <w:r>
        <w:rPr>
          <w:rFonts w:ascii="Courier New" w:cs="Courier New" w:eastAsia="Courier New" w:hAnsi="Courier New"/>
          <w:sz w:val="12"/>
          <w:szCs w:val="12"/>
          <w:color w:val="auto"/>
        </w:rPr>
        <w:t>Equipment or the Alternate AMD Equipment also includes 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$30,000,000 (thirty million United States Dollars) of financing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from TIC and US $30,000,000 (thirty million United States</w:t>
      </w:r>
    </w:p>
    <w:p>
      <w:pPr>
        <w:spacing w:after="0"/>
        <w:rPr>
          <w:sz w:val="20"/>
          <w:szCs w:val="20"/>
          <w:color w:val="auto"/>
        </w:rPr>
      </w:pPr>
      <w:r>
        <w:rPr>
          <w:rFonts w:ascii="Courier New" w:cs="Courier New" w:eastAsia="Courier New" w:hAnsi="Courier New"/>
          <w:sz w:val="12"/>
          <w:szCs w:val="12"/>
          <w:color w:val="auto"/>
        </w:rPr>
        <w:t>Dollars) of bank financing; and</w:t>
      </w:r>
    </w:p>
    <w:p>
      <w:pPr>
        <w:spacing w:after="0" w:line="133" w:lineRule="exact"/>
        <w:rPr>
          <w:sz w:val="20"/>
          <w:szCs w:val="20"/>
          <w:color w:val="auto"/>
        </w:rPr>
      </w:pPr>
    </w:p>
    <w:p>
      <w:pPr>
        <w:sectPr>
          <w:pgSz w:w="11900" w:h="16903" w:orient="portrait"/>
          <w:cols w:equalWidth="0" w:num="2">
            <w:col w:w="568" w:space="480"/>
            <w:col w:w="9199"/>
          </w:cols>
          <w:pgMar w:left="212" w:top="411" w:right="1440" w:bottom="0" w:gutter="0" w:footer="0" w:header="0"/>
          <w:type w:val="continuous"/>
        </w:sectPr>
      </w:pPr>
    </w:p>
    <w:p>
      <w:pPr>
        <w:spacing w:after="0" w:line="5"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the Borrower and the Banks have agreed to amend the Facility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1"/>
          <w:szCs w:val="11"/>
          <w:color w:val="auto"/>
        </w:rPr>
        <w:t>Agreement in the manner set out below ("THIS AMENDMENT NO. 1"),</w:t>
      </w:r>
    </w:p>
    <w:p>
      <w:pPr>
        <w:spacing w:after="0" w:line="141" w:lineRule="exact"/>
        <w:rPr>
          <w:sz w:val="20"/>
          <w:szCs w:val="20"/>
          <w:color w:val="auto"/>
        </w:rPr>
      </w:pPr>
    </w:p>
    <w:p>
      <w:pPr>
        <w:sectPr>
          <w:pgSz w:w="11900" w:h="16903" w:orient="portrait"/>
          <w:cols w:equalWidth="0" w:num="2">
            <w:col w:w="568" w:space="480"/>
            <w:col w:w="9199"/>
          </w:cols>
          <w:pgMar w:left="212" w:top="411" w:right="1440" w:bottom="0" w:gutter="0" w:footer="0" w:header="0"/>
          <w:type w:val="continuous"/>
        </w:sectPr>
      </w:pPr>
    </w:p>
    <w:p>
      <w:pPr>
        <w:ind w:left="8"/>
        <w:spacing w:after="0"/>
        <w:rPr>
          <w:sz w:val="20"/>
          <w:szCs w:val="20"/>
          <w:color w:val="auto"/>
        </w:rPr>
      </w:pPr>
      <w:r>
        <w:rPr>
          <w:rFonts w:ascii="Courier New" w:cs="Courier New" w:eastAsia="Courier New" w:hAnsi="Courier New"/>
          <w:sz w:val="12"/>
          <w:szCs w:val="12"/>
          <w:color w:val="auto"/>
        </w:rPr>
        <w:t>NOW, THEREFORE, IT IS HEREBY AGREED AS FOLLOWS:</w:t>
      </w:r>
    </w:p>
    <w:p>
      <w:pPr>
        <w:spacing w:after="0" w:line="134" w:lineRule="exact"/>
        <w:rPr>
          <w:sz w:val="20"/>
          <w:szCs w:val="20"/>
          <w:color w:val="auto"/>
        </w:rPr>
      </w:pPr>
    </w:p>
    <w:p>
      <w:pPr>
        <w:ind w:left="348" w:hanging="348"/>
        <w:spacing w:after="0"/>
        <w:tabs>
          <w:tab w:leader="none" w:pos="348" w:val="left"/>
        </w:tabs>
        <w:numPr>
          <w:ilvl w:val="0"/>
          <w:numId w:val="1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INTERPRETATION</w:t>
      </w:r>
    </w:p>
    <w:p>
      <w:pPr>
        <w:spacing w:after="0" w:line="138" w:lineRule="exact"/>
        <w:rPr>
          <w:rFonts w:ascii="Courier New" w:cs="Courier New" w:eastAsia="Courier New" w:hAnsi="Courier New"/>
          <w:sz w:val="12"/>
          <w:szCs w:val="12"/>
          <w:color w:val="auto"/>
        </w:rPr>
      </w:pPr>
    </w:p>
    <w:p>
      <w:pPr>
        <w:ind w:left="708" w:right="4619" w:hanging="351"/>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1.1. Terms and expressions defined in the Facility Agreement shall have the same meanings when used in this Amendment No. 1.</w:t>
      </w:r>
    </w:p>
    <w:p>
      <w:pPr>
        <w:spacing w:after="0" w:line="139" w:lineRule="exact"/>
        <w:rPr>
          <w:rFonts w:ascii="Courier New" w:cs="Courier New" w:eastAsia="Courier New" w:hAnsi="Courier New"/>
          <w:sz w:val="12"/>
          <w:szCs w:val="12"/>
          <w:color w:val="auto"/>
        </w:rPr>
      </w:pPr>
    </w:p>
    <w:p>
      <w:pPr>
        <w:ind w:left="708" w:right="5119" w:hanging="351"/>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1.2. References herein to clauses and paragraphs, are to clauses and paragraphs of the Facility Agreement.</w:t>
      </w:r>
    </w:p>
    <w:p>
      <w:pPr>
        <w:spacing w:after="0" w:line="139" w:lineRule="exact"/>
        <w:rPr>
          <w:rFonts w:ascii="Courier New" w:cs="Courier New" w:eastAsia="Courier New" w:hAnsi="Courier New"/>
          <w:sz w:val="12"/>
          <w:szCs w:val="12"/>
          <w:color w:val="auto"/>
        </w:rPr>
      </w:pPr>
    </w:p>
    <w:p>
      <w:pPr>
        <w:ind w:left="708" w:right="4759" w:hanging="351"/>
        <w:spacing w:after="0" w:line="235"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1.3. References herein to sections, are to sections of this Amendment No. 1.</w:t>
      </w:r>
    </w:p>
    <w:p>
      <w:pPr>
        <w:spacing w:after="0" w:line="134"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w:t>
      </w:r>
    </w:p>
    <w:p>
      <w:pPr>
        <w:spacing w:after="0" w:line="138" w:lineRule="exact"/>
        <w:rPr>
          <w:rFonts w:ascii="Courier New" w:cs="Courier New" w:eastAsia="Courier New" w:hAnsi="Courier New"/>
          <w:sz w:val="12"/>
          <w:szCs w:val="12"/>
          <w:color w:val="auto"/>
        </w:rPr>
      </w:pPr>
    </w:p>
    <w:p>
      <w:pPr>
        <w:ind w:left="348" w:right="4619"/>
        <w:spacing w:after="0" w:line="262"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Subject to the fulfilment of the conditions precedent referred to in section 3 below, the Facility Agreement shall, with effect from the date upon which the Banks shall, pursuant to section 3.2 below, have confirmed in writing fulfilment of all of the conditions precedent set out in section 3 below (if fulfilled) (such date hereinafter being referred to as "THE AMENDMENT NO. 1 CLOSING DATE"), be amended in the manner set out below:</w:t>
      </w:r>
    </w:p>
    <w:p>
      <w:pPr>
        <w:spacing w:after="0" w:line="260" w:lineRule="exact"/>
        <w:rPr>
          <w:rFonts w:ascii="Courier New" w:cs="Courier New" w:eastAsia="Courier New" w:hAnsi="Courier New"/>
          <w:sz w:val="12"/>
          <w:szCs w:val="12"/>
          <w:color w:val="auto"/>
        </w:rPr>
      </w:pPr>
    </w:p>
    <w:p>
      <w:pPr>
        <w:ind w:left="2808" w:hanging="138"/>
        <w:spacing w:after="0"/>
        <w:tabs>
          <w:tab w:leader="none" w:pos="2808" w:val="left"/>
        </w:tabs>
        <w:numPr>
          <w:ilvl w:val="1"/>
          <w:numId w:val="162"/>
        </w:numPr>
        <w:rPr>
          <w:rFonts w:ascii="Courier New" w:cs="Courier New" w:eastAsia="Courier New" w:hAnsi="Courier New"/>
          <w:sz w:val="12"/>
          <w:szCs w:val="12"/>
          <w:color w:val="auto"/>
        </w:rPr>
      </w:pPr>
      <w:r>
        <w:rPr>
          <w:rFonts w:ascii="Courier New" w:cs="Courier New" w:eastAsia="Courier New" w:hAnsi="Courier New"/>
          <w:sz w:val="12"/>
          <w:szCs w:val="12"/>
          <w:color w:val="auto"/>
        </w:rPr>
        <w:t>2 -</w:t>
      </w:r>
    </w:p>
    <w:p>
      <w:pPr>
        <w:spacing w:after="0" w:line="386" w:lineRule="exact"/>
        <w:rPr>
          <w:sz w:val="20"/>
          <w:szCs w:val="20"/>
          <w:color w:val="auto"/>
        </w:rPr>
      </w:pPr>
    </w:p>
    <w:p>
      <w:pPr>
        <w:ind w:left="348"/>
        <w:spacing w:after="0"/>
        <w:rPr>
          <w:sz w:val="20"/>
          <w:szCs w:val="20"/>
          <w:color w:val="auto"/>
        </w:rPr>
      </w:pPr>
      <w:r>
        <w:rPr>
          <w:rFonts w:ascii="Courier New" w:cs="Courier New" w:eastAsia="Courier New" w:hAnsi="Courier New"/>
          <w:sz w:val="12"/>
          <w:szCs w:val="12"/>
          <w:color w:val="auto"/>
        </w:rPr>
        <w:t>2.1. Clause 1 (INTERPRETATION) shall be amended as follows:</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2.1.1. the following new definitions shall be added:</w:t>
      </w:r>
    </w:p>
    <w:p>
      <w:pPr>
        <w:spacing w:after="0" w:line="134"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2.1.1.1. as new clause 1.1.5A:</w:t>
      </w:r>
    </w:p>
    <w:p>
      <w:pPr>
        <w:spacing w:after="0" w:line="134"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"`ALTERNATE EQUIPMENT' - means such complementary and/or</w:t>
      </w:r>
    </w:p>
    <w:p>
      <w:pPr>
        <w:ind w:left="1408"/>
        <w:spacing w:after="0"/>
        <w:rPr>
          <w:sz w:val="20"/>
          <w:szCs w:val="20"/>
          <w:color w:val="auto"/>
        </w:rPr>
      </w:pPr>
      <w:r>
        <w:rPr>
          <w:rFonts w:ascii="Courier New" w:cs="Courier New" w:eastAsia="Courier New" w:hAnsi="Courier New"/>
          <w:sz w:val="12"/>
          <w:szCs w:val="12"/>
          <w:color w:val="auto"/>
        </w:rPr>
        <w:t>other tool sets that have substantially similar purposes,</w:t>
      </w:r>
    </w:p>
    <w:p>
      <w:pPr>
        <w:ind w:left="1408"/>
        <w:spacing w:after="0" w:line="237" w:lineRule="auto"/>
        <w:rPr>
          <w:sz w:val="20"/>
          <w:szCs w:val="20"/>
          <w:color w:val="auto"/>
        </w:rPr>
      </w:pPr>
      <w:r>
        <w:rPr>
          <w:rFonts w:ascii="Courier New" w:cs="Courier New" w:eastAsia="Courier New" w:hAnsi="Courier New"/>
          <w:sz w:val="12"/>
          <w:szCs w:val="12"/>
          <w:color w:val="auto"/>
        </w:rPr>
        <w:t>comparable economic terms and similar anticipated benefits</w:t>
      </w:r>
    </w:p>
    <w:p>
      <w:pPr>
        <w:ind w:left="1408"/>
        <w:spacing w:after="0"/>
        <w:rPr>
          <w:sz w:val="20"/>
          <w:szCs w:val="20"/>
          <w:color w:val="auto"/>
        </w:rPr>
      </w:pPr>
      <w:r>
        <w:rPr>
          <w:rFonts w:ascii="Courier New" w:cs="Courier New" w:eastAsia="Courier New" w:hAnsi="Courier New"/>
          <w:sz w:val="12"/>
          <w:szCs w:val="12"/>
          <w:color w:val="auto"/>
        </w:rPr>
        <w:t>as the AMD Equipment (as defined below), all as may be</w:t>
      </w:r>
    </w:p>
    <w:p>
      <w:pPr>
        <w:ind w:left="1408"/>
        <w:spacing w:after="0" w:line="237" w:lineRule="auto"/>
        <w:rPr>
          <w:sz w:val="20"/>
          <w:szCs w:val="20"/>
          <w:color w:val="auto"/>
        </w:rPr>
      </w:pPr>
      <w:r>
        <w:rPr>
          <w:rFonts w:ascii="Courier New" w:cs="Courier New" w:eastAsia="Courier New" w:hAnsi="Courier New"/>
          <w:sz w:val="12"/>
          <w:szCs w:val="12"/>
          <w:color w:val="auto"/>
        </w:rPr>
        <w:t>approved in advance and in writing by the Banks;"</w:t>
      </w:r>
    </w:p>
    <w:p>
      <w:pPr>
        <w:spacing w:after="0" w:line="134"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2.1.1.2. as new clause 1.1.5B:</w:t>
      </w:r>
    </w:p>
    <w:p>
      <w:pPr>
        <w:spacing w:after="0" w:line="139"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"`AMD EQUIPMENT' - means all or a portion of the tool set of</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the 130 nm-90 nm technology bought by Macquarie Bank</w:t>
      </w:r>
    </w:p>
    <w:p>
      <w:pPr>
        <w:ind w:left="1408"/>
        <w:spacing w:after="0"/>
        <w:rPr>
          <w:sz w:val="20"/>
          <w:szCs w:val="20"/>
          <w:color w:val="auto"/>
        </w:rPr>
      </w:pPr>
      <w:r>
        <w:rPr>
          <w:rFonts w:ascii="Courier New" w:cs="Courier New" w:eastAsia="Courier New" w:hAnsi="Courier New"/>
          <w:sz w:val="12"/>
          <w:szCs w:val="12"/>
          <w:color w:val="auto"/>
        </w:rPr>
        <w:t>Australia from the Advanced Micro Devices Dresden</w:t>
      </w:r>
    </w:p>
    <w:p>
      <w:pPr>
        <w:ind w:left="1408"/>
        <w:spacing w:after="0" w:line="237" w:lineRule="auto"/>
        <w:rPr>
          <w:sz w:val="20"/>
          <w:szCs w:val="20"/>
          <w:color w:val="auto"/>
        </w:rPr>
      </w:pPr>
      <w:r>
        <w:rPr>
          <w:rFonts w:ascii="Courier New" w:cs="Courier New" w:eastAsia="Courier New" w:hAnsi="Courier New"/>
          <w:sz w:val="12"/>
          <w:szCs w:val="12"/>
          <w:color w:val="auto"/>
        </w:rPr>
        <w:t>fabrication facility and/or bought by others, such as,</w:t>
      </w:r>
    </w:p>
    <w:p>
      <w:pPr>
        <w:spacing w:after="0" w:line="4"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original equipment manufacturers (who bought such equipment</w:t>
      </w:r>
    </w:p>
    <w:p>
      <w:pPr>
        <w:spacing w:after="0" w:line="10"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from the Advanced Micro Devices Dresden fabrication facility</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for refurbishing or upgrading and resale) and/or related</w:t>
      </w:r>
    </w:p>
    <w:p>
      <w:pPr>
        <w:spacing w:after="0" w:line="4"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tools owned by Advanced Micro Devices Dresden, in each case,</w:t>
      </w:r>
    </w:p>
    <w:p>
      <w:pPr>
        <w:spacing w:after="0" w:line="6"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for use solely in Fab 2;"</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- 3 -</w:t>
      </w:r>
    </w:p>
    <w:p>
      <w:pPr>
        <w:spacing w:after="0" w:line="38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2.1.1.3. as new clause 1.1.6A:</w:t>
      </w:r>
    </w:p>
    <w:p>
      <w:pPr>
        <w:spacing w:after="0" w:line="139" w:lineRule="exact"/>
        <w:rPr>
          <w:sz w:val="20"/>
          <w:szCs w:val="20"/>
          <w:color w:val="auto"/>
        </w:rPr>
      </w:pPr>
    </w:p>
    <w:p>
      <w:pPr>
        <w:ind w:left="1408"/>
        <w:spacing w:after="0"/>
        <w:rPr>
          <w:sz w:val="20"/>
          <w:szCs w:val="20"/>
          <w:color w:val="auto"/>
        </w:rPr>
      </w:pPr>
      <w:r>
        <w:rPr>
          <w:rFonts w:ascii="Courier New" w:cs="Courier New" w:eastAsia="Courier New" w:hAnsi="Courier New"/>
          <w:sz w:val="11"/>
          <w:szCs w:val="11"/>
          <w:color w:val="auto"/>
        </w:rPr>
        <w:t>"`AMENDMENT NO. 1 CLOSING DATE' - means September 10, 2007;"</w:t>
      </w:r>
    </w:p>
    <w:p>
      <w:pPr>
        <w:spacing w:after="0" w:line="141"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2.1.1.4. as new clause 1.1.49A:</w:t>
      </w:r>
    </w:p>
    <w:p>
      <w:pPr>
        <w:spacing w:after="0" w:line="134" w:lineRule="exact"/>
        <w:rPr>
          <w:sz w:val="20"/>
          <w:szCs w:val="20"/>
          <w:color w:val="auto"/>
        </w:rPr>
      </w:pPr>
    </w:p>
    <w:p>
      <w:pPr>
        <w:ind w:left="1408"/>
        <w:spacing w:after="0"/>
        <w:rPr>
          <w:sz w:val="20"/>
          <w:szCs w:val="20"/>
          <w:color w:val="auto"/>
        </w:rPr>
      </w:pPr>
      <w:r>
        <w:rPr>
          <w:rFonts w:ascii="Courier New" w:cs="Courier New" w:eastAsia="Courier New" w:hAnsi="Courier New"/>
          <w:sz w:val="12"/>
          <w:szCs w:val="12"/>
          <w:color w:val="auto"/>
        </w:rPr>
        <w:t>"`EQUIPMENT FACILITY' - shall bear the meaning assigned to</w:t>
      </w:r>
    </w:p>
    <w:p>
      <w:pPr>
        <w:ind w:left="1408"/>
        <w:spacing w:after="0"/>
        <w:rPr>
          <w:sz w:val="20"/>
          <w:szCs w:val="20"/>
          <w:color w:val="auto"/>
        </w:rPr>
      </w:pPr>
      <w:r>
        <w:rPr>
          <w:rFonts w:ascii="Courier New" w:cs="Courier New" w:eastAsia="Courier New" w:hAnsi="Courier New"/>
          <w:sz w:val="12"/>
          <w:szCs w:val="12"/>
          <w:color w:val="auto"/>
        </w:rPr>
        <w:t>such term in clause 1.1.115(l) below;"</w:t>
      </w:r>
    </w:p>
    <w:p>
      <w:pPr>
        <w:sectPr>
          <w:pgSz w:w="11900" w:h="16903" w:orient="portrait"/>
          <w:cols w:equalWidth="0" w:num="1">
            <w:col w:w="10247"/>
          </w:cols>
          <w:pgMar w:left="212" w:top="411" w:right="1440" w:bottom="0" w:gutter="0" w:footer="0" w:header="0"/>
          <w:type w:val="continuous"/>
        </w:sectPr>
      </w:pPr>
    </w:p>
    <w:bookmarkStart w:id="111" w:name="page112"/>
    <w:bookmarkEnd w:id="111"/>
    <w:p>
      <w:pPr>
        <w:spacing w:after="0" w:line="6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2.1.1.5. as new clause 1.1.49B:</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"`EQUIPMENT FACILITY CREDITS' - means any Equipment Loans</w:t>
      </w:r>
    </w:p>
    <w:p>
      <w:pPr>
        <w:ind w:left="700"/>
        <w:spacing w:after="0"/>
        <w:rPr>
          <w:sz w:val="20"/>
          <w:szCs w:val="20"/>
          <w:color w:val="auto"/>
        </w:rPr>
      </w:pPr>
      <w:r>
        <w:rPr>
          <w:rFonts w:ascii="Courier New" w:cs="Courier New" w:eastAsia="Courier New" w:hAnsi="Courier New"/>
          <w:sz w:val="12"/>
          <w:szCs w:val="12"/>
          <w:color w:val="auto"/>
        </w:rPr>
        <w:t>made to the Borrower pursuant to an Equipment Facility</w:t>
      </w:r>
    </w:p>
    <w:p>
      <w:pPr>
        <w:ind w:left="700"/>
        <w:spacing w:after="0" w:line="237" w:lineRule="auto"/>
        <w:rPr>
          <w:sz w:val="20"/>
          <w:szCs w:val="20"/>
          <w:color w:val="auto"/>
        </w:rPr>
      </w:pPr>
      <w:r>
        <w:rPr>
          <w:rFonts w:ascii="Courier New" w:cs="Courier New" w:eastAsia="Courier New" w:hAnsi="Courier New"/>
          <w:sz w:val="12"/>
          <w:szCs w:val="12"/>
          <w:color w:val="auto"/>
        </w:rPr>
        <w:t>and/or any Equipment L/Cs issued by an Equipment Lender in</w:t>
      </w:r>
    </w:p>
    <w:p>
      <w:pPr>
        <w:ind w:left="700"/>
        <w:spacing w:after="0"/>
        <w:rPr>
          <w:sz w:val="20"/>
          <w:szCs w:val="20"/>
          <w:color w:val="auto"/>
        </w:rPr>
      </w:pPr>
      <w:r>
        <w:rPr>
          <w:rFonts w:ascii="Courier New" w:cs="Courier New" w:eastAsia="Courier New" w:hAnsi="Courier New"/>
          <w:sz w:val="12"/>
          <w:szCs w:val="12"/>
          <w:color w:val="auto"/>
        </w:rPr>
        <w:t>lieu of all or part of the Equipment Loans or, as the</w:t>
      </w:r>
    </w:p>
    <w:p>
      <w:pPr>
        <w:ind w:left="700"/>
        <w:spacing w:after="0" w:line="237" w:lineRule="auto"/>
        <w:rPr>
          <w:sz w:val="20"/>
          <w:szCs w:val="20"/>
          <w:color w:val="auto"/>
        </w:rPr>
      </w:pPr>
      <w:r>
        <w:rPr>
          <w:rFonts w:ascii="Courier New" w:cs="Courier New" w:eastAsia="Courier New" w:hAnsi="Courier New"/>
          <w:sz w:val="12"/>
          <w:szCs w:val="12"/>
          <w:color w:val="auto"/>
        </w:rPr>
        <w:t>context requires, the principal amount of such Equipment</w:t>
      </w:r>
    </w:p>
    <w:p>
      <w:pPr>
        <w:ind w:left="700"/>
        <w:spacing w:after="0"/>
        <w:rPr>
          <w:sz w:val="20"/>
          <w:szCs w:val="20"/>
          <w:color w:val="auto"/>
        </w:rPr>
      </w:pPr>
      <w:r>
        <w:rPr>
          <w:rFonts w:ascii="Courier New" w:cs="Courier New" w:eastAsia="Courier New" w:hAnsi="Courier New"/>
          <w:sz w:val="12"/>
          <w:szCs w:val="12"/>
          <w:color w:val="auto"/>
        </w:rPr>
        <w:t>Loans at such relevant time and the Maximum Drawing Amount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of such Equipment L/Cs at such relevant time; provided that,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maximum aggregate amount of all Equipment Facility</w:t>
      </w:r>
    </w:p>
    <w:p>
      <w:pPr>
        <w:ind w:left="700"/>
        <w:spacing w:after="0"/>
        <w:rPr>
          <w:sz w:val="20"/>
          <w:szCs w:val="20"/>
          <w:color w:val="auto"/>
        </w:rPr>
      </w:pPr>
      <w:r>
        <w:rPr>
          <w:rFonts w:ascii="Courier New" w:cs="Courier New" w:eastAsia="Courier New" w:hAnsi="Courier New"/>
          <w:sz w:val="12"/>
          <w:szCs w:val="12"/>
          <w:color w:val="auto"/>
        </w:rPr>
        <w:t>Credits shall not exceed US $30,000,000 (thirty million</w:t>
      </w:r>
    </w:p>
    <w:p>
      <w:pPr>
        <w:ind w:left="700"/>
        <w:spacing w:after="0" w:line="237" w:lineRule="auto"/>
        <w:rPr>
          <w:sz w:val="20"/>
          <w:szCs w:val="20"/>
          <w:color w:val="auto"/>
        </w:rPr>
      </w:pPr>
      <w:r>
        <w:rPr>
          <w:rFonts w:ascii="Courier New" w:cs="Courier New" w:eastAsia="Courier New" w:hAnsi="Courier New"/>
          <w:sz w:val="12"/>
          <w:szCs w:val="12"/>
          <w:color w:val="auto"/>
        </w:rPr>
        <w:t>United States Dollars);"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2.1.1.6. as new clause 1.1.49C:</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"`EQUIPMENT L/CS' - shall bear the meaning assigned to such</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term in clause 1.1.115(j) below;"</w:t>
      </w:r>
    </w:p>
    <w:p>
      <w:pPr>
        <w:spacing w:after="0" w:line="269"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- 4 -</w:t>
      </w:r>
    </w:p>
    <w:p>
      <w:pPr>
        <w:spacing w:after="0" w:line="251"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2.1.1.7. as new clause 1.1.49D:</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"`EQUIPMENT LENDER' - means an Israeli bank or banks (which</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need not be the Banks) that provides an Equipment Facility</w:t>
      </w:r>
    </w:p>
    <w:p>
      <w:pPr>
        <w:ind w:left="700"/>
        <w:spacing w:after="0"/>
        <w:rPr>
          <w:sz w:val="20"/>
          <w:szCs w:val="20"/>
          <w:color w:val="auto"/>
        </w:rPr>
      </w:pPr>
      <w:r>
        <w:rPr>
          <w:rFonts w:ascii="Courier New" w:cs="Courier New" w:eastAsia="Courier New" w:hAnsi="Courier New"/>
          <w:sz w:val="12"/>
          <w:szCs w:val="12"/>
          <w:color w:val="auto"/>
        </w:rPr>
        <w:t>to the Borrower;"</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2.1.1.8. as new clause 1.1.49E:</w:t>
      </w:r>
    </w:p>
    <w:p>
      <w:pPr>
        <w:spacing w:after="0" w:line="139"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"`EQUIPMENT LOANS' - means those parts of Equipment Facility</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Credits consisting of any advance or loan or, as the context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defines, the principal amount of such advance or loan</w:t>
      </w:r>
    </w:p>
    <w:p>
      <w:pPr>
        <w:ind w:left="700"/>
        <w:spacing w:after="0"/>
        <w:rPr>
          <w:sz w:val="20"/>
          <w:szCs w:val="20"/>
          <w:color w:val="auto"/>
        </w:rPr>
      </w:pPr>
      <w:r>
        <w:rPr>
          <w:rFonts w:ascii="Courier New" w:cs="Courier New" w:eastAsia="Courier New" w:hAnsi="Courier New"/>
          <w:sz w:val="12"/>
          <w:szCs w:val="12"/>
          <w:color w:val="auto"/>
        </w:rPr>
        <w:t>outstanding at such relevant time;"</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2.1.1.9. as new clause 1.1.49F:</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"`EQUIPMENT SELLER' - means a seller of AMD Equipment or a</w:t>
      </w:r>
    </w:p>
    <w:p>
      <w:pPr>
        <w:ind w:left="700"/>
        <w:spacing w:after="0"/>
        <w:rPr>
          <w:sz w:val="20"/>
          <w:szCs w:val="20"/>
          <w:color w:val="auto"/>
        </w:rPr>
      </w:pPr>
      <w:r>
        <w:rPr>
          <w:rFonts w:ascii="Courier New" w:cs="Courier New" w:eastAsia="Courier New" w:hAnsi="Courier New"/>
          <w:sz w:val="12"/>
          <w:szCs w:val="12"/>
          <w:color w:val="auto"/>
        </w:rPr>
        <w:t>seller of the Alternate Equipment as may be approved in</w:t>
      </w:r>
    </w:p>
    <w:p>
      <w:pPr>
        <w:ind w:left="700"/>
        <w:spacing w:after="0" w:line="237" w:lineRule="auto"/>
        <w:rPr>
          <w:sz w:val="20"/>
          <w:szCs w:val="20"/>
          <w:color w:val="auto"/>
        </w:rPr>
      </w:pPr>
      <w:r>
        <w:rPr>
          <w:rFonts w:ascii="Courier New" w:cs="Courier New" w:eastAsia="Courier New" w:hAnsi="Courier New"/>
          <w:sz w:val="12"/>
          <w:szCs w:val="12"/>
          <w:color w:val="auto"/>
        </w:rPr>
        <w:t>advance and in writing by the Banks;"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2.1.1.10. as new clause 1.1.103:</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"`MAXIMUM DRAWING AMOUNT' - means, in respect of any L/C</w:t>
      </w:r>
    </w:p>
    <w:p>
      <w:pPr>
        <w:ind w:left="700"/>
        <w:spacing w:after="0"/>
        <w:rPr>
          <w:sz w:val="20"/>
          <w:szCs w:val="20"/>
          <w:color w:val="auto"/>
        </w:rPr>
      </w:pPr>
      <w:r>
        <w:rPr>
          <w:rFonts w:ascii="Courier New" w:cs="Courier New" w:eastAsia="Courier New" w:hAnsi="Courier New"/>
          <w:sz w:val="12"/>
          <w:szCs w:val="12"/>
          <w:color w:val="auto"/>
        </w:rPr>
        <w:t>(including an Equipment L/C) at any time, the maximum</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aggregate amount that the beneficiary of such L/C may at any</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time draw thereunder, as such aggregate amount may be</w:t>
      </w:r>
    </w:p>
    <w:p>
      <w:pPr>
        <w:ind w:left="700"/>
        <w:spacing w:after="0"/>
        <w:rPr>
          <w:sz w:val="20"/>
          <w:szCs w:val="20"/>
          <w:color w:val="auto"/>
        </w:rPr>
      </w:pPr>
      <w:r>
        <w:rPr>
          <w:rFonts w:ascii="Courier New" w:cs="Courier New" w:eastAsia="Courier New" w:hAnsi="Courier New"/>
          <w:sz w:val="12"/>
          <w:szCs w:val="12"/>
          <w:color w:val="auto"/>
        </w:rPr>
        <w:t>reduced from time to time pursuant to the terms of such</w:t>
      </w:r>
    </w:p>
    <w:p>
      <w:pPr>
        <w:ind w:left="700"/>
        <w:spacing w:after="0" w:line="237" w:lineRule="auto"/>
        <w:rPr>
          <w:sz w:val="20"/>
          <w:szCs w:val="20"/>
          <w:color w:val="auto"/>
        </w:rPr>
      </w:pPr>
      <w:r>
        <w:rPr>
          <w:rFonts w:ascii="Courier New" w:cs="Courier New" w:eastAsia="Courier New" w:hAnsi="Courier New"/>
          <w:sz w:val="12"/>
          <w:szCs w:val="12"/>
          <w:color w:val="auto"/>
        </w:rPr>
        <w:t>L/C;"</w:t>
      </w:r>
    </w:p>
    <w:p>
      <w:pPr>
        <w:spacing w:after="0" w:line="269"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- 5 -</w:t>
      </w:r>
    </w:p>
    <w:p>
      <w:pPr>
        <w:spacing w:after="0" w:line="38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2.1.1.11. as new clause 1.1.126A:</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"`RAMP-UP EQUIPMENT' - shall mean the AMD Equipment, or if</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the AMD Equipment is not being acquired by the Borrower,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Alternate Equipment;"</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2.1.2. clause 1.1.18 ("CHANGE OF OWNERSHIP") shall be amended by</w:t>
      </w:r>
    </w:p>
    <w:p>
      <w:pPr>
        <w:ind w:left="340"/>
        <w:spacing w:after="0"/>
        <w:rPr>
          <w:sz w:val="20"/>
          <w:szCs w:val="20"/>
          <w:color w:val="auto"/>
        </w:rPr>
      </w:pPr>
      <w:r>
        <w:rPr>
          <w:rFonts w:ascii="Courier New" w:cs="Courier New" w:eastAsia="Courier New" w:hAnsi="Courier New"/>
          <w:sz w:val="12"/>
          <w:szCs w:val="12"/>
          <w:color w:val="auto"/>
        </w:rPr>
        <w:t>adding in paragraph (b) thereof, after the word "Loans", the</w:t>
      </w:r>
    </w:p>
    <w:p>
      <w:pPr>
        <w:ind w:left="340"/>
        <w:spacing w:after="0" w:line="237" w:lineRule="auto"/>
        <w:rPr>
          <w:sz w:val="20"/>
          <w:szCs w:val="20"/>
          <w:color w:val="auto"/>
        </w:rPr>
      </w:pPr>
      <w:r>
        <w:rPr>
          <w:rFonts w:ascii="Courier New" w:cs="Courier New" w:eastAsia="Courier New" w:hAnsi="Courier New"/>
          <w:sz w:val="12"/>
          <w:szCs w:val="12"/>
          <w:color w:val="auto"/>
        </w:rPr>
        <w:t>following:</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shall have repaid to the Banks in accordance with any</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Finance Document, including any Equipment Facility provided</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severally by any or both Banks to the Borrower, at least 50%</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(fifty percent) of the credits made available pursuant to</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such Finance Documents, including Equipment Facility Credits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that may be provided by a Bank pursuant to an Equipment</w:t>
      </w:r>
    </w:p>
    <w:p>
      <w:pPr>
        <w:ind w:left="700"/>
        <w:spacing w:after="0"/>
        <w:rPr>
          <w:sz w:val="20"/>
          <w:szCs w:val="20"/>
          <w:color w:val="auto"/>
        </w:rPr>
      </w:pPr>
      <w:r>
        <w:rPr>
          <w:rFonts w:ascii="Courier New" w:cs="Courier New" w:eastAsia="Courier New" w:hAnsi="Courier New"/>
          <w:sz w:val="12"/>
          <w:szCs w:val="12"/>
          <w:color w:val="auto"/>
        </w:rPr>
        <w:t>Facility;"</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2.1.3. clause 1.1.37 ("DEBT SERVICE") shall be amended as follows:</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2.1.3.1. paragraph (a) thereof shall be amended to delete the</w:t>
      </w:r>
    </w:p>
    <w:p>
      <w:pPr>
        <w:ind w:left="700"/>
        <w:spacing w:after="0"/>
        <w:rPr>
          <w:sz w:val="20"/>
          <w:szCs w:val="20"/>
          <w:color w:val="auto"/>
        </w:rPr>
      </w:pPr>
      <w:r>
        <w:rPr>
          <w:rFonts w:ascii="Courier New" w:cs="Courier New" w:eastAsia="Courier New" w:hAnsi="Courier New"/>
          <w:sz w:val="12"/>
          <w:szCs w:val="12"/>
          <w:color w:val="auto"/>
        </w:rPr>
        <w:t>words "and 1.1.115(f)" and substitute therefor, ",</w:t>
      </w:r>
    </w:p>
    <w:p>
      <w:pPr>
        <w:ind w:left="700"/>
        <w:spacing w:after="0" w:line="237" w:lineRule="auto"/>
        <w:rPr>
          <w:sz w:val="20"/>
          <w:szCs w:val="20"/>
          <w:color w:val="auto"/>
        </w:rPr>
      </w:pPr>
      <w:r>
        <w:rPr>
          <w:rFonts w:ascii="Courier New" w:cs="Courier New" w:eastAsia="Courier New" w:hAnsi="Courier New"/>
          <w:sz w:val="12"/>
          <w:szCs w:val="12"/>
          <w:color w:val="auto"/>
        </w:rPr>
        <w:t>1.1.115(f) and 1.1.115(l)"; and</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2.1.3.2. paragraph (c) thereof shall be amended to delete the</w:t>
      </w:r>
    </w:p>
    <w:p>
      <w:pPr>
        <w:ind w:left="700"/>
        <w:spacing w:after="0"/>
        <w:rPr>
          <w:sz w:val="20"/>
          <w:szCs w:val="20"/>
          <w:color w:val="auto"/>
        </w:rPr>
      </w:pPr>
      <w:r>
        <w:rPr>
          <w:rFonts w:ascii="Courier New" w:cs="Courier New" w:eastAsia="Courier New" w:hAnsi="Courier New"/>
          <w:sz w:val="12"/>
          <w:szCs w:val="12"/>
          <w:color w:val="auto"/>
        </w:rPr>
        <w:t>words "and 1.1.115(d)" and substitute therefor, ",</w:t>
      </w:r>
    </w:p>
    <w:p>
      <w:pPr>
        <w:ind w:left="700"/>
        <w:spacing w:after="0" w:line="237" w:lineRule="auto"/>
        <w:rPr>
          <w:sz w:val="20"/>
          <w:szCs w:val="20"/>
          <w:color w:val="auto"/>
        </w:rPr>
      </w:pPr>
      <w:r>
        <w:rPr>
          <w:rFonts w:ascii="Courier New" w:cs="Courier New" w:eastAsia="Courier New" w:hAnsi="Courier New"/>
          <w:sz w:val="12"/>
          <w:szCs w:val="12"/>
          <w:color w:val="auto"/>
        </w:rPr>
        <w:t>1.1.115(d) and 1.1.115(l)";</w:t>
      </w:r>
    </w:p>
    <w:p>
      <w:pPr>
        <w:spacing w:after="0" w:line="139" w:lineRule="exact"/>
        <w:rPr>
          <w:sz w:val="20"/>
          <w:szCs w:val="20"/>
          <w:color w:val="auto"/>
        </w:rPr>
      </w:pPr>
    </w:p>
    <w:p>
      <w:pPr>
        <w:ind w:left="340" w:right="4699" w:hanging="350"/>
        <w:spacing w:after="0" w:line="237" w:lineRule="auto"/>
        <w:rPr>
          <w:sz w:val="20"/>
          <w:szCs w:val="20"/>
          <w:color w:val="auto"/>
        </w:rPr>
      </w:pPr>
      <w:r>
        <w:rPr>
          <w:rFonts w:ascii="Courier New" w:cs="Courier New" w:eastAsia="Courier New" w:hAnsi="Courier New"/>
          <w:sz w:val="12"/>
          <w:szCs w:val="12"/>
          <w:color w:val="auto"/>
        </w:rPr>
        <w:t>2.1.4. clause 1.1.40 ("DISTRIBUTIONS") shall be amended to delete the words "convertible securities" and substitute "Permitted Subordinated Debt (save to the extent permitted under the approved terms thereof in accordance with clause 1.1.118 below)" therefor;</w:t>
      </w:r>
    </w:p>
    <w:p>
      <w:pPr>
        <w:spacing w:after="0" w:line="270"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- 6 -</w:t>
      </w:r>
    </w:p>
    <w:p>
      <w:pPr>
        <w:spacing w:after="0" w:line="391" w:lineRule="exact"/>
        <w:rPr>
          <w:sz w:val="20"/>
          <w:szCs w:val="20"/>
          <w:color w:val="auto"/>
        </w:rPr>
      </w:pPr>
    </w:p>
    <w:p>
      <w:pPr>
        <w:ind w:left="340" w:right="4759" w:hanging="350"/>
        <w:spacing w:after="0" w:line="235" w:lineRule="auto"/>
        <w:rPr>
          <w:sz w:val="20"/>
          <w:szCs w:val="20"/>
          <w:color w:val="auto"/>
        </w:rPr>
      </w:pPr>
      <w:r>
        <w:rPr>
          <w:rFonts w:ascii="Courier New" w:cs="Courier New" w:eastAsia="Courier New" w:hAnsi="Courier New"/>
          <w:sz w:val="12"/>
          <w:szCs w:val="12"/>
          <w:color w:val="auto"/>
        </w:rPr>
        <w:t>2.1.5. clause 1.1.60 ("FINAL MATURITY DATE") shall be amended to add the words:</w:t>
      </w:r>
    </w:p>
    <w:p>
      <w:pPr>
        <w:spacing w:after="0" w:line="135"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"or March 31, 2012, if the option set forth in clause 6.1</w:t>
      </w:r>
    </w:p>
    <w:p>
      <w:pPr>
        <w:ind w:left="700"/>
        <w:spacing w:after="0"/>
        <w:rPr>
          <w:sz w:val="20"/>
          <w:szCs w:val="20"/>
          <w:color w:val="auto"/>
        </w:rPr>
      </w:pPr>
      <w:r>
        <w:rPr>
          <w:rFonts w:ascii="Courier New" w:cs="Courier New" w:eastAsia="Courier New" w:hAnsi="Courier New"/>
          <w:sz w:val="12"/>
          <w:szCs w:val="12"/>
          <w:color w:val="auto"/>
        </w:rPr>
        <w:t>below is exercised by the Banks;"</w:t>
      </w:r>
    </w:p>
    <w:p>
      <w:pPr>
        <w:spacing w:after="0" w:line="138" w:lineRule="exact"/>
        <w:rPr>
          <w:sz w:val="20"/>
          <w:szCs w:val="20"/>
          <w:color w:val="auto"/>
        </w:rPr>
      </w:pPr>
    </w:p>
    <w:p>
      <w:pPr>
        <w:ind w:left="340" w:right="4759" w:hanging="350"/>
        <w:spacing w:after="0" w:line="235" w:lineRule="auto"/>
        <w:rPr>
          <w:sz w:val="20"/>
          <w:szCs w:val="20"/>
          <w:color w:val="auto"/>
        </w:rPr>
      </w:pPr>
      <w:r>
        <w:rPr>
          <w:rFonts w:ascii="Courier New" w:cs="Courier New" w:eastAsia="Courier New" w:hAnsi="Courier New"/>
          <w:sz w:val="12"/>
          <w:szCs w:val="12"/>
          <w:color w:val="auto"/>
        </w:rPr>
        <w:t>2.1.6. clause 1.1.114 ("PERMITTED ENCUMBRANCES") shall be amended to add the following:</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"(e) a first-ranking fixed charge over the Ramp-Up Equipment that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may be granted by the Borrower in favour of the Equipment</w:t>
      </w:r>
    </w:p>
    <w:p>
      <w:pPr>
        <w:ind w:left="700"/>
        <w:spacing w:after="0"/>
        <w:rPr>
          <w:sz w:val="20"/>
          <w:szCs w:val="20"/>
          <w:color w:val="auto"/>
        </w:rPr>
      </w:pPr>
      <w:r>
        <w:rPr>
          <w:rFonts w:ascii="Courier New" w:cs="Courier New" w:eastAsia="Courier New" w:hAnsi="Courier New"/>
          <w:sz w:val="12"/>
          <w:szCs w:val="12"/>
          <w:color w:val="auto"/>
        </w:rPr>
        <w:t>Lender solely to secure Permitted Financial Indebtedness</w:t>
      </w:r>
    </w:p>
    <w:p>
      <w:pPr>
        <w:ind w:left="700"/>
        <w:spacing w:after="0" w:line="237" w:lineRule="auto"/>
        <w:rPr>
          <w:sz w:val="20"/>
          <w:szCs w:val="20"/>
          <w:color w:val="auto"/>
        </w:rPr>
      </w:pPr>
      <w:r>
        <w:rPr>
          <w:rFonts w:ascii="Courier New" w:cs="Courier New" w:eastAsia="Courier New" w:hAnsi="Courier New"/>
          <w:sz w:val="12"/>
          <w:szCs w:val="12"/>
          <w:color w:val="auto"/>
        </w:rPr>
        <w:t>described in clause 1.1.115(l) below; provided that, the</w:t>
      </w:r>
    </w:p>
    <w:p>
      <w:pPr>
        <w:ind w:left="700"/>
        <w:spacing w:after="0"/>
        <w:rPr>
          <w:sz w:val="20"/>
          <w:szCs w:val="20"/>
          <w:color w:val="auto"/>
        </w:rPr>
      </w:pPr>
      <w:r>
        <w:rPr>
          <w:rFonts w:ascii="Courier New" w:cs="Courier New" w:eastAsia="Courier New" w:hAnsi="Courier New"/>
          <w:sz w:val="12"/>
          <w:szCs w:val="12"/>
          <w:color w:val="auto"/>
        </w:rPr>
        <w:t>Ramp-Up Equipment is duly pledged to the Banks by way of</w:t>
      </w:r>
    </w:p>
    <w:p>
      <w:pPr>
        <w:ind w:left="700"/>
        <w:spacing w:after="0" w:line="237" w:lineRule="auto"/>
        <w:rPr>
          <w:sz w:val="20"/>
          <w:szCs w:val="20"/>
          <w:color w:val="auto"/>
        </w:rPr>
      </w:pPr>
      <w:r>
        <w:rPr>
          <w:rFonts w:ascii="Courier New" w:cs="Courier New" w:eastAsia="Courier New" w:hAnsi="Courier New"/>
          <w:sz w:val="12"/>
          <w:szCs w:val="12"/>
          <w:color w:val="auto"/>
        </w:rPr>
        <w:t>fixed charge (subordinate only to the first-ranking fixed</w:t>
      </w:r>
    </w:p>
    <w:p>
      <w:pPr>
        <w:ind w:left="700"/>
        <w:spacing w:after="0"/>
        <w:rPr>
          <w:sz w:val="20"/>
          <w:szCs w:val="20"/>
          <w:color w:val="auto"/>
        </w:rPr>
      </w:pPr>
      <w:r>
        <w:rPr>
          <w:rFonts w:ascii="Courier New" w:cs="Courier New" w:eastAsia="Courier New" w:hAnsi="Courier New"/>
          <w:sz w:val="12"/>
          <w:szCs w:val="12"/>
          <w:color w:val="auto"/>
        </w:rPr>
        <w:t>charge to be granted to secure said Permitted Financial</w:t>
      </w:r>
    </w:p>
    <w:p>
      <w:pPr>
        <w:ind w:left="700"/>
        <w:spacing w:after="0" w:line="237" w:lineRule="auto"/>
        <w:rPr>
          <w:sz w:val="20"/>
          <w:szCs w:val="20"/>
          <w:color w:val="auto"/>
        </w:rPr>
      </w:pPr>
      <w:r>
        <w:rPr>
          <w:rFonts w:ascii="Courier New" w:cs="Courier New" w:eastAsia="Courier New" w:hAnsi="Courier New"/>
          <w:sz w:val="12"/>
          <w:szCs w:val="12"/>
          <w:color w:val="auto"/>
        </w:rPr>
        <w:t>Indebtedness) under, and by way of supplement to, the</w:t>
      </w:r>
    </w:p>
    <w:p>
      <w:pPr>
        <w:ind w:left="700"/>
        <w:spacing w:after="0"/>
        <w:rPr>
          <w:sz w:val="20"/>
          <w:szCs w:val="20"/>
          <w:color w:val="auto"/>
        </w:rPr>
      </w:pPr>
      <w:r>
        <w:rPr>
          <w:rFonts w:ascii="Courier New" w:cs="Courier New" w:eastAsia="Courier New" w:hAnsi="Courier New"/>
          <w:sz w:val="12"/>
          <w:szCs w:val="12"/>
          <w:color w:val="auto"/>
        </w:rPr>
        <w:t>Debenture and otherwise perfected in accordance with its</w:t>
      </w:r>
    </w:p>
    <w:p>
      <w:pPr>
        <w:ind w:left="700"/>
        <w:spacing w:after="0" w:line="237" w:lineRule="auto"/>
        <w:rPr>
          <w:sz w:val="20"/>
          <w:szCs w:val="20"/>
          <w:color w:val="auto"/>
        </w:rPr>
      </w:pPr>
      <w:r>
        <w:rPr>
          <w:rFonts w:ascii="Courier New" w:cs="Courier New" w:eastAsia="Courier New" w:hAnsi="Courier New"/>
          <w:sz w:val="12"/>
          <w:szCs w:val="12"/>
          <w:color w:val="auto"/>
        </w:rPr>
        <w:t>terms. For the avoidance of doubt, in the event that the</w:t>
      </w:r>
    </w:p>
    <w:p>
      <w:pPr>
        <w:ind w:left="700"/>
        <w:spacing w:after="0"/>
        <w:rPr>
          <w:sz w:val="20"/>
          <w:szCs w:val="20"/>
          <w:color w:val="auto"/>
        </w:rPr>
      </w:pPr>
      <w:r>
        <w:rPr>
          <w:rFonts w:ascii="Courier New" w:cs="Courier New" w:eastAsia="Courier New" w:hAnsi="Courier New"/>
          <w:sz w:val="12"/>
          <w:szCs w:val="12"/>
          <w:color w:val="auto"/>
        </w:rPr>
        <w:t>only Equipment Lenders providing the Permitted Financial</w:t>
      </w:r>
    </w:p>
    <w:p>
      <w:pPr>
        <w:ind w:left="700"/>
        <w:spacing w:after="0" w:line="237" w:lineRule="auto"/>
        <w:rPr>
          <w:sz w:val="20"/>
          <w:szCs w:val="20"/>
          <w:color w:val="auto"/>
        </w:rPr>
      </w:pPr>
      <w:r>
        <w:rPr>
          <w:rFonts w:ascii="Courier New" w:cs="Courier New" w:eastAsia="Courier New" w:hAnsi="Courier New"/>
          <w:sz w:val="12"/>
          <w:szCs w:val="12"/>
          <w:color w:val="auto"/>
        </w:rPr>
        <w:t>Indebtedness described in clause 1.1.115(l) below are the</w:t>
      </w:r>
    </w:p>
    <w:p>
      <w:pPr>
        <w:ind w:left="700"/>
        <w:spacing w:after="0"/>
        <w:rPr>
          <w:sz w:val="20"/>
          <w:szCs w:val="20"/>
          <w:color w:val="auto"/>
        </w:rPr>
      </w:pPr>
      <w:r>
        <w:rPr>
          <w:rFonts w:ascii="Courier New" w:cs="Courier New" w:eastAsia="Courier New" w:hAnsi="Courier New"/>
          <w:sz w:val="12"/>
          <w:szCs w:val="12"/>
          <w:color w:val="auto"/>
        </w:rPr>
        <w:t>Banks, such Permitted Financial Indebtedness shall be</w:t>
      </w:r>
    </w:p>
    <w:p>
      <w:pPr>
        <w:ind w:left="700"/>
        <w:spacing w:after="0" w:line="237" w:lineRule="auto"/>
        <w:rPr>
          <w:sz w:val="20"/>
          <w:szCs w:val="20"/>
          <w:color w:val="auto"/>
        </w:rPr>
      </w:pPr>
      <w:r>
        <w:rPr>
          <w:rFonts w:ascii="Courier New" w:cs="Courier New" w:eastAsia="Courier New" w:hAnsi="Courier New"/>
          <w:sz w:val="12"/>
          <w:szCs w:val="12"/>
          <w:color w:val="auto"/>
        </w:rPr>
        <w:t>secured by a first-ranking fixed charge over the Ramp-Up</w:t>
      </w:r>
    </w:p>
    <w:p>
      <w:pPr>
        <w:ind w:left="700"/>
        <w:spacing w:after="0"/>
        <w:rPr>
          <w:sz w:val="20"/>
          <w:szCs w:val="20"/>
          <w:color w:val="auto"/>
        </w:rPr>
      </w:pPr>
      <w:r>
        <w:rPr>
          <w:rFonts w:ascii="Courier New" w:cs="Courier New" w:eastAsia="Courier New" w:hAnsi="Courier New"/>
          <w:sz w:val="12"/>
          <w:szCs w:val="12"/>
          <w:color w:val="auto"/>
        </w:rPr>
        <w:t>Equipment in favour of the Banks under, and by way of</w:t>
      </w:r>
    </w:p>
    <w:p>
      <w:pPr>
        <w:ind w:left="700"/>
        <w:spacing w:after="0" w:line="237" w:lineRule="auto"/>
        <w:rPr>
          <w:sz w:val="20"/>
          <w:szCs w:val="20"/>
          <w:color w:val="auto"/>
        </w:rPr>
      </w:pPr>
      <w:r>
        <w:rPr>
          <w:rFonts w:ascii="Courier New" w:cs="Courier New" w:eastAsia="Courier New" w:hAnsi="Courier New"/>
          <w:sz w:val="12"/>
          <w:szCs w:val="12"/>
          <w:color w:val="auto"/>
        </w:rPr>
        <w:t>supplement to, the Debenture and otherwise perfected in</w:t>
      </w:r>
    </w:p>
    <w:p>
      <w:pPr>
        <w:ind w:left="700"/>
        <w:spacing w:after="0"/>
        <w:rPr>
          <w:sz w:val="20"/>
          <w:szCs w:val="20"/>
          <w:color w:val="auto"/>
        </w:rPr>
      </w:pPr>
      <w:r>
        <w:rPr>
          <w:rFonts w:ascii="Courier New" w:cs="Courier New" w:eastAsia="Courier New" w:hAnsi="Courier New"/>
          <w:sz w:val="12"/>
          <w:szCs w:val="12"/>
          <w:color w:val="auto"/>
        </w:rPr>
        <w:t>accordance with its terms;"</w:t>
      </w:r>
    </w:p>
    <w:p>
      <w:pPr>
        <w:sectPr>
          <w:pgSz w:w="11900" w:h="16902" w:orient="portrait"/>
          <w:cols w:equalWidth="0" w:num="1">
            <w:col w:w="9539"/>
          </w:cols>
          <w:pgMar w:left="920" w:top="272" w:right="1440" w:bottom="0" w:gutter="0" w:footer="0" w:header="0"/>
        </w:sectPr>
      </w:pPr>
    </w:p>
    <w:bookmarkStart w:id="112" w:name="page113"/>
    <w:bookmarkEnd w:id="112"/>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2.1.7. clause 1.1.115 ("PERMITTED FINANCIAL INDEBTEDNESS") shall be</w:t>
      </w:r>
    </w:p>
    <w:p>
      <w:pPr>
        <w:ind w:left="340"/>
        <w:spacing w:after="0"/>
        <w:rPr>
          <w:sz w:val="20"/>
          <w:szCs w:val="20"/>
          <w:color w:val="auto"/>
        </w:rPr>
      </w:pPr>
      <w:r>
        <w:rPr>
          <w:rFonts w:ascii="Courier New" w:cs="Courier New" w:eastAsia="Courier New" w:hAnsi="Courier New"/>
          <w:sz w:val="12"/>
          <w:szCs w:val="12"/>
          <w:color w:val="auto"/>
        </w:rPr>
        <w:t>amended to:</w:t>
      </w:r>
    </w:p>
    <w:p>
      <w:pPr>
        <w:spacing w:after="0" w:line="133"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2.1.7.1. delete in paragraph (j) thereof the words "all such</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L/Cs" and substitute therefor, "L/Cs that are not Equipment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L/Cs";</w:t>
      </w:r>
    </w:p>
    <w:p>
      <w:pPr>
        <w:spacing w:after="0" w:line="139" w:lineRule="exact"/>
        <w:rPr>
          <w:sz w:val="20"/>
          <w:szCs w:val="20"/>
          <w:color w:val="auto"/>
        </w:rPr>
      </w:pPr>
    </w:p>
    <w:p>
      <w:pPr>
        <w:ind w:left="340"/>
        <w:spacing w:after="0"/>
        <w:rPr>
          <w:sz w:val="20"/>
          <w:szCs w:val="20"/>
          <w:color w:val="auto"/>
        </w:rPr>
      </w:pPr>
      <w:r>
        <w:rPr>
          <w:rFonts w:ascii="Courier New" w:cs="Courier New" w:eastAsia="Courier New" w:hAnsi="Courier New"/>
          <w:sz w:val="11"/>
          <w:szCs w:val="11"/>
          <w:color w:val="auto"/>
        </w:rPr>
        <w:t>2.1.7.2. add the following sentence to the end of paragraph (j):</w:t>
      </w:r>
    </w:p>
    <w:p>
      <w:pPr>
        <w:spacing w:after="0" w:line="141"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aggregate Indebtedness in respect of L/C's issued in</w:t>
      </w:r>
    </w:p>
    <w:p>
      <w:pPr>
        <w:ind w:left="700"/>
        <w:spacing w:after="0"/>
        <w:rPr>
          <w:sz w:val="20"/>
          <w:szCs w:val="20"/>
          <w:color w:val="auto"/>
        </w:rPr>
      </w:pPr>
      <w:r>
        <w:rPr>
          <w:rFonts w:ascii="Courier New" w:cs="Courier New" w:eastAsia="Courier New" w:hAnsi="Courier New"/>
          <w:sz w:val="12"/>
          <w:szCs w:val="12"/>
          <w:color w:val="auto"/>
        </w:rPr>
        <w:t>favour of the Equipment Seller to acquire the Ramp-Up</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Equipment pursuant to the Equipment Facility ("THE EQUIPMENT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L/CS") together with the aggregate of all other Equipment</w:t>
      </w:r>
    </w:p>
    <w:p>
      <w:pPr>
        <w:ind w:left="700"/>
        <w:spacing w:after="0"/>
        <w:rPr>
          <w:sz w:val="20"/>
          <w:szCs w:val="20"/>
          <w:color w:val="auto"/>
        </w:rPr>
      </w:pPr>
      <w:r>
        <w:rPr>
          <w:rFonts w:ascii="Courier New" w:cs="Courier New" w:eastAsia="Courier New" w:hAnsi="Courier New"/>
          <w:sz w:val="12"/>
          <w:szCs w:val="12"/>
          <w:color w:val="auto"/>
        </w:rPr>
        <w:t>Facility Credits, shall not exceed US $30,000,000 (thirty</w:t>
      </w:r>
    </w:p>
    <w:p>
      <w:pPr>
        <w:ind w:left="700"/>
        <w:spacing w:after="0" w:line="237" w:lineRule="auto"/>
        <w:rPr>
          <w:sz w:val="20"/>
          <w:szCs w:val="20"/>
          <w:color w:val="auto"/>
        </w:rPr>
      </w:pPr>
      <w:r>
        <w:rPr>
          <w:rFonts w:ascii="Courier New" w:cs="Courier New" w:eastAsia="Courier New" w:hAnsi="Courier New"/>
          <w:sz w:val="12"/>
          <w:szCs w:val="12"/>
          <w:color w:val="auto"/>
        </w:rPr>
        <w:t>million United States Dollars);"</w:t>
      </w:r>
    </w:p>
    <w:p>
      <w:pPr>
        <w:spacing w:after="0" w:line="269"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- 7 -</w:t>
      </w:r>
    </w:p>
    <w:p>
      <w:pPr>
        <w:spacing w:after="0" w:line="38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w:t>
      </w:r>
    </w:p>
    <w:p>
      <w:pPr>
        <w:spacing w:after="0" w:line="134" w:lineRule="exact"/>
        <w:rPr>
          <w:sz w:val="20"/>
          <w:szCs w:val="20"/>
          <w:color w:val="auto"/>
        </w:rPr>
      </w:pPr>
    </w:p>
    <w:p>
      <w:pPr>
        <w:ind w:left="340"/>
        <w:spacing w:after="0"/>
        <w:rPr>
          <w:sz w:val="20"/>
          <w:szCs w:val="20"/>
          <w:color w:val="auto"/>
        </w:rPr>
      </w:pPr>
      <w:r>
        <w:rPr>
          <w:rFonts w:ascii="Courier New" w:cs="Courier New" w:eastAsia="Courier New" w:hAnsi="Courier New"/>
          <w:sz w:val="12"/>
          <w:szCs w:val="12"/>
          <w:color w:val="auto"/>
        </w:rPr>
        <w:t>2.1.7.3. insert the following new paragraph (l) at the end</w:t>
      </w:r>
    </w:p>
    <w:p>
      <w:pPr>
        <w:ind w:left="700"/>
        <w:spacing w:after="0"/>
        <w:rPr>
          <w:sz w:val="20"/>
          <w:szCs w:val="20"/>
          <w:color w:val="auto"/>
        </w:rPr>
      </w:pPr>
      <w:r>
        <w:rPr>
          <w:rFonts w:ascii="Courier New" w:cs="Courier New" w:eastAsia="Courier New" w:hAnsi="Courier New"/>
          <w:sz w:val="12"/>
          <w:szCs w:val="12"/>
          <w:color w:val="auto"/>
        </w:rPr>
        <w:t>thereof:</w:t>
      </w:r>
    </w:p>
    <w:p>
      <w:pPr>
        <w:spacing w:after="0" w:line="138"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"(l) Financial Indebtedness in respect of a credit facility</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or facilities with a maturity of not less than 2 (two)</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years (subject to subparagraph (i)(3) below) obtained</w:t>
      </w:r>
    </w:p>
    <w:p>
      <w:pPr>
        <w:ind w:left="1040"/>
        <w:spacing w:after="0"/>
        <w:rPr>
          <w:sz w:val="20"/>
          <w:szCs w:val="20"/>
          <w:color w:val="auto"/>
        </w:rPr>
      </w:pPr>
      <w:r>
        <w:rPr>
          <w:rFonts w:ascii="Courier New" w:cs="Courier New" w:eastAsia="Courier New" w:hAnsi="Courier New"/>
          <w:sz w:val="12"/>
          <w:szCs w:val="12"/>
          <w:color w:val="auto"/>
        </w:rPr>
        <w:t>from an Israeli bank or banks solely to finance the</w:t>
      </w:r>
    </w:p>
    <w:p>
      <w:pPr>
        <w:ind w:left="1040"/>
        <w:spacing w:after="0" w:line="237" w:lineRule="auto"/>
        <w:rPr>
          <w:sz w:val="20"/>
          <w:szCs w:val="20"/>
          <w:color w:val="auto"/>
        </w:rPr>
      </w:pPr>
      <w:r>
        <w:rPr>
          <w:rFonts w:ascii="Courier New" w:cs="Courier New" w:eastAsia="Courier New" w:hAnsi="Courier New"/>
          <w:sz w:val="12"/>
          <w:szCs w:val="12"/>
          <w:color w:val="auto"/>
        </w:rPr>
        <w:t>purchase of the Ramp-Up Equipment (`THE EQUIPMENT</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FACILITY") which shall at no time exceed US $30,000,000</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(thirty million United States Dollars) in the</w:t>
      </w:r>
    </w:p>
    <w:p>
      <w:pPr>
        <w:ind w:left="1040"/>
        <w:spacing w:after="0"/>
        <w:rPr>
          <w:sz w:val="20"/>
          <w:szCs w:val="20"/>
          <w:color w:val="auto"/>
        </w:rPr>
      </w:pPr>
      <w:r>
        <w:rPr>
          <w:rFonts w:ascii="Courier New" w:cs="Courier New" w:eastAsia="Courier New" w:hAnsi="Courier New"/>
          <w:sz w:val="12"/>
          <w:szCs w:val="12"/>
          <w:color w:val="auto"/>
        </w:rPr>
        <w:t>aggregate; provided that, as a condition to such</w:t>
      </w:r>
    </w:p>
    <w:p>
      <w:pPr>
        <w:spacing w:after="0" w:line="3"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Financial Indebtedness being incurred, there shall have</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prior thereto been unconditionally and irrevocably</w:t>
      </w:r>
    </w:p>
    <w:p>
      <w:pPr>
        <w:ind w:left="1040"/>
        <w:spacing w:after="0"/>
        <w:rPr>
          <w:sz w:val="20"/>
          <w:szCs w:val="20"/>
          <w:color w:val="auto"/>
        </w:rPr>
      </w:pPr>
      <w:r>
        <w:rPr>
          <w:rFonts w:ascii="Courier New" w:cs="Courier New" w:eastAsia="Courier New" w:hAnsi="Courier New"/>
          <w:sz w:val="12"/>
          <w:szCs w:val="12"/>
          <w:color w:val="auto"/>
        </w:rPr>
        <w:t>invested or provided (or there shall have been</w:t>
      </w:r>
    </w:p>
    <w:p>
      <w:pPr>
        <w:ind w:left="1040"/>
        <w:spacing w:after="0" w:line="237" w:lineRule="auto"/>
        <w:rPr>
          <w:sz w:val="20"/>
          <w:szCs w:val="20"/>
          <w:color w:val="auto"/>
        </w:rPr>
      </w:pPr>
      <w:r>
        <w:rPr>
          <w:rFonts w:ascii="Courier New" w:cs="Courier New" w:eastAsia="Courier New" w:hAnsi="Courier New"/>
          <w:sz w:val="12"/>
          <w:szCs w:val="12"/>
          <w:color w:val="auto"/>
        </w:rPr>
        <w:t>delivered to the Banks unconditional and irrevocable</w:t>
      </w:r>
    </w:p>
    <w:p>
      <w:pPr>
        <w:spacing w:after="0" w:line="4"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undertakings, satisfactory in form and substance to the</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1"/>
          <w:szCs w:val="11"/>
          <w:color w:val="auto"/>
        </w:rPr>
        <w:t>Banks, so to invest or provide) a net aggregate amount</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2"/>
          <w:szCs w:val="12"/>
          <w:color w:val="auto"/>
        </w:rPr>
        <w:t>equal to at least US $70,000,000 (seventy million</w:t>
      </w:r>
    </w:p>
    <w:p>
      <w:pPr>
        <w:ind w:left="1040"/>
        <w:spacing w:after="0"/>
        <w:rPr>
          <w:sz w:val="20"/>
          <w:szCs w:val="20"/>
          <w:color w:val="auto"/>
        </w:rPr>
      </w:pPr>
      <w:r>
        <w:rPr>
          <w:rFonts w:ascii="Courier New" w:cs="Courier New" w:eastAsia="Courier New" w:hAnsi="Courier New"/>
          <w:sz w:val="12"/>
          <w:szCs w:val="12"/>
          <w:color w:val="auto"/>
        </w:rPr>
        <w:t>United States Dollars) for purchase of the Ramp-Up</w:t>
      </w:r>
    </w:p>
    <w:p>
      <w:pPr>
        <w:ind w:left="1040"/>
        <w:spacing w:after="0" w:line="237" w:lineRule="auto"/>
        <w:rPr>
          <w:sz w:val="20"/>
          <w:szCs w:val="20"/>
          <w:color w:val="auto"/>
        </w:rPr>
      </w:pPr>
      <w:r>
        <w:rPr>
          <w:rFonts w:ascii="Courier New" w:cs="Courier New" w:eastAsia="Courier New" w:hAnsi="Courier New"/>
          <w:sz w:val="12"/>
          <w:szCs w:val="12"/>
          <w:color w:val="auto"/>
        </w:rPr>
        <w:t>Equipment, consisting of the following:</w:t>
      </w:r>
    </w:p>
    <w:p>
      <w:pPr>
        <w:spacing w:after="0" w:line="269" w:lineRule="exact"/>
        <w:rPr>
          <w:sz w:val="20"/>
          <w:szCs w:val="20"/>
          <w:color w:val="auto"/>
        </w:rPr>
      </w:pPr>
    </w:p>
    <w:p>
      <w:pPr>
        <w:ind w:left="1900"/>
        <w:spacing w:after="0"/>
        <w:rPr>
          <w:sz w:val="20"/>
          <w:szCs w:val="20"/>
          <w:color w:val="auto"/>
        </w:rPr>
      </w:pPr>
      <w:r>
        <w:rPr>
          <w:rFonts w:ascii="Courier New" w:cs="Courier New" w:eastAsia="Courier New" w:hAnsi="Courier New"/>
          <w:sz w:val="12"/>
          <w:szCs w:val="12"/>
          <w:color w:val="auto"/>
        </w:rPr>
        <w:t>- 8 -</w:t>
      </w:r>
    </w:p>
    <w:p>
      <w:pPr>
        <w:spacing w:after="0" w:line="256" w:lineRule="exact"/>
        <w:rPr>
          <w:sz w:val="20"/>
          <w:szCs w:val="20"/>
          <w:color w:val="auto"/>
        </w:rPr>
      </w:pPr>
    </w:p>
    <w:p>
      <w:pPr>
        <w:ind w:left="1040" w:right="4619" w:hanging="343"/>
        <w:spacing w:after="0" w:line="260" w:lineRule="auto"/>
        <w:tabs>
          <w:tab w:leader="none" w:pos="1040" w:val="left"/>
        </w:tabs>
        <w:numPr>
          <w:ilvl w:val="0"/>
          <w:numId w:val="163"/>
        </w:numPr>
        <w:rPr>
          <w:rFonts w:ascii="Courier New" w:cs="Courier New" w:eastAsia="Courier New" w:hAnsi="Courier New"/>
          <w:sz w:val="11"/>
          <w:szCs w:val="11"/>
          <w:color w:val="auto"/>
        </w:rPr>
      </w:pPr>
      <w:r>
        <w:rPr>
          <w:rFonts w:ascii="Courier New" w:cs="Courier New" w:eastAsia="Courier New" w:hAnsi="Courier New"/>
          <w:sz w:val="11"/>
          <w:szCs w:val="11"/>
          <w:color w:val="auto"/>
        </w:rPr>
        <w:t>TIC shall have unconditionally and irrevocably invested in, and/or provided to the Borrower (or there shall have been delivered to the Banks an unconditional and irrevocable undertaking, in favour of the Banks, in form and substance satisfactory to the Banks, so to invest or provide), at least US $30,000,000 (thirty million United States Dollars) of Paid-in Equity and/or unsecured non-convertible loans or L/Cs that are subordinated to the rights of the Banks under this Agreement and under all other Finance Documents ("PERMITTED SUBORDINATED TIC DEBT") having terms substantially similar to that of the Equipment Facility, including: (1) with respect to Permitted Subordinated TIC Debt, Interest at a rate not in excess of the lowest rate paid in any Equipment Facility; (2) such Permitted Subordinated TIC Debt and/or Paid-in Equity to be disbursed and/or paid by TIC to the Borrower prior to, or simultaneously with, and in an aggregate amount equal to, the aggregate amount of all drawdowns of Equipment Loans, including any requested or deemed drawdowns of Equipment Loans as a consequence of a payment by an Equipment Lender of any L/C issued by such Equipment Lender pursuant to such Equipment Facility, by the Borrower (and the undertaking by TIC shall, INTER alia, include its undertaking to make, prior to or simultaneously with any such requested or deemed drawdown, an investment in, or a provision of funds to, the Borrower in an amount equal to each payment of an Equipment L/C by an Equipment Lender) (and such disbursements and/or payments by TIC to the Borrower shall be a condition to any such drawdown by the Borrower under an Equipment Facility); and (3) repayments of any such Permitted Subordinated TIC Debt shall only be made by the Borrower to TIC simultaneously with, or subsequent to, repayment of an equal amount of Equipment Facility Credits (including Equipment Loans), including once: (A) a Triggering Quarter (as defined in clause 6.1 below) shall have occurred, the permitted prepayment by the Borrower of 1/4 (one-fourth) of the Equipment Facility Credits to the Equipment Lender(s) and 1/4 (one-fourth) of such Permitted Subordinated TIC Debt to TIC over each of the four Quarters following the Triggering Quarter; and (B) an Accelerated Trigger Quarter (as defined in clause 6.1 below) shall have occurred, the permitted prepayment at an aggregate quarterly rate of US $25,000,000 (twenty-five million United States Dollars), of which US $12,500,000 (twelve million five hundred thousand United States Dollars) shall be paid to the Equipment Lender(s) on account of the Equipment Facility Credits and of which US $12,500,000 (twelve million five hundred thousand United States Dollars) shall be paid to TIC on account of such Permitted Subordinated TIC Debt to TIC until all such Equipment Facility Credits and Permitted Subordinated TIC Debt are paid in full;</w:t>
      </w:r>
    </w:p>
    <w:p>
      <w:pPr>
        <w:spacing w:after="0" w:line="200" w:lineRule="exact"/>
        <w:rPr>
          <w:rFonts w:ascii="Courier New" w:cs="Courier New" w:eastAsia="Courier New" w:hAnsi="Courier New"/>
          <w:sz w:val="11"/>
          <w:szCs w:val="11"/>
          <w:color w:val="auto"/>
        </w:rPr>
      </w:pPr>
    </w:p>
    <w:p>
      <w:pPr>
        <w:spacing w:after="0" w:line="200" w:lineRule="exact"/>
        <w:rPr>
          <w:rFonts w:ascii="Courier New" w:cs="Courier New" w:eastAsia="Courier New" w:hAnsi="Courier New"/>
          <w:sz w:val="11"/>
          <w:szCs w:val="11"/>
          <w:color w:val="auto"/>
        </w:rPr>
      </w:pPr>
    </w:p>
    <w:p>
      <w:pPr>
        <w:spacing w:after="0" w:line="277" w:lineRule="exact"/>
        <w:rPr>
          <w:rFonts w:ascii="Courier New" w:cs="Courier New" w:eastAsia="Courier New" w:hAnsi="Courier New"/>
          <w:sz w:val="11"/>
          <w:szCs w:val="11"/>
          <w:color w:val="auto"/>
        </w:rPr>
      </w:pPr>
    </w:p>
    <w:p>
      <w:pPr>
        <w:ind w:left="2040" w:hanging="149"/>
        <w:spacing w:after="0"/>
        <w:tabs>
          <w:tab w:leader="none" w:pos="2040" w:val="left"/>
        </w:tabs>
        <w:numPr>
          <w:ilvl w:val="1"/>
          <w:numId w:val="1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9 -</w:t>
      </w:r>
    </w:p>
    <w:p>
      <w:pPr>
        <w:spacing w:after="0" w:line="200" w:lineRule="exact"/>
        <w:rPr>
          <w:rFonts w:ascii="Courier New" w:cs="Courier New" w:eastAsia="Courier New" w:hAnsi="Courier New"/>
          <w:sz w:val="12"/>
          <w:szCs w:val="12"/>
          <w:color w:val="auto"/>
        </w:rPr>
      </w:pPr>
    </w:p>
    <w:p>
      <w:pPr>
        <w:spacing w:after="0" w:line="200" w:lineRule="exact"/>
        <w:rPr>
          <w:rFonts w:ascii="Courier New" w:cs="Courier New" w:eastAsia="Courier New" w:hAnsi="Courier New"/>
          <w:sz w:val="12"/>
          <w:szCs w:val="12"/>
          <w:color w:val="auto"/>
        </w:rPr>
      </w:pPr>
    </w:p>
    <w:p>
      <w:pPr>
        <w:spacing w:after="0" w:line="261" w:lineRule="exact"/>
        <w:rPr>
          <w:rFonts w:ascii="Courier New" w:cs="Courier New" w:eastAsia="Courier New" w:hAnsi="Courier New"/>
          <w:sz w:val="12"/>
          <w:szCs w:val="12"/>
          <w:color w:val="auto"/>
        </w:rPr>
      </w:pPr>
    </w:p>
    <w:p>
      <w:pPr>
        <w:ind w:left="1040" w:right="4699" w:hanging="343"/>
        <w:spacing w:after="0" w:line="237" w:lineRule="auto"/>
        <w:tabs>
          <w:tab w:leader="none" w:pos="1040" w:val="left"/>
        </w:tabs>
        <w:numPr>
          <w:ilvl w:val="0"/>
          <w:numId w:val="163"/>
        </w:numPr>
        <w:rPr>
          <w:rFonts w:ascii="Courier New" w:cs="Courier New" w:eastAsia="Courier New" w:hAnsi="Courier New"/>
          <w:sz w:val="12"/>
          <w:szCs w:val="12"/>
          <w:color w:val="auto"/>
        </w:rPr>
      </w:pPr>
      <w:r>
        <w:rPr>
          <w:rFonts w:ascii="Courier New" w:cs="Courier New" w:eastAsia="Courier New" w:hAnsi="Courier New"/>
          <w:sz w:val="12"/>
          <w:szCs w:val="12"/>
          <w:color w:val="auto"/>
        </w:rPr>
        <w:t>a gross amount of US $39,977,064 (thirty-nine million, nine hundred and seventy-seven thousand and sixty-four United States Dollars) shall have been unconditionally and irrevocably paid by investors in Permitted Subordinated Debt in conformity with the terms of Schedule 1.118 hereto; and</w:t>
      </w:r>
    </w:p>
    <w:p>
      <w:pPr>
        <w:spacing w:after="0" w:line="140" w:lineRule="exact"/>
        <w:rPr>
          <w:rFonts w:ascii="Courier New" w:cs="Courier New" w:eastAsia="Courier New" w:hAnsi="Courier New"/>
          <w:sz w:val="12"/>
          <w:szCs w:val="12"/>
          <w:color w:val="auto"/>
        </w:rPr>
      </w:pPr>
    </w:p>
    <w:p>
      <w:pPr>
        <w:ind w:left="1040" w:right="4619" w:hanging="343"/>
        <w:spacing w:after="0" w:line="266" w:lineRule="auto"/>
        <w:tabs>
          <w:tab w:leader="none" w:pos="1110" w:val="left"/>
        </w:tabs>
        <w:numPr>
          <w:ilvl w:val="0"/>
          <w:numId w:val="163"/>
        </w:numPr>
        <w:rPr>
          <w:rFonts w:ascii="Courier New" w:cs="Courier New" w:eastAsia="Courier New" w:hAnsi="Courier New"/>
          <w:sz w:val="11"/>
          <w:szCs w:val="11"/>
          <w:color w:val="auto"/>
        </w:rPr>
      </w:pPr>
      <w:r>
        <w:rPr>
          <w:rFonts w:ascii="Courier New" w:cs="Courier New" w:eastAsia="Courier New" w:hAnsi="Courier New"/>
          <w:sz w:val="11"/>
          <w:szCs w:val="11"/>
          <w:color w:val="auto"/>
        </w:rPr>
        <w:t>a net amount of at least US $40,000,000 (forty million United States Dollars) shall have either been: (1) unconditionally and irrevocably invested in the</w:t>
      </w:r>
    </w:p>
    <w:p>
      <w:pPr>
        <w:sectPr>
          <w:pgSz w:w="11900" w:h="16914" w:orient="portrait"/>
          <w:cols w:equalWidth="0" w:num="1">
            <w:col w:w="9539"/>
          </w:cols>
          <w:pgMar w:left="920" w:top="272" w:right="1440" w:bottom="0" w:gutter="0" w:footer="0" w:header="0"/>
        </w:sectPr>
      </w:pPr>
    </w:p>
    <w:bookmarkStart w:id="113" w:name="page114"/>
    <w:bookmarkEnd w:id="113"/>
    <w:p>
      <w:pPr>
        <w:spacing w:after="0" w:line="5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Borrower by way of Paid-in Equity, Permitted</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Subordinated Debt, including amounts already raised (as</w:t>
      </w:r>
    </w:p>
    <w:p>
      <w:pPr>
        <w:spacing w:after="0" w:line="10"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described in (ii) above) and capable of being raised in</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conformity with Schedule 1.118 hereto, or unsecured</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customer advances in form and substance satisfactory to</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the Banks; or (2) generated from Excess Cash Flow,</w:t>
      </w:r>
    </w:p>
    <w:p>
      <w:pPr>
        <w:ind w:left="1400"/>
        <w:spacing w:after="0"/>
        <w:rPr>
          <w:sz w:val="20"/>
          <w:szCs w:val="20"/>
          <w:color w:val="auto"/>
        </w:rPr>
      </w:pPr>
      <w:r>
        <w:rPr>
          <w:rFonts w:ascii="Courier New" w:cs="Courier New" w:eastAsia="Courier New" w:hAnsi="Courier New"/>
          <w:sz w:val="12"/>
          <w:szCs w:val="12"/>
          <w:color w:val="auto"/>
        </w:rPr>
        <w:t>including as may be reflected in the Borrower's</w:t>
      </w:r>
    </w:p>
    <w:p>
      <w:pPr>
        <w:ind w:left="1400"/>
        <w:spacing w:after="0" w:line="237" w:lineRule="auto"/>
        <w:rPr>
          <w:sz w:val="20"/>
          <w:szCs w:val="20"/>
          <w:color w:val="auto"/>
        </w:rPr>
      </w:pPr>
      <w:r>
        <w:rPr>
          <w:rFonts w:ascii="Courier New" w:cs="Courier New" w:eastAsia="Courier New" w:hAnsi="Courier New"/>
          <w:sz w:val="12"/>
          <w:szCs w:val="12"/>
          <w:color w:val="auto"/>
        </w:rPr>
        <w:t>Accounts for a Quarter commencing from the first</w:t>
      </w:r>
    </w:p>
    <w:p>
      <w:pPr>
        <w:ind w:left="1400"/>
        <w:spacing w:after="0"/>
        <w:rPr>
          <w:sz w:val="20"/>
          <w:szCs w:val="20"/>
          <w:color w:val="auto"/>
        </w:rPr>
      </w:pPr>
      <w:r>
        <w:rPr>
          <w:rFonts w:ascii="Courier New" w:cs="Courier New" w:eastAsia="Courier New" w:hAnsi="Courier New"/>
          <w:sz w:val="12"/>
          <w:szCs w:val="12"/>
          <w:color w:val="auto"/>
        </w:rPr>
        <w:t>Quarter of 2007, provided that any such Excess Cash</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Flow is held by the Borrower as cash in short term bank</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deposits.</w:t>
      </w:r>
    </w:p>
    <w:p>
      <w:pPr>
        <w:spacing w:after="0" w:line="139"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For the removal of doubt, except and to the extent set forth</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in any Equipment Facility provided by a Bank as an Equipment</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Lender, none of the Banks shall be under any obligation</w:t>
      </w:r>
    </w:p>
    <w:p>
      <w:pPr>
        <w:ind w:left="1060"/>
        <w:spacing w:after="0"/>
        <w:rPr>
          <w:sz w:val="20"/>
          <w:szCs w:val="20"/>
          <w:color w:val="auto"/>
        </w:rPr>
      </w:pPr>
      <w:r>
        <w:rPr>
          <w:rFonts w:ascii="Courier New" w:cs="Courier New" w:eastAsia="Courier New" w:hAnsi="Courier New"/>
          <w:sz w:val="12"/>
          <w:szCs w:val="12"/>
          <w:color w:val="auto"/>
        </w:rPr>
        <w:t>whatsoever to provide such financing;"</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- 10 -</w:t>
      </w:r>
    </w:p>
    <w:p>
      <w:pPr>
        <w:spacing w:after="0" w:line="391"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2.1.8. clause 1.1.118 ("PERMITTED SUBORDINATED DEBT") shall be amended</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to add the following paragraph thereto:</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"All references in this clause 1.1.118 to `convertible</w:t>
      </w:r>
    </w:p>
    <w:p>
      <w:pPr>
        <w:ind w:left="700"/>
        <w:spacing w:after="0"/>
        <w:rPr>
          <w:sz w:val="20"/>
          <w:szCs w:val="20"/>
          <w:color w:val="auto"/>
        </w:rPr>
      </w:pPr>
      <w:r>
        <w:rPr>
          <w:rFonts w:ascii="Courier New" w:cs="Courier New" w:eastAsia="Courier New" w:hAnsi="Courier New"/>
          <w:sz w:val="12"/>
          <w:szCs w:val="12"/>
          <w:color w:val="auto"/>
        </w:rPr>
        <w:t>debentures' and `Equity Convertible Debentures' shall be deemed</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to apply to (a) non-convertible debentures issued by the Borrower</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in accordance with the consent, dated June 6, 2007, given by the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Banks, a copy of which is attached as SCHEDULE 1.1.118 hereto,</w:t>
      </w:r>
    </w:p>
    <w:p>
      <w:pPr>
        <w:ind w:left="700"/>
        <w:spacing w:after="0"/>
        <w:rPr>
          <w:sz w:val="20"/>
          <w:szCs w:val="20"/>
          <w:color w:val="auto"/>
        </w:rPr>
      </w:pPr>
      <w:r>
        <w:rPr>
          <w:rFonts w:ascii="Courier New" w:cs="Courier New" w:eastAsia="Courier New" w:hAnsi="Courier New"/>
          <w:sz w:val="12"/>
          <w:szCs w:val="12"/>
          <w:color w:val="auto"/>
        </w:rPr>
        <w:t>and (b) to any Permitted Subordinated TIC Debt provided to the</w:t>
      </w:r>
    </w:p>
    <w:p>
      <w:pPr>
        <w:ind w:left="700"/>
        <w:spacing w:after="0" w:line="237" w:lineRule="auto"/>
        <w:rPr>
          <w:sz w:val="20"/>
          <w:szCs w:val="20"/>
          <w:color w:val="auto"/>
        </w:rPr>
      </w:pPr>
      <w:r>
        <w:rPr>
          <w:rFonts w:ascii="Courier New" w:cs="Courier New" w:eastAsia="Courier New" w:hAnsi="Courier New"/>
          <w:sz w:val="12"/>
          <w:szCs w:val="12"/>
          <w:color w:val="auto"/>
        </w:rPr>
        <w:t>Borrower by TIC pursuant to clause 1.1.115(l)(i) above;"</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2.1.9. clause 1.1.142 ("TOTAL DEBT") shall be amended to delete the</w:t>
      </w:r>
    </w:p>
    <w:p>
      <w:pPr>
        <w:ind w:left="700"/>
        <w:spacing w:after="0"/>
        <w:rPr>
          <w:sz w:val="20"/>
          <w:szCs w:val="20"/>
          <w:color w:val="auto"/>
        </w:rPr>
      </w:pPr>
      <w:r>
        <w:rPr>
          <w:rFonts w:ascii="Courier New" w:cs="Courier New" w:eastAsia="Courier New" w:hAnsi="Courier New"/>
          <w:sz w:val="12"/>
          <w:szCs w:val="12"/>
          <w:color w:val="auto"/>
        </w:rPr>
        <w:t>words "and (d)" and substitute therefor the words, ", (d) and</w:t>
      </w:r>
    </w:p>
    <w:p>
      <w:pPr>
        <w:ind w:left="700"/>
        <w:spacing w:after="0" w:line="237" w:lineRule="auto"/>
        <w:rPr>
          <w:sz w:val="20"/>
          <w:szCs w:val="20"/>
          <w:color w:val="auto"/>
        </w:rPr>
      </w:pPr>
      <w:r>
        <w:rPr>
          <w:rFonts w:ascii="Courier New" w:cs="Courier New" w:eastAsia="Courier New" w:hAnsi="Courier New"/>
          <w:sz w:val="12"/>
          <w:szCs w:val="12"/>
          <w:color w:val="auto"/>
        </w:rPr>
        <w:t>(l)"; and</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2.1.10. clause 1.3.14 shall be amended to add the following to the</w:t>
      </w:r>
    </w:p>
    <w:p>
      <w:pPr>
        <w:ind w:left="700"/>
        <w:spacing w:after="0"/>
        <w:rPr>
          <w:sz w:val="20"/>
          <w:szCs w:val="20"/>
          <w:color w:val="auto"/>
        </w:rPr>
      </w:pPr>
      <w:r>
        <w:rPr>
          <w:rFonts w:ascii="Courier New" w:cs="Courier New" w:eastAsia="Courier New" w:hAnsi="Courier New"/>
          <w:sz w:val="12"/>
          <w:szCs w:val="12"/>
          <w:color w:val="auto"/>
        </w:rPr>
        <w:t>first sentence thereof:</w:t>
      </w:r>
    </w:p>
    <w:p>
      <w:pPr>
        <w:spacing w:after="0" w:line="138"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"or, effective January 1, 2008, International Financial Reporting</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Standards (`IFRS')."</w:t>
      </w:r>
    </w:p>
    <w:p>
      <w:pPr>
        <w:spacing w:after="0" w:line="139" w:lineRule="exact"/>
        <w:rPr>
          <w:sz w:val="20"/>
          <w:szCs w:val="20"/>
          <w:color w:val="auto"/>
        </w:rPr>
      </w:pPr>
    </w:p>
    <w:p>
      <w:pPr>
        <w:ind w:left="360" w:right="4699" w:hanging="350"/>
        <w:spacing w:after="0" w:line="235" w:lineRule="auto"/>
        <w:rPr>
          <w:sz w:val="20"/>
          <w:szCs w:val="20"/>
          <w:color w:val="auto"/>
        </w:rPr>
      </w:pPr>
      <w:r>
        <w:rPr>
          <w:rFonts w:ascii="Courier New" w:cs="Courier New" w:eastAsia="Courier New" w:hAnsi="Courier New"/>
          <w:sz w:val="12"/>
          <w:szCs w:val="12"/>
          <w:color w:val="auto"/>
        </w:rPr>
        <w:t>2.2. Clause 6.1 (REPAYMENT OF LOANS) shall be amended to add the following at the end thereof:</w:t>
      </w:r>
    </w:p>
    <w:p>
      <w:pPr>
        <w:spacing w:after="0" w:line="135"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"provided, however, that once the Borrower's EBITDA for any Quarter</w:t>
      </w:r>
    </w:p>
    <w:p>
      <w:pPr>
        <w:ind w:left="360"/>
        <w:spacing w:after="0"/>
        <w:rPr>
          <w:sz w:val="20"/>
          <w:szCs w:val="20"/>
          <w:color w:val="auto"/>
        </w:rPr>
      </w:pPr>
      <w:r>
        <w:rPr>
          <w:rFonts w:ascii="Courier New" w:cs="Courier New" w:eastAsia="Courier New" w:hAnsi="Courier New"/>
          <w:sz w:val="12"/>
          <w:szCs w:val="12"/>
          <w:color w:val="auto"/>
        </w:rPr>
        <w:t>equals or exceeds US $35,000,000 (thirty-five million United States</w:t>
      </w:r>
    </w:p>
    <w:p>
      <w:pPr>
        <w:ind w:left="360"/>
        <w:spacing w:after="0" w:line="237" w:lineRule="auto"/>
        <w:rPr>
          <w:sz w:val="20"/>
          <w:szCs w:val="20"/>
          <w:color w:val="auto"/>
        </w:rPr>
      </w:pPr>
      <w:r>
        <w:rPr>
          <w:rFonts w:ascii="Courier New" w:cs="Courier New" w:eastAsia="Courier New" w:hAnsi="Courier New"/>
          <w:sz w:val="12"/>
          <w:szCs w:val="12"/>
          <w:color w:val="auto"/>
        </w:rPr>
        <w:t>Dollars) but equals less than US $50,000,000 (fifty million United</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States Dollars) (`THE TRIGGERING QUARTER') and the Equipment Facility</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Credits are paid in full by the Borrower, the Banks shall have the</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option, by written notice to the Borrower by the Banks, to require the</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Borrower, as a mandatory prepayment, as to which clause 8 below shall</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apply, to repay the last instalment of the Loans otherwise payable in</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June 2012 and (1)/2 (one-half) of the penultimate instalment otherwise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payable in March 2012 (such amounts, collectively, `THE AGGREGATE</w:t>
      </w:r>
    </w:p>
    <w:p>
      <w:pPr>
        <w:ind w:left="360"/>
        <w:spacing w:after="0"/>
        <w:rPr>
          <w:sz w:val="20"/>
          <w:szCs w:val="20"/>
          <w:color w:val="auto"/>
        </w:rPr>
      </w:pPr>
      <w:r>
        <w:rPr>
          <w:rFonts w:ascii="Courier New" w:cs="Courier New" w:eastAsia="Courier New" w:hAnsi="Courier New"/>
          <w:sz w:val="12"/>
          <w:szCs w:val="12"/>
          <w:color w:val="auto"/>
        </w:rPr>
        <w:t>TRIGGER PREPAYMENT AMOUNT'), at the end of 3 (three) earlier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consecutive Quarters following the Triggering Quarter, but no earlier</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than (1)/3 (one-third) of the Aggregate Trigger Prepayment Amount on</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the last Business Day in December 2008, (1)/3 (one-third) on the last</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Business Day in March 2009 and (1)/3 (one-third) on the last Business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Day in June 2009, provided further, however, that once Borrower's</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EBITDA for any Quarter equals or exceeds US $50,000,000 (fifty million</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United States Dollars) (`THE ACCELERATED TRIGGER QUARTER'), the</w:t>
      </w:r>
    </w:p>
    <w:p>
      <w:pPr>
        <w:ind w:left="360"/>
        <w:spacing w:after="0"/>
        <w:rPr>
          <w:sz w:val="20"/>
          <w:szCs w:val="20"/>
          <w:color w:val="auto"/>
        </w:rPr>
      </w:pPr>
      <w:r>
        <w:rPr>
          <w:rFonts w:ascii="Courier New" w:cs="Courier New" w:eastAsia="Courier New" w:hAnsi="Courier New"/>
          <w:sz w:val="12"/>
          <w:szCs w:val="12"/>
          <w:color w:val="auto"/>
        </w:rPr>
        <w:t>mandatory quarterly prepayments shall be in a minimum amount of US</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$25,000,000 (twenty-five million United States Dollars), in which case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the Aggregate Trigger Prepayment Amount would be paid in 2 (two)</w:t>
      </w:r>
    </w:p>
    <w:p>
      <w:pPr>
        <w:ind w:left="360"/>
        <w:spacing w:after="0"/>
        <w:rPr>
          <w:sz w:val="20"/>
          <w:szCs w:val="20"/>
          <w:color w:val="auto"/>
        </w:rPr>
      </w:pPr>
      <w:r>
        <w:rPr>
          <w:rFonts w:ascii="Courier New" w:cs="Courier New" w:eastAsia="Courier New" w:hAnsi="Courier New"/>
          <w:sz w:val="12"/>
          <w:szCs w:val="12"/>
          <w:color w:val="auto"/>
        </w:rPr>
        <w:t>quarterly instalments rather than in 3 (three). For the avoidance of</w:t>
      </w:r>
    </w:p>
    <w:p>
      <w:pPr>
        <w:ind w:left="360"/>
        <w:spacing w:after="0" w:line="237" w:lineRule="auto"/>
        <w:rPr>
          <w:sz w:val="20"/>
          <w:szCs w:val="20"/>
          <w:color w:val="auto"/>
        </w:rPr>
      </w:pPr>
      <w:r>
        <w:rPr>
          <w:rFonts w:ascii="Courier New" w:cs="Courier New" w:eastAsia="Courier New" w:hAnsi="Courier New"/>
          <w:sz w:val="12"/>
          <w:szCs w:val="12"/>
          <w:color w:val="auto"/>
        </w:rPr>
        <w:t>doubt and by way of illustration only, should the Equipment Facility</w:t>
      </w:r>
    </w:p>
    <w:p>
      <w:pPr>
        <w:ind w:left="360"/>
        <w:spacing w:after="0"/>
        <w:rPr>
          <w:sz w:val="20"/>
          <w:szCs w:val="20"/>
          <w:color w:val="auto"/>
        </w:rPr>
      </w:pPr>
      <w:r>
        <w:rPr>
          <w:rFonts w:ascii="Courier New" w:cs="Courier New" w:eastAsia="Courier New" w:hAnsi="Courier New"/>
          <w:sz w:val="12"/>
          <w:szCs w:val="12"/>
          <w:color w:val="auto"/>
        </w:rPr>
        <w:t>Credits be paid in full on or prior to June 30, 2009 and the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Triggering Quarter be the Quarter ended June 30, 2009, the Banks would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have the option to require said mandatory prepayments to be made on</w:t>
      </w:r>
    </w:p>
    <w:p>
      <w:pPr>
        <w:ind w:left="360"/>
        <w:spacing w:after="0"/>
        <w:rPr>
          <w:sz w:val="20"/>
          <w:szCs w:val="20"/>
          <w:color w:val="auto"/>
        </w:rPr>
      </w:pPr>
      <w:r>
        <w:rPr>
          <w:rFonts w:ascii="Courier New" w:cs="Courier New" w:eastAsia="Courier New" w:hAnsi="Courier New"/>
          <w:sz w:val="12"/>
          <w:szCs w:val="12"/>
          <w:color w:val="auto"/>
        </w:rPr>
        <w:t>the last Business Days in each of September 2009, December 2009 and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March 2010, respectively, and, should the Quarter ended June 30, 2009</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be an Accelerated Trigger Quarter, the Banks would have the option to</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require a mandatory prepayment in the amount of US $25,000,000</w:t>
      </w:r>
    </w:p>
    <w:p>
      <w:pPr>
        <w:ind w:left="360"/>
        <w:spacing w:after="0"/>
        <w:rPr>
          <w:sz w:val="20"/>
          <w:szCs w:val="20"/>
          <w:color w:val="auto"/>
        </w:rPr>
      </w:pPr>
      <w:r>
        <w:rPr>
          <w:rFonts w:ascii="Courier New" w:cs="Courier New" w:eastAsia="Courier New" w:hAnsi="Courier New"/>
          <w:sz w:val="12"/>
          <w:szCs w:val="12"/>
          <w:color w:val="auto"/>
        </w:rPr>
        <w:t>(twenty-five million United States Dollars) on the last Business Day</w:t>
      </w:r>
    </w:p>
    <w:p>
      <w:pPr>
        <w:ind w:left="360"/>
        <w:spacing w:after="0" w:line="237" w:lineRule="auto"/>
        <w:rPr>
          <w:sz w:val="20"/>
          <w:szCs w:val="20"/>
          <w:color w:val="auto"/>
        </w:rPr>
      </w:pPr>
      <w:r>
        <w:rPr>
          <w:rFonts w:ascii="Courier New" w:cs="Courier New" w:eastAsia="Courier New" w:hAnsi="Courier New"/>
          <w:sz w:val="12"/>
          <w:szCs w:val="12"/>
          <w:color w:val="auto"/>
        </w:rPr>
        <w:t>of September 2009 and the remainder of the Aggregate Trigger</w:t>
      </w:r>
    </w:p>
    <w:p>
      <w:pPr>
        <w:ind w:left="360"/>
        <w:spacing w:after="0"/>
        <w:rPr>
          <w:sz w:val="20"/>
          <w:szCs w:val="20"/>
          <w:color w:val="auto"/>
        </w:rPr>
      </w:pPr>
      <w:r>
        <w:rPr>
          <w:rFonts w:ascii="Courier New" w:cs="Courier New" w:eastAsia="Courier New" w:hAnsi="Courier New"/>
          <w:sz w:val="12"/>
          <w:szCs w:val="12"/>
          <w:color w:val="auto"/>
        </w:rPr>
        <w:t>Prepayment Amount on the last Business Day in December 2009, in each</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case, in addition to the repayments of principal of the Loans also due</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on such dates pursuant to this clause 6.1 above."</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- 11 -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2.3. Clause 15 (REPRESENTATIONS AND WARRANTIES) shall be amended as</w:t>
      </w:r>
    </w:p>
    <w:p>
      <w:pPr>
        <w:ind w:left="360"/>
        <w:spacing w:after="0"/>
        <w:rPr>
          <w:sz w:val="20"/>
          <w:szCs w:val="20"/>
          <w:color w:val="auto"/>
        </w:rPr>
      </w:pPr>
      <w:r>
        <w:rPr>
          <w:rFonts w:ascii="Courier New" w:cs="Courier New" w:eastAsia="Courier New" w:hAnsi="Courier New"/>
          <w:sz w:val="12"/>
          <w:szCs w:val="12"/>
          <w:color w:val="auto"/>
        </w:rPr>
        <w:t>follows:</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2.3.1. clause 15.5 (NO DEFAULT) shall be amended to read in its</w:t>
      </w:r>
    </w:p>
    <w:p>
      <w:pPr>
        <w:ind w:left="700"/>
        <w:spacing w:after="0"/>
        <w:rPr>
          <w:sz w:val="20"/>
          <w:szCs w:val="20"/>
          <w:color w:val="auto"/>
        </w:rPr>
      </w:pPr>
      <w:r>
        <w:rPr>
          <w:rFonts w:ascii="Courier New" w:cs="Courier New" w:eastAsia="Courier New" w:hAnsi="Courier New"/>
          <w:sz w:val="12"/>
          <w:szCs w:val="12"/>
          <w:color w:val="auto"/>
        </w:rPr>
        <w:t>entirety as follows:</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"No Default is continuing which has not been waived."</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2.3.2. clause 15.7 (SHARE CAPITAL) shall be amended to read in its</w:t>
      </w:r>
    </w:p>
    <w:p>
      <w:pPr>
        <w:ind w:left="700"/>
        <w:spacing w:after="0"/>
        <w:rPr>
          <w:sz w:val="20"/>
          <w:szCs w:val="20"/>
          <w:color w:val="auto"/>
        </w:rPr>
      </w:pPr>
      <w:r>
        <w:rPr>
          <w:rFonts w:ascii="Courier New" w:cs="Courier New" w:eastAsia="Courier New" w:hAnsi="Courier New"/>
          <w:sz w:val="12"/>
          <w:szCs w:val="12"/>
          <w:color w:val="auto"/>
        </w:rPr>
        <w:t>entirety as follows:</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"The authorised share capital of the Borrower consists of</w:t>
      </w:r>
    </w:p>
    <w:p>
      <w:pPr>
        <w:ind w:left="700"/>
        <w:spacing w:after="0"/>
        <w:rPr>
          <w:sz w:val="20"/>
          <w:szCs w:val="20"/>
          <w:color w:val="auto"/>
        </w:rPr>
      </w:pPr>
      <w:r>
        <w:rPr>
          <w:rFonts w:ascii="Courier New" w:cs="Courier New" w:eastAsia="Courier New" w:hAnsi="Courier New"/>
          <w:sz w:val="12"/>
          <w:szCs w:val="12"/>
          <w:color w:val="auto"/>
        </w:rPr>
        <w:t>800,000,000 (eight hundred million) ordinary shares. The</w:t>
      </w:r>
    </w:p>
    <w:p>
      <w:pPr>
        <w:ind w:left="700"/>
        <w:spacing w:after="0" w:line="237" w:lineRule="auto"/>
        <w:rPr>
          <w:sz w:val="20"/>
          <w:szCs w:val="20"/>
          <w:color w:val="auto"/>
        </w:rPr>
      </w:pPr>
      <w:r>
        <w:rPr>
          <w:rFonts w:ascii="Courier New" w:cs="Courier New" w:eastAsia="Courier New" w:hAnsi="Courier New"/>
          <w:sz w:val="12"/>
          <w:szCs w:val="12"/>
          <w:color w:val="auto"/>
        </w:rPr>
        <w:t>Borrower's most recently filed Annual Report on Form 20-F (`THE</w:t>
      </w:r>
    </w:p>
    <w:p>
      <w:pPr>
        <w:ind w:left="700"/>
        <w:spacing w:after="0"/>
        <w:rPr>
          <w:sz w:val="20"/>
          <w:szCs w:val="20"/>
          <w:color w:val="auto"/>
        </w:rPr>
      </w:pPr>
      <w:r>
        <w:rPr>
          <w:rFonts w:ascii="Courier New" w:cs="Courier New" w:eastAsia="Courier New" w:hAnsi="Courier New"/>
          <w:sz w:val="12"/>
          <w:szCs w:val="12"/>
          <w:color w:val="auto"/>
        </w:rPr>
        <w:t>ANNUAL REPORT'), as filed with the United States Securities and</w:t>
      </w:r>
    </w:p>
    <w:p>
      <w:pPr>
        <w:ind w:left="700"/>
        <w:spacing w:after="0" w:line="237" w:lineRule="auto"/>
        <w:rPr>
          <w:sz w:val="20"/>
          <w:szCs w:val="20"/>
          <w:color w:val="auto"/>
        </w:rPr>
      </w:pPr>
      <w:r>
        <w:rPr>
          <w:rFonts w:ascii="Courier New" w:cs="Courier New" w:eastAsia="Courier New" w:hAnsi="Courier New"/>
          <w:sz w:val="12"/>
          <w:szCs w:val="12"/>
          <w:color w:val="auto"/>
        </w:rPr>
        <w:t>Exchange Commission (`THE SEC'), sets forth, as of the month</w:t>
      </w:r>
    </w:p>
    <w:p>
      <w:pPr>
        <w:ind w:left="700"/>
        <w:spacing w:after="0"/>
        <w:rPr>
          <w:sz w:val="20"/>
          <w:szCs w:val="20"/>
          <w:color w:val="auto"/>
        </w:rPr>
      </w:pPr>
      <w:r>
        <w:rPr>
          <w:rFonts w:ascii="Courier New" w:cs="Courier New" w:eastAsia="Courier New" w:hAnsi="Courier New"/>
          <w:sz w:val="12"/>
          <w:szCs w:val="12"/>
          <w:color w:val="auto"/>
        </w:rPr>
        <w:t>ended immediately prior to the filing of the Annual Report, the</w:t>
      </w:r>
    </w:p>
    <w:p>
      <w:pPr>
        <w:ind w:left="700"/>
        <w:spacing w:after="0" w:line="237" w:lineRule="auto"/>
        <w:rPr>
          <w:sz w:val="20"/>
          <w:szCs w:val="20"/>
          <w:color w:val="auto"/>
        </w:rPr>
      </w:pPr>
      <w:r>
        <w:rPr>
          <w:rFonts w:ascii="Courier New" w:cs="Courier New" w:eastAsia="Courier New" w:hAnsi="Courier New"/>
          <w:sz w:val="12"/>
          <w:szCs w:val="12"/>
          <w:color w:val="auto"/>
        </w:rPr>
        <w:t>number of shares issued and outstanding, the approximate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aggregate number of shares reserved for issuance upon exercise of</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all outstanding warrants and options and conversion of all</w:t>
      </w:r>
    </w:p>
    <w:p>
      <w:pPr>
        <w:ind w:left="700"/>
        <w:spacing w:after="0"/>
        <w:rPr>
          <w:sz w:val="20"/>
          <w:szCs w:val="20"/>
          <w:color w:val="auto"/>
        </w:rPr>
      </w:pPr>
      <w:r>
        <w:rPr>
          <w:rFonts w:ascii="Courier New" w:cs="Courier New" w:eastAsia="Courier New" w:hAnsi="Courier New"/>
          <w:sz w:val="12"/>
          <w:szCs w:val="12"/>
          <w:color w:val="auto"/>
        </w:rPr>
        <w:t>convertible securities (without being required to take into</w:t>
      </w:r>
    </w:p>
    <w:p>
      <w:pPr>
        <w:ind w:left="700"/>
        <w:spacing w:after="0" w:line="237" w:lineRule="auto"/>
        <w:rPr>
          <w:sz w:val="20"/>
          <w:szCs w:val="20"/>
          <w:color w:val="auto"/>
        </w:rPr>
      </w:pPr>
      <w:r>
        <w:rPr>
          <w:rFonts w:ascii="Courier New" w:cs="Courier New" w:eastAsia="Courier New" w:hAnsi="Courier New"/>
          <w:sz w:val="12"/>
          <w:szCs w:val="12"/>
          <w:color w:val="auto"/>
        </w:rPr>
        <w:t>account options, warrants or convertible securities that are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substantially "out of the money") and sets forth the list of all</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those persons which, to the Knowledge of the Borrower, as of the</w:t>
      </w:r>
    </w:p>
    <w:p>
      <w:pPr>
        <w:spacing w:after="0" w:line="10"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month ended immediately prior to the filing of the Annual Report,</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are the beneficial holders of 5% (five percent) or more of the</w:t>
      </w:r>
    </w:p>
    <w:p>
      <w:pPr>
        <w:ind w:left="700"/>
        <w:spacing w:after="0"/>
        <w:rPr>
          <w:sz w:val="20"/>
          <w:szCs w:val="20"/>
          <w:color w:val="auto"/>
        </w:rPr>
      </w:pPr>
      <w:r>
        <w:rPr>
          <w:rFonts w:ascii="Courier New" w:cs="Courier New" w:eastAsia="Courier New" w:hAnsi="Courier New"/>
          <w:sz w:val="12"/>
          <w:szCs w:val="12"/>
          <w:color w:val="auto"/>
        </w:rPr>
        <w:t>issued and outstanding shares of the Borrower. All of the</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outstanding ordinary shares have been duly authorised and validly</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issued."</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- 12 -</w:t>
      </w:r>
    </w:p>
    <w:p>
      <w:pPr>
        <w:sectPr>
          <w:pgSz w:w="11900" w:h="16895" w:orient="portrait"/>
          <w:cols w:equalWidth="0" w:num="1">
            <w:col w:w="9899"/>
          </w:cols>
          <w:pgMar w:left="560" w:top="137" w:right="1440" w:bottom="0" w:gutter="0" w:footer="0" w:header="0"/>
        </w:sectPr>
      </w:pPr>
    </w:p>
    <w:p>
      <w:pPr>
        <w:spacing w:after="0" w:line="391"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2.3.3. clause 15.8 (SEC DOCUMENTS; FINANCIAL STATEMENTS) shall be</w:t>
      </w:r>
    </w:p>
    <w:p>
      <w:pPr>
        <w:sectPr>
          <w:pgSz w:w="11900" w:h="16895" w:orient="portrait"/>
          <w:cols w:equalWidth="0" w:num="1">
            <w:col w:w="9899"/>
          </w:cols>
          <w:pgMar w:left="560" w:top="137" w:right="1440" w:bottom="0" w:gutter="0" w:footer="0" w:header="0"/>
          <w:type w:val="continuous"/>
        </w:sectPr>
      </w:pPr>
    </w:p>
    <w:bookmarkStart w:id="114" w:name="page115"/>
    <w:bookmarkEnd w:id="114"/>
    <w:p>
      <w:pPr>
        <w:ind w:left="700"/>
        <w:spacing w:after="0"/>
        <w:rPr>
          <w:sz w:val="20"/>
          <w:szCs w:val="20"/>
          <w:color w:val="auto"/>
        </w:rPr>
      </w:pPr>
      <w:r>
        <w:rPr>
          <w:rFonts w:ascii="Courier New" w:cs="Courier New" w:eastAsia="Courier New" w:hAnsi="Courier New"/>
          <w:sz w:val="12"/>
          <w:szCs w:val="12"/>
          <w:color w:val="auto"/>
        </w:rPr>
        <w:t>amended to read in its entirety as follows:</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"15.8.1. The Borrower has furnished to the Banks copies of the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Borrower's most recent Annual Report as filed with the SEC.</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Borrower represents and warrants that: (a) the Annual</w:t>
      </w:r>
    </w:p>
    <w:p>
      <w:pPr>
        <w:ind w:left="1060"/>
        <w:spacing w:after="0"/>
        <w:rPr>
          <w:sz w:val="20"/>
          <w:szCs w:val="20"/>
          <w:color w:val="auto"/>
        </w:rPr>
      </w:pPr>
      <w:r>
        <w:rPr>
          <w:rFonts w:ascii="Courier New" w:cs="Courier New" w:eastAsia="Courier New" w:hAnsi="Courier New"/>
          <w:sz w:val="12"/>
          <w:szCs w:val="12"/>
          <w:color w:val="auto"/>
        </w:rPr>
        <w:t>Report has been duly filed with the SEC and when filed was</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in compliance in all material respects with the requirements</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of the Exchange Act and the rules and regulations of the SEC</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applicable to such Annual Report; and (b) the Annual Report</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was complete and correct in all material respects as of its</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date and, as of its date, did not contain any untrue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statement of material fact or omit to state a material fact</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required to be stated therein or necessary in order to make</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statements made therein, in light of the circumstances</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under which they were made, not misleading. The Borrower has</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provided the Banks with a copy of each document submitted to</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the SEC on Form 6-K since January 1, 2007 (`THE 6K</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REPORTS'). The Borrower represents and warrants to the Banks</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that: (i) the 6K Reports have been duly submitted to the SEC</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and when submitted were in compliance in all material</w:t>
      </w:r>
    </w:p>
    <w:p>
      <w:pPr>
        <w:ind w:left="1060"/>
        <w:spacing w:after="0"/>
        <w:rPr>
          <w:sz w:val="20"/>
          <w:szCs w:val="20"/>
          <w:color w:val="auto"/>
        </w:rPr>
      </w:pPr>
      <w:r>
        <w:rPr>
          <w:rFonts w:ascii="Courier New" w:cs="Courier New" w:eastAsia="Courier New" w:hAnsi="Courier New"/>
          <w:sz w:val="12"/>
          <w:szCs w:val="12"/>
          <w:color w:val="auto"/>
        </w:rPr>
        <w:t>respects with the requirements of law relating to the 6K</w:t>
      </w:r>
    </w:p>
    <w:p>
      <w:pPr>
        <w:ind w:left="1060"/>
        <w:spacing w:after="0" w:line="237" w:lineRule="auto"/>
        <w:rPr>
          <w:sz w:val="20"/>
          <w:szCs w:val="20"/>
          <w:color w:val="auto"/>
        </w:rPr>
      </w:pPr>
      <w:r>
        <w:rPr>
          <w:rFonts w:ascii="Courier New" w:cs="Courier New" w:eastAsia="Courier New" w:hAnsi="Courier New"/>
          <w:sz w:val="12"/>
          <w:szCs w:val="12"/>
          <w:color w:val="auto"/>
        </w:rPr>
        <w:t>Reports; and (ii) the 6K Reports were complete and correct</w:t>
      </w:r>
    </w:p>
    <w:p>
      <w:pPr>
        <w:ind w:left="1060"/>
        <w:spacing w:after="0"/>
        <w:rPr>
          <w:sz w:val="20"/>
          <w:szCs w:val="20"/>
          <w:color w:val="auto"/>
        </w:rPr>
      </w:pPr>
      <w:r>
        <w:rPr>
          <w:rFonts w:ascii="Courier New" w:cs="Courier New" w:eastAsia="Courier New" w:hAnsi="Courier New"/>
          <w:sz w:val="12"/>
          <w:szCs w:val="12"/>
          <w:color w:val="auto"/>
        </w:rPr>
        <w:t>in all material respects as of their respective dates and,</w:t>
      </w:r>
    </w:p>
    <w:p>
      <w:pPr>
        <w:ind w:left="1060"/>
        <w:spacing w:after="0" w:line="237" w:lineRule="auto"/>
        <w:rPr>
          <w:sz w:val="20"/>
          <w:szCs w:val="20"/>
          <w:color w:val="auto"/>
        </w:rPr>
      </w:pPr>
      <w:r>
        <w:rPr>
          <w:rFonts w:ascii="Courier New" w:cs="Courier New" w:eastAsia="Courier New" w:hAnsi="Courier New"/>
          <w:sz w:val="12"/>
          <w:szCs w:val="12"/>
          <w:color w:val="auto"/>
        </w:rPr>
        <w:t>as of such dates, did not contain any untrue statement of</w:t>
      </w:r>
    </w:p>
    <w:p>
      <w:pPr>
        <w:ind w:left="1060"/>
        <w:spacing w:after="0"/>
        <w:rPr>
          <w:sz w:val="20"/>
          <w:szCs w:val="20"/>
          <w:color w:val="auto"/>
        </w:rPr>
      </w:pPr>
      <w:r>
        <w:rPr>
          <w:rFonts w:ascii="Courier New" w:cs="Courier New" w:eastAsia="Courier New" w:hAnsi="Courier New"/>
          <w:sz w:val="12"/>
          <w:szCs w:val="12"/>
          <w:color w:val="auto"/>
        </w:rPr>
        <w:t>material fact or omit to state a material fact required to</w:t>
      </w:r>
    </w:p>
    <w:p>
      <w:pPr>
        <w:ind w:left="1060"/>
        <w:spacing w:after="0" w:line="237" w:lineRule="auto"/>
        <w:rPr>
          <w:sz w:val="20"/>
          <w:szCs w:val="20"/>
          <w:color w:val="auto"/>
        </w:rPr>
      </w:pPr>
      <w:r>
        <w:rPr>
          <w:rFonts w:ascii="Courier New" w:cs="Courier New" w:eastAsia="Courier New" w:hAnsi="Courier New"/>
          <w:sz w:val="12"/>
          <w:szCs w:val="12"/>
          <w:color w:val="auto"/>
        </w:rPr>
        <w:t>be stated therein or necessary in order to make the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statements made therein, in light of the circumstances under</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which they were made, not misleading.</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- 13 -</w:t>
      </w:r>
    </w:p>
    <w:p>
      <w:pPr>
        <w:spacing w:after="0" w:line="38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15.8.2. The Borrower has delivered to the Banks: (a) audited</w:t>
      </w:r>
    </w:p>
    <w:p>
      <w:pPr>
        <w:ind w:left="1060"/>
        <w:spacing w:after="0"/>
        <w:rPr>
          <w:sz w:val="20"/>
          <w:szCs w:val="20"/>
          <w:color w:val="auto"/>
        </w:rPr>
      </w:pPr>
      <w:r>
        <w:rPr>
          <w:rFonts w:ascii="Courier New" w:cs="Courier New" w:eastAsia="Courier New" w:hAnsi="Courier New"/>
          <w:sz w:val="12"/>
          <w:szCs w:val="12"/>
          <w:color w:val="auto"/>
        </w:rPr>
        <w:t>consolidated Accounts of the Borrower as at December 31 in</w:t>
      </w:r>
    </w:p>
    <w:p>
      <w:pPr>
        <w:ind w:left="1060"/>
        <w:spacing w:after="0" w:line="237" w:lineRule="auto"/>
        <w:rPr>
          <w:sz w:val="20"/>
          <w:szCs w:val="20"/>
          <w:color w:val="auto"/>
        </w:rPr>
      </w:pPr>
      <w:r>
        <w:rPr>
          <w:rFonts w:ascii="Courier New" w:cs="Courier New" w:eastAsia="Courier New" w:hAnsi="Courier New"/>
          <w:sz w:val="12"/>
          <w:szCs w:val="12"/>
          <w:color w:val="auto"/>
        </w:rPr>
        <w:t>each of the 2 (two) years ended with the last Fiscal Year</w:t>
      </w:r>
    </w:p>
    <w:p>
      <w:pPr>
        <w:ind w:left="1060"/>
        <w:spacing w:after="0"/>
        <w:rPr>
          <w:sz w:val="20"/>
          <w:szCs w:val="20"/>
          <w:color w:val="auto"/>
        </w:rPr>
      </w:pPr>
      <w:r>
        <w:rPr>
          <w:rFonts w:ascii="Courier New" w:cs="Courier New" w:eastAsia="Courier New" w:hAnsi="Courier New"/>
          <w:sz w:val="12"/>
          <w:szCs w:val="12"/>
          <w:color w:val="auto"/>
        </w:rPr>
        <w:t>included in the Annual Report (inclusive) (including the</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audited consolidated balance sheets, consolidated statements</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of income, changes in shareholders' equity and cash flow for</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each of the Fiscal Years then ended, together with the</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report thereon of the Auditors); and (b) unaudited reviewed</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consolidated Accounts of the Borrower as at the Quarter</w:t>
      </w:r>
    </w:p>
    <w:p>
      <w:pPr>
        <w:ind w:left="1060"/>
        <w:spacing w:after="0"/>
        <w:rPr>
          <w:sz w:val="20"/>
          <w:szCs w:val="20"/>
          <w:color w:val="auto"/>
        </w:rPr>
      </w:pPr>
      <w:r>
        <w:rPr>
          <w:rFonts w:ascii="Courier New" w:cs="Courier New" w:eastAsia="Courier New" w:hAnsi="Courier New"/>
          <w:sz w:val="12"/>
          <w:szCs w:val="12"/>
          <w:color w:val="auto"/>
        </w:rPr>
        <w:t>included in the most recently filed Report on Form 6-K</w:t>
      </w:r>
    </w:p>
    <w:p>
      <w:pPr>
        <w:ind w:left="1060"/>
        <w:spacing w:after="0" w:line="237" w:lineRule="auto"/>
        <w:rPr>
          <w:sz w:val="20"/>
          <w:szCs w:val="20"/>
          <w:color w:val="auto"/>
        </w:rPr>
      </w:pPr>
      <w:r>
        <w:rPr>
          <w:rFonts w:ascii="Courier New" w:cs="Courier New" w:eastAsia="Courier New" w:hAnsi="Courier New"/>
          <w:sz w:val="12"/>
          <w:szCs w:val="12"/>
          <w:color w:val="auto"/>
        </w:rPr>
        <w:t>containing quarterly financial information (including the</w:t>
      </w:r>
    </w:p>
    <w:p>
      <w:pPr>
        <w:ind w:left="1060"/>
        <w:spacing w:after="0"/>
        <w:rPr>
          <w:sz w:val="20"/>
          <w:szCs w:val="20"/>
          <w:color w:val="auto"/>
        </w:rPr>
      </w:pPr>
      <w:r>
        <w:rPr>
          <w:rFonts w:ascii="Courier New" w:cs="Courier New" w:eastAsia="Courier New" w:hAnsi="Courier New"/>
          <w:sz w:val="12"/>
          <w:szCs w:val="12"/>
          <w:color w:val="auto"/>
        </w:rPr>
        <w:t>consolidated balance sheets, consolidated statements of</w:t>
      </w:r>
    </w:p>
    <w:p>
      <w:pPr>
        <w:ind w:left="1060"/>
        <w:spacing w:after="0" w:line="237" w:lineRule="auto"/>
        <w:rPr>
          <w:sz w:val="20"/>
          <w:szCs w:val="20"/>
          <w:color w:val="auto"/>
        </w:rPr>
      </w:pPr>
      <w:r>
        <w:rPr>
          <w:rFonts w:ascii="Courier New" w:cs="Courier New" w:eastAsia="Courier New" w:hAnsi="Courier New"/>
          <w:sz w:val="12"/>
          <w:szCs w:val="12"/>
          <w:color w:val="auto"/>
        </w:rPr>
        <w:t>income, changes in shareholders' equity and cash flow for</w:t>
      </w:r>
    </w:p>
    <w:p>
      <w:pPr>
        <w:ind w:left="1060"/>
        <w:spacing w:after="0"/>
        <w:rPr>
          <w:sz w:val="20"/>
          <w:szCs w:val="20"/>
          <w:color w:val="auto"/>
        </w:rPr>
      </w:pPr>
      <w:r>
        <w:rPr>
          <w:rFonts w:ascii="Courier New" w:cs="Courier New" w:eastAsia="Courier New" w:hAnsi="Courier New"/>
          <w:sz w:val="12"/>
          <w:szCs w:val="12"/>
          <w:color w:val="auto"/>
        </w:rPr>
        <w:t>the period then ended, including in each case the notes</w:t>
      </w:r>
    </w:p>
    <w:p>
      <w:pPr>
        <w:ind w:left="1060"/>
        <w:spacing w:after="0" w:line="237" w:lineRule="auto"/>
        <w:rPr>
          <w:sz w:val="20"/>
          <w:szCs w:val="20"/>
          <w:color w:val="auto"/>
        </w:rPr>
      </w:pPr>
      <w:r>
        <w:rPr>
          <w:rFonts w:ascii="Courier New" w:cs="Courier New" w:eastAsia="Courier New" w:hAnsi="Courier New"/>
          <w:sz w:val="12"/>
          <w:szCs w:val="12"/>
          <w:color w:val="auto"/>
        </w:rPr>
        <w:t>thereto). Such Accounts and notes truly and fairly present</w:t>
      </w:r>
    </w:p>
    <w:p>
      <w:pPr>
        <w:ind w:left="1060"/>
        <w:spacing w:after="0"/>
        <w:rPr>
          <w:sz w:val="20"/>
          <w:szCs w:val="20"/>
          <w:color w:val="auto"/>
        </w:rPr>
      </w:pPr>
      <w:r>
        <w:rPr>
          <w:rFonts w:ascii="Courier New" w:cs="Courier New" w:eastAsia="Courier New" w:hAnsi="Courier New"/>
          <w:sz w:val="12"/>
          <w:szCs w:val="12"/>
          <w:color w:val="auto"/>
        </w:rPr>
        <w:t>the financial condition and the results of operations,</w:t>
      </w:r>
    </w:p>
    <w:p>
      <w:pPr>
        <w:ind w:left="1060"/>
        <w:spacing w:after="0" w:line="237" w:lineRule="auto"/>
        <w:rPr>
          <w:sz w:val="20"/>
          <w:szCs w:val="20"/>
          <w:color w:val="auto"/>
        </w:rPr>
      </w:pPr>
      <w:r>
        <w:rPr>
          <w:rFonts w:ascii="Courier New" w:cs="Courier New" w:eastAsia="Courier New" w:hAnsi="Courier New"/>
          <w:sz w:val="12"/>
          <w:szCs w:val="12"/>
          <w:color w:val="auto"/>
        </w:rPr>
        <w:t>changes in shareholders' equity and cash flow of the</w:t>
      </w:r>
    </w:p>
    <w:p>
      <w:pPr>
        <w:ind w:left="1060"/>
        <w:spacing w:after="0"/>
        <w:rPr>
          <w:sz w:val="20"/>
          <w:szCs w:val="20"/>
          <w:color w:val="auto"/>
        </w:rPr>
      </w:pPr>
      <w:r>
        <w:rPr>
          <w:rFonts w:ascii="Courier New" w:cs="Courier New" w:eastAsia="Courier New" w:hAnsi="Courier New"/>
          <w:sz w:val="12"/>
          <w:szCs w:val="12"/>
          <w:color w:val="auto"/>
        </w:rPr>
        <w:t>Borrower as at the respective dates of and for the periods</w:t>
      </w:r>
    </w:p>
    <w:p>
      <w:pPr>
        <w:ind w:left="1060"/>
        <w:spacing w:after="0" w:line="237" w:lineRule="auto"/>
        <w:rPr>
          <w:sz w:val="20"/>
          <w:szCs w:val="20"/>
          <w:color w:val="auto"/>
        </w:rPr>
      </w:pPr>
      <w:r>
        <w:rPr>
          <w:rFonts w:ascii="Courier New" w:cs="Courier New" w:eastAsia="Courier New" w:hAnsi="Courier New"/>
          <w:sz w:val="12"/>
          <w:szCs w:val="12"/>
          <w:color w:val="auto"/>
        </w:rPr>
        <w:t>referred to in such Accounts, all in accordance with GAAP,</w:t>
      </w:r>
    </w:p>
    <w:p>
      <w:pPr>
        <w:ind w:left="1060"/>
        <w:spacing w:after="0"/>
        <w:rPr>
          <w:sz w:val="20"/>
          <w:szCs w:val="20"/>
          <w:color w:val="auto"/>
        </w:rPr>
      </w:pPr>
      <w:r>
        <w:rPr>
          <w:rFonts w:ascii="Courier New" w:cs="Courier New" w:eastAsia="Courier New" w:hAnsi="Courier New"/>
          <w:sz w:val="12"/>
          <w:szCs w:val="12"/>
          <w:color w:val="auto"/>
        </w:rPr>
        <w:t>subject, in the case of interim Accounts, to normal</w:t>
      </w:r>
    </w:p>
    <w:p>
      <w:pPr>
        <w:ind w:left="1060"/>
        <w:spacing w:after="0" w:line="237" w:lineRule="auto"/>
        <w:rPr>
          <w:sz w:val="20"/>
          <w:szCs w:val="20"/>
          <w:color w:val="auto"/>
        </w:rPr>
      </w:pPr>
      <w:r>
        <w:rPr>
          <w:rFonts w:ascii="Courier New" w:cs="Courier New" w:eastAsia="Courier New" w:hAnsi="Courier New"/>
          <w:sz w:val="12"/>
          <w:szCs w:val="12"/>
          <w:color w:val="auto"/>
        </w:rPr>
        <w:t>recurring year-end adjustments (the effect of which will</w:t>
      </w:r>
    </w:p>
    <w:p>
      <w:pPr>
        <w:ind w:left="1060"/>
        <w:spacing w:after="0"/>
        <w:rPr>
          <w:sz w:val="20"/>
          <w:szCs w:val="20"/>
          <w:color w:val="auto"/>
        </w:rPr>
      </w:pPr>
      <w:r>
        <w:rPr>
          <w:rFonts w:ascii="Courier New" w:cs="Courier New" w:eastAsia="Courier New" w:hAnsi="Courier New"/>
          <w:sz w:val="12"/>
          <w:szCs w:val="12"/>
          <w:color w:val="auto"/>
        </w:rPr>
        <w:t>not, individually or in the aggregate, be materially</w:t>
      </w:r>
    </w:p>
    <w:p>
      <w:pPr>
        <w:ind w:left="1060"/>
        <w:spacing w:after="0" w:line="237" w:lineRule="auto"/>
        <w:rPr>
          <w:sz w:val="20"/>
          <w:szCs w:val="20"/>
          <w:color w:val="auto"/>
        </w:rPr>
      </w:pPr>
      <w:r>
        <w:rPr>
          <w:rFonts w:ascii="Courier New" w:cs="Courier New" w:eastAsia="Courier New" w:hAnsi="Courier New"/>
          <w:sz w:val="12"/>
          <w:szCs w:val="12"/>
          <w:color w:val="auto"/>
        </w:rPr>
        <w:t>adverse); the Accounts referred to in this clause 15.8.2</w:t>
      </w:r>
    </w:p>
    <w:p>
      <w:pPr>
        <w:ind w:left="1060"/>
        <w:spacing w:after="0"/>
        <w:rPr>
          <w:sz w:val="20"/>
          <w:szCs w:val="20"/>
          <w:color w:val="auto"/>
        </w:rPr>
      </w:pPr>
      <w:r>
        <w:rPr>
          <w:rFonts w:ascii="Courier New" w:cs="Courier New" w:eastAsia="Courier New" w:hAnsi="Courier New"/>
          <w:sz w:val="12"/>
          <w:szCs w:val="12"/>
          <w:color w:val="auto"/>
        </w:rPr>
        <w:t>reflect the consistent application of such accounting</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principles throughout the periods involved, except as stated</w:t>
      </w:r>
    </w:p>
    <w:p>
      <w:pPr>
        <w:spacing w:after="0" w:line="10"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in the Accounts and in the explanation provided pursuant to</w:t>
      </w: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clause 16.2.6 below."</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w:t>
      </w:r>
    </w:p>
    <w:p>
      <w:pPr>
        <w:spacing w:after="0" w:line="139"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2.3.4. clause 15.13 (PERMITTED SUBORDINATED DEBT) shall be amended to</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delete the words "existing as at the Amendment Closing Date are</w:t>
      </w:r>
    </w:p>
    <w:p>
      <w:pPr>
        <w:ind w:left="700"/>
        <w:spacing w:after="0"/>
        <w:rPr>
          <w:sz w:val="20"/>
          <w:szCs w:val="20"/>
          <w:color w:val="auto"/>
        </w:rPr>
      </w:pPr>
      <w:r>
        <w:rPr>
          <w:rFonts w:ascii="Courier New" w:cs="Courier New" w:eastAsia="Courier New" w:hAnsi="Courier New"/>
          <w:sz w:val="12"/>
          <w:szCs w:val="12"/>
          <w:color w:val="auto"/>
        </w:rPr>
        <w:t>attached as SCHEDULE 15.13 hereto" and substitute therefor,</w:t>
      </w:r>
    </w:p>
    <w:p>
      <w:pPr>
        <w:ind w:left="700"/>
        <w:spacing w:after="0" w:line="237" w:lineRule="auto"/>
        <w:rPr>
          <w:sz w:val="20"/>
          <w:szCs w:val="20"/>
          <w:color w:val="auto"/>
        </w:rPr>
      </w:pPr>
      <w:r>
        <w:rPr>
          <w:rFonts w:ascii="Courier New" w:cs="Courier New" w:eastAsia="Courier New" w:hAnsi="Courier New"/>
          <w:sz w:val="12"/>
          <w:szCs w:val="12"/>
          <w:color w:val="auto"/>
        </w:rPr>
        <w:t>"issued since the Amendment Closing Date have been delivered to</w:t>
      </w:r>
    </w:p>
    <w:p>
      <w:pPr>
        <w:ind w:left="700"/>
        <w:spacing w:after="0"/>
        <w:rPr>
          <w:sz w:val="20"/>
          <w:szCs w:val="20"/>
          <w:color w:val="auto"/>
        </w:rPr>
      </w:pPr>
      <w:r>
        <w:rPr>
          <w:rFonts w:ascii="Courier New" w:cs="Courier New" w:eastAsia="Courier New" w:hAnsi="Courier New"/>
          <w:sz w:val="12"/>
          <w:szCs w:val="12"/>
          <w:color w:val="auto"/>
        </w:rPr>
        <w:t>the Banks".</w:t>
      </w:r>
    </w:p>
    <w:p>
      <w:pPr>
        <w:spacing w:after="0" w:line="269" w:lineRule="exact"/>
        <w:rPr>
          <w:sz w:val="20"/>
          <w:szCs w:val="20"/>
          <w:color w:val="auto"/>
        </w:rPr>
      </w:pPr>
    </w:p>
    <w:p>
      <w:pPr>
        <w:ind w:left="2260"/>
        <w:spacing w:after="0"/>
        <w:rPr>
          <w:sz w:val="20"/>
          <w:szCs w:val="20"/>
          <w:color w:val="auto"/>
        </w:rPr>
      </w:pPr>
      <w:r>
        <w:rPr>
          <w:rFonts w:ascii="Courier New" w:cs="Courier New" w:eastAsia="Courier New" w:hAnsi="Courier New"/>
          <w:sz w:val="12"/>
          <w:szCs w:val="12"/>
          <w:color w:val="auto"/>
        </w:rPr>
        <w:t>- 14 -</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2.4. Clause 16 (UNDERTAKINGS) shall be amended as follows:</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2.4.1. clause 16.7 (DISTRIBUTIONS) shall be amended as follows:</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2.4.1.1. clause 16.7.3 shall be amended to add the following:</w:t>
      </w:r>
    </w:p>
    <w:p>
      <w:pPr>
        <w:spacing w:after="0" w:line="139"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"(x) payments to TIC with respect to Permitted Subordinated</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TIC Debt provided by TIC to the Borrower partially to</w:t>
      </w:r>
    </w:p>
    <w:p>
      <w:pPr>
        <w:spacing w:after="0" w:line="4" w:lineRule="exact"/>
        <w:rPr>
          <w:sz w:val="20"/>
          <w:szCs w:val="20"/>
          <w:color w:val="auto"/>
        </w:rPr>
      </w:pPr>
    </w:p>
    <w:p>
      <w:pPr>
        <w:ind w:left="1400"/>
        <w:spacing w:after="0"/>
        <w:rPr>
          <w:sz w:val="20"/>
          <w:szCs w:val="20"/>
          <w:color w:val="auto"/>
        </w:rPr>
      </w:pPr>
      <w:r>
        <w:rPr>
          <w:rFonts w:ascii="Courier New" w:cs="Courier New" w:eastAsia="Courier New" w:hAnsi="Courier New"/>
          <w:sz w:val="11"/>
          <w:szCs w:val="11"/>
          <w:color w:val="auto"/>
        </w:rPr>
        <w:t>finance the purchase of the Equipment (but only to the</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extent such payments are permitted under the terms of</w:t>
      </w:r>
    </w:p>
    <w:p>
      <w:pPr>
        <w:ind w:left="1400"/>
        <w:spacing w:after="0"/>
        <w:rPr>
          <w:sz w:val="20"/>
          <w:szCs w:val="20"/>
          <w:color w:val="auto"/>
        </w:rPr>
      </w:pPr>
      <w:r>
        <w:rPr>
          <w:rFonts w:ascii="Courier New" w:cs="Courier New" w:eastAsia="Courier New" w:hAnsi="Courier New"/>
          <w:sz w:val="12"/>
          <w:szCs w:val="12"/>
          <w:color w:val="auto"/>
        </w:rPr>
        <w:t>clause 1.1.115(l) above);"</w:t>
      </w:r>
    </w:p>
    <w:p>
      <w:pPr>
        <w:spacing w:after="0" w:line="133" w:lineRule="exact"/>
        <w:rPr>
          <w:sz w:val="20"/>
          <w:szCs w:val="20"/>
          <w:color w:val="auto"/>
        </w:rPr>
      </w:pPr>
    </w:p>
    <w:p>
      <w:pPr>
        <w:ind w:left="1060"/>
        <w:spacing w:after="0"/>
        <w:rPr>
          <w:sz w:val="20"/>
          <w:szCs w:val="20"/>
          <w:color w:val="auto"/>
        </w:rPr>
      </w:pPr>
      <w:r>
        <w:rPr>
          <w:rFonts w:ascii="Courier New" w:cs="Courier New" w:eastAsia="Courier New" w:hAnsi="Courier New"/>
          <w:sz w:val="12"/>
          <w:szCs w:val="12"/>
          <w:color w:val="auto"/>
        </w:rPr>
        <w:t>and</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2.4.1.2. to add a new clause 16.7.4 thereto, as follows:</w:t>
      </w:r>
    </w:p>
    <w:p>
      <w:pPr>
        <w:spacing w:after="0" w:line="139" w:lineRule="exact"/>
        <w:rPr>
          <w:sz w:val="20"/>
          <w:szCs w:val="20"/>
          <w:color w:val="auto"/>
        </w:rPr>
      </w:pPr>
    </w:p>
    <w:p>
      <w:pPr>
        <w:ind w:left="1060"/>
        <w:spacing w:after="0"/>
        <w:rPr>
          <w:sz w:val="20"/>
          <w:szCs w:val="20"/>
          <w:color w:val="auto"/>
        </w:rPr>
      </w:pPr>
      <w:r>
        <w:rPr>
          <w:rFonts w:ascii="Courier New" w:cs="Courier New" w:eastAsia="Courier New" w:hAnsi="Courier New"/>
          <w:sz w:val="11"/>
          <w:szCs w:val="11"/>
          <w:color w:val="auto"/>
        </w:rPr>
        <w:t>"16.7.4 make or resolve to make any repayment, prepayment or</w:t>
      </w:r>
    </w:p>
    <w:p>
      <w:pPr>
        <w:spacing w:after="0" w:line="6" w:lineRule="exact"/>
        <w:rPr>
          <w:sz w:val="20"/>
          <w:szCs w:val="20"/>
          <w:color w:val="auto"/>
        </w:rPr>
      </w:pPr>
    </w:p>
    <w:p>
      <w:pPr>
        <w:ind w:left="1400"/>
        <w:spacing w:after="0"/>
        <w:rPr>
          <w:sz w:val="20"/>
          <w:szCs w:val="20"/>
          <w:color w:val="auto"/>
        </w:rPr>
      </w:pPr>
      <w:r>
        <w:rPr>
          <w:rFonts w:ascii="Courier New" w:cs="Courier New" w:eastAsia="Courier New" w:hAnsi="Courier New"/>
          <w:sz w:val="12"/>
          <w:szCs w:val="12"/>
          <w:color w:val="auto"/>
        </w:rPr>
        <w:t>payment (in cash or in kind) of the principal of, or</w:t>
      </w:r>
    </w:p>
    <w:p>
      <w:pPr>
        <w:ind w:left="1400"/>
        <w:spacing w:after="0"/>
        <w:rPr>
          <w:sz w:val="20"/>
          <w:szCs w:val="20"/>
          <w:color w:val="auto"/>
        </w:rPr>
      </w:pPr>
      <w:r>
        <w:rPr>
          <w:rFonts w:ascii="Courier New" w:cs="Courier New" w:eastAsia="Courier New" w:hAnsi="Courier New"/>
          <w:sz w:val="12"/>
          <w:szCs w:val="12"/>
          <w:color w:val="auto"/>
        </w:rPr>
        <w:t>Interest (whether or not capitalised) or other amount</w:t>
      </w:r>
    </w:p>
    <w:p>
      <w:pPr>
        <w:ind w:left="1400"/>
        <w:spacing w:after="0" w:line="237" w:lineRule="auto"/>
        <w:rPr>
          <w:sz w:val="20"/>
          <w:szCs w:val="20"/>
          <w:color w:val="auto"/>
        </w:rPr>
      </w:pPr>
      <w:r>
        <w:rPr>
          <w:rFonts w:ascii="Courier New" w:cs="Courier New" w:eastAsia="Courier New" w:hAnsi="Courier New"/>
          <w:sz w:val="12"/>
          <w:szCs w:val="12"/>
          <w:color w:val="auto"/>
        </w:rPr>
        <w:t>on or in respect of the Equipment Facility, or any</w:t>
      </w:r>
    </w:p>
    <w:p>
      <w:pPr>
        <w:ind w:left="1400"/>
        <w:spacing w:after="0"/>
        <w:rPr>
          <w:sz w:val="20"/>
          <w:szCs w:val="20"/>
          <w:color w:val="auto"/>
        </w:rPr>
      </w:pPr>
      <w:r>
        <w:rPr>
          <w:rFonts w:ascii="Courier New" w:cs="Courier New" w:eastAsia="Courier New" w:hAnsi="Courier New"/>
          <w:sz w:val="12"/>
          <w:szCs w:val="12"/>
          <w:color w:val="auto"/>
        </w:rPr>
        <w:t>purchase, redemption or retirement of any Equipment</w:t>
      </w:r>
    </w:p>
    <w:p>
      <w:pPr>
        <w:ind w:left="1400"/>
        <w:spacing w:after="0" w:line="237" w:lineRule="auto"/>
        <w:rPr>
          <w:sz w:val="20"/>
          <w:szCs w:val="20"/>
          <w:color w:val="auto"/>
        </w:rPr>
      </w:pPr>
      <w:r>
        <w:rPr>
          <w:rFonts w:ascii="Courier New" w:cs="Courier New" w:eastAsia="Courier New" w:hAnsi="Courier New"/>
          <w:sz w:val="12"/>
          <w:szCs w:val="12"/>
          <w:color w:val="auto"/>
        </w:rPr>
        <w:t>Facility Credits, save to the extent permitted under</w:t>
      </w:r>
    </w:p>
    <w:p>
      <w:pPr>
        <w:ind w:left="1400"/>
        <w:spacing w:after="0"/>
        <w:rPr>
          <w:sz w:val="20"/>
          <w:szCs w:val="20"/>
          <w:color w:val="auto"/>
        </w:rPr>
      </w:pPr>
      <w:r>
        <w:rPr>
          <w:rFonts w:ascii="Courier New" w:cs="Courier New" w:eastAsia="Courier New" w:hAnsi="Courier New"/>
          <w:sz w:val="12"/>
          <w:szCs w:val="12"/>
          <w:color w:val="auto"/>
        </w:rPr>
        <w:t>the terms of clause 1.1.115(l) above;</w:t>
      </w:r>
    </w:p>
    <w:p>
      <w:pPr>
        <w:spacing w:after="0" w:line="138" w:lineRule="exact"/>
        <w:rPr>
          <w:sz w:val="20"/>
          <w:szCs w:val="20"/>
          <w:color w:val="auto"/>
        </w:rPr>
      </w:pPr>
    </w:p>
    <w:p>
      <w:pPr>
        <w:ind w:left="360"/>
        <w:spacing w:after="0"/>
        <w:rPr>
          <w:sz w:val="20"/>
          <w:szCs w:val="20"/>
          <w:color w:val="auto"/>
        </w:rPr>
      </w:pPr>
      <w:r>
        <w:rPr>
          <w:rFonts w:ascii="Courier New" w:cs="Courier New" w:eastAsia="Courier New" w:hAnsi="Courier New"/>
          <w:sz w:val="11"/>
          <w:szCs w:val="11"/>
          <w:color w:val="auto"/>
        </w:rPr>
        <w:t>2.4.2. clause 16.10 (INSURANCE) shall be amended to add the following</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at the end of clause 16.10.1:</w:t>
      </w:r>
    </w:p>
    <w:p>
      <w:pPr>
        <w:spacing w:after="0" w:line="134"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"and the total outstandings under all other Finance Documents,</w:t>
      </w:r>
    </w:p>
    <w:p>
      <w:pPr>
        <w:ind w:left="700"/>
        <w:spacing w:after="0"/>
        <w:rPr>
          <w:sz w:val="20"/>
          <w:szCs w:val="20"/>
          <w:color w:val="auto"/>
        </w:rPr>
      </w:pPr>
      <w:r>
        <w:rPr>
          <w:rFonts w:ascii="Courier New" w:cs="Courier New" w:eastAsia="Courier New" w:hAnsi="Courier New"/>
          <w:sz w:val="12"/>
          <w:szCs w:val="12"/>
          <w:color w:val="auto"/>
        </w:rPr>
        <w:t>including the aggregate of all Equipment Facility Credits</w:t>
      </w:r>
    </w:p>
    <w:p>
      <w:pPr>
        <w:ind w:left="700"/>
        <w:spacing w:after="0" w:line="237" w:lineRule="auto"/>
        <w:rPr>
          <w:sz w:val="20"/>
          <w:szCs w:val="20"/>
          <w:color w:val="auto"/>
        </w:rPr>
      </w:pPr>
      <w:r>
        <w:rPr>
          <w:rFonts w:ascii="Courier New" w:cs="Courier New" w:eastAsia="Courier New" w:hAnsi="Courier New"/>
          <w:sz w:val="12"/>
          <w:szCs w:val="12"/>
          <w:color w:val="auto"/>
        </w:rPr>
        <w:t>outstanding under Equipment Facilities provided severally by a</w:t>
      </w:r>
    </w:p>
    <w:p>
      <w:pPr>
        <w:ind w:left="700"/>
        <w:spacing w:after="0"/>
        <w:rPr>
          <w:sz w:val="20"/>
          <w:szCs w:val="20"/>
          <w:color w:val="auto"/>
        </w:rPr>
      </w:pPr>
      <w:r>
        <w:rPr>
          <w:rFonts w:ascii="Courier New" w:cs="Courier New" w:eastAsia="Courier New" w:hAnsi="Courier New"/>
          <w:sz w:val="12"/>
          <w:szCs w:val="12"/>
          <w:color w:val="auto"/>
        </w:rPr>
        <w:t>Bank to the Borrower at such time;"</w:t>
      </w:r>
    </w:p>
    <w:p>
      <w:pPr>
        <w:spacing w:after="0" w:line="133"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2.4.3. clause 16.31.1 (BANK ACCOUNTS) shall be amended to delete the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words "and 1.1.115(j)" in clause 16.31.1 and substitute therefor,</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 1.1.115(j) and 1.1.115(l)";</w:t>
      </w:r>
    </w:p>
    <w:p>
      <w:pPr>
        <w:spacing w:after="0" w:line="134" w:lineRule="exact"/>
        <w:rPr>
          <w:sz w:val="20"/>
          <w:szCs w:val="20"/>
          <w:color w:val="auto"/>
        </w:rPr>
      </w:pPr>
    </w:p>
    <w:p>
      <w:pPr>
        <w:ind w:left="360"/>
        <w:spacing w:after="0"/>
        <w:rPr>
          <w:sz w:val="20"/>
          <w:szCs w:val="20"/>
          <w:color w:val="auto"/>
        </w:rPr>
      </w:pPr>
      <w:r>
        <w:rPr>
          <w:rFonts w:ascii="Courier New" w:cs="Courier New" w:eastAsia="Courier New" w:hAnsi="Courier New"/>
          <w:sz w:val="12"/>
          <w:szCs w:val="12"/>
          <w:color w:val="auto"/>
        </w:rPr>
        <w:t>2.4.4. clause 16.27.3.3 shall be amended to add the following at the</w:t>
      </w:r>
    </w:p>
    <w:p>
      <w:pPr>
        <w:ind w:left="700"/>
        <w:spacing w:after="0"/>
        <w:rPr>
          <w:sz w:val="20"/>
          <w:szCs w:val="20"/>
          <w:color w:val="auto"/>
        </w:rPr>
      </w:pPr>
      <w:r>
        <w:rPr>
          <w:rFonts w:ascii="Courier New" w:cs="Courier New" w:eastAsia="Courier New" w:hAnsi="Courier New"/>
          <w:sz w:val="12"/>
          <w:szCs w:val="12"/>
          <w:color w:val="auto"/>
        </w:rPr>
        <w:t>end thereof:</w:t>
      </w:r>
    </w:p>
    <w:p>
      <w:pPr>
        <w:spacing w:after="0" w:line="133"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"Notwithstanding anything to the contrary in this clause</w:t>
      </w:r>
    </w:p>
    <w:p>
      <w:pPr>
        <w:ind w:left="700"/>
        <w:spacing w:after="0"/>
        <w:rPr>
          <w:sz w:val="20"/>
          <w:szCs w:val="20"/>
          <w:color w:val="auto"/>
        </w:rPr>
      </w:pPr>
      <w:r>
        <w:rPr>
          <w:rFonts w:ascii="Courier New" w:cs="Courier New" w:eastAsia="Courier New" w:hAnsi="Courier New"/>
          <w:sz w:val="12"/>
          <w:szCs w:val="12"/>
          <w:color w:val="auto"/>
        </w:rPr>
        <w:t>16.27.3.3, no Paid-in Equity contributed or wafer prepayments</w:t>
      </w:r>
    </w:p>
    <w:p>
      <w:pPr>
        <w:ind w:left="700"/>
        <w:spacing w:after="0" w:line="237" w:lineRule="auto"/>
        <w:rPr>
          <w:sz w:val="20"/>
          <w:szCs w:val="20"/>
          <w:color w:val="auto"/>
        </w:rPr>
      </w:pPr>
      <w:r>
        <w:rPr>
          <w:rFonts w:ascii="Courier New" w:cs="Courier New" w:eastAsia="Courier New" w:hAnsi="Courier New"/>
          <w:sz w:val="12"/>
          <w:szCs w:val="12"/>
          <w:color w:val="auto"/>
        </w:rPr>
        <w:t>paid in order to meet the conditions set forth in clause</w:t>
      </w:r>
    </w:p>
    <w:p>
      <w:pPr>
        <w:ind w:left="700"/>
        <w:spacing w:after="0"/>
        <w:rPr>
          <w:sz w:val="20"/>
          <w:szCs w:val="20"/>
          <w:color w:val="auto"/>
        </w:rPr>
      </w:pPr>
      <w:r>
        <w:rPr>
          <w:rFonts w:ascii="Courier New" w:cs="Courier New" w:eastAsia="Courier New" w:hAnsi="Courier New"/>
          <w:sz w:val="12"/>
          <w:szCs w:val="12"/>
          <w:color w:val="auto"/>
        </w:rPr>
        <w:t>1.1.115(l) above so as to permit the incurrence by the Borrower</w:t>
      </w:r>
    </w:p>
    <w:p>
      <w:pPr>
        <w:ind w:left="700"/>
        <w:spacing w:after="0" w:line="237" w:lineRule="auto"/>
        <w:rPr>
          <w:sz w:val="20"/>
          <w:szCs w:val="20"/>
          <w:color w:val="auto"/>
        </w:rPr>
      </w:pPr>
      <w:r>
        <w:rPr>
          <w:rFonts w:ascii="Courier New" w:cs="Courier New" w:eastAsia="Courier New" w:hAnsi="Courier New"/>
          <w:sz w:val="12"/>
          <w:szCs w:val="12"/>
          <w:color w:val="auto"/>
        </w:rPr>
        <w:t>of Financial Indebtedness described in clause 1.1.115(l) above</w:t>
      </w:r>
    </w:p>
    <w:p>
      <w:pPr>
        <w:spacing w:after="0" w:line="4" w:lineRule="exact"/>
        <w:rPr>
          <w:sz w:val="20"/>
          <w:szCs w:val="20"/>
          <w:color w:val="auto"/>
        </w:rPr>
      </w:pPr>
    </w:p>
    <w:p>
      <w:pPr>
        <w:ind w:left="700"/>
        <w:spacing w:after="0"/>
        <w:rPr>
          <w:sz w:val="20"/>
          <w:szCs w:val="20"/>
          <w:color w:val="auto"/>
        </w:rPr>
      </w:pPr>
      <w:r>
        <w:rPr>
          <w:rFonts w:ascii="Courier New" w:cs="Courier New" w:eastAsia="Courier New" w:hAnsi="Courier New"/>
          <w:sz w:val="11"/>
          <w:szCs w:val="11"/>
          <w:color w:val="auto"/>
        </w:rPr>
        <w:t>may also be counted as Paid-in Equity or wafer prepayments to be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2"/>
          <w:szCs w:val="12"/>
          <w:color w:val="auto"/>
        </w:rPr>
        <w:t>procured by the Borrower under this clause 16.27.3.3 above.";</w:t>
      </w:r>
    </w:p>
    <w:p>
      <w:pPr>
        <w:sectPr>
          <w:pgSz w:w="11900" w:h="16838" w:orient="portrait"/>
          <w:cols w:equalWidth="0" w:num="1">
            <w:col w:w="9899"/>
          </w:cols>
          <w:pgMar w:left="560" w:top="137" w:right="1440" w:bottom="0" w:gutter="0" w:footer="0" w:header="0"/>
        </w:sectPr>
      </w:pPr>
    </w:p>
    <w:bookmarkStart w:id="115" w:name="page116"/>
    <w:bookmarkEnd w:id="115"/>
    <w:p>
      <w:pPr>
        <w:spacing w:after="0" w:line="80"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- 15 -</w:t>
      </w:r>
    </w:p>
    <w:p>
      <w:pPr>
        <w:spacing w:after="0" w:line="38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and</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2.4.5. clause 16.29 shall be amended to add the following paragraph</w:t>
      </w:r>
    </w:p>
    <w:p>
      <w:pPr>
        <w:ind w:left="1048"/>
        <w:spacing w:after="0"/>
        <w:rPr>
          <w:sz w:val="20"/>
          <w:szCs w:val="20"/>
          <w:color w:val="auto"/>
        </w:rPr>
      </w:pPr>
      <w:r>
        <w:rPr>
          <w:rFonts w:ascii="Courier New" w:cs="Courier New" w:eastAsia="Courier New" w:hAnsi="Courier New"/>
          <w:sz w:val="12"/>
          <w:szCs w:val="12"/>
          <w:color w:val="auto"/>
        </w:rPr>
        <w:t>thereto:</w:t>
      </w:r>
    </w:p>
    <w:p>
      <w:pPr>
        <w:spacing w:after="0" w:line="133"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attached SCHEDULE 16.29A, prepared in accordance with IFRS</w:t>
      </w:r>
    </w:p>
    <w:p>
      <w:pPr>
        <w:ind w:left="1048"/>
        <w:spacing w:after="0"/>
        <w:rPr>
          <w:sz w:val="20"/>
          <w:szCs w:val="20"/>
          <w:color w:val="auto"/>
        </w:rPr>
      </w:pPr>
      <w:r>
        <w:rPr>
          <w:rFonts w:ascii="Courier New" w:cs="Courier New" w:eastAsia="Courier New" w:hAnsi="Courier New"/>
          <w:sz w:val="12"/>
          <w:szCs w:val="12"/>
          <w:color w:val="auto"/>
        </w:rPr>
        <w:t>shall replace and supersede Schedule 16.29 effective January 1,</w:t>
      </w:r>
    </w:p>
    <w:p>
      <w:pPr>
        <w:ind w:left="1048"/>
        <w:spacing w:after="0" w:line="237" w:lineRule="auto"/>
        <w:rPr>
          <w:sz w:val="20"/>
          <w:szCs w:val="20"/>
          <w:color w:val="auto"/>
        </w:rPr>
      </w:pPr>
      <w:r>
        <w:rPr>
          <w:rFonts w:ascii="Courier New" w:cs="Courier New" w:eastAsia="Courier New" w:hAnsi="Courier New"/>
          <w:sz w:val="12"/>
          <w:szCs w:val="12"/>
          <w:color w:val="auto"/>
        </w:rPr>
        <w:t>2008 with respect to Quarters beginning on and after January 1,</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2008 and all references in this clause 16.29 to `Schedule 16.29'</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shall be references to `Schedule 16.29A'. Should the Borrower</w:t>
      </w:r>
    </w:p>
    <w:p>
      <w:pPr>
        <w:ind w:left="1048"/>
        <w:spacing w:after="0"/>
        <w:rPr>
          <w:sz w:val="20"/>
          <w:szCs w:val="20"/>
          <w:color w:val="auto"/>
        </w:rPr>
      </w:pPr>
      <w:r>
        <w:rPr>
          <w:rFonts w:ascii="Courier New" w:cs="Courier New" w:eastAsia="Courier New" w:hAnsi="Courier New"/>
          <w:sz w:val="12"/>
          <w:szCs w:val="12"/>
          <w:color w:val="auto"/>
        </w:rPr>
        <w:t>voluntarily choose to adopt IFRS prior to January 1, 2008, the</w:t>
      </w:r>
    </w:p>
    <w:p>
      <w:pPr>
        <w:ind w:left="1048"/>
        <w:spacing w:after="0" w:line="237" w:lineRule="auto"/>
        <w:rPr>
          <w:sz w:val="20"/>
          <w:szCs w:val="20"/>
          <w:color w:val="auto"/>
        </w:rPr>
      </w:pPr>
      <w:r>
        <w:rPr>
          <w:rFonts w:ascii="Courier New" w:cs="Courier New" w:eastAsia="Courier New" w:hAnsi="Courier New"/>
          <w:sz w:val="12"/>
          <w:szCs w:val="12"/>
          <w:color w:val="auto"/>
        </w:rPr>
        <w:t>Borrower shall notify the Banks in writing of same and Schedule</w:t>
      </w:r>
    </w:p>
    <w:p>
      <w:pPr>
        <w:ind w:left="1048"/>
        <w:spacing w:after="0"/>
        <w:rPr>
          <w:sz w:val="20"/>
          <w:szCs w:val="20"/>
          <w:color w:val="auto"/>
        </w:rPr>
      </w:pPr>
      <w:r>
        <w:rPr>
          <w:rFonts w:ascii="Courier New" w:cs="Courier New" w:eastAsia="Courier New" w:hAnsi="Courier New"/>
          <w:sz w:val="12"/>
          <w:szCs w:val="12"/>
          <w:color w:val="auto"/>
        </w:rPr>
        <w:t>16.29A shall replace and supersede Schedule 16.29 as of the</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Quarter in respect of which such early adoption is first applied</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and with effect therefrom all references in this clause 16.29 to</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`Schedule 16.29' shall be references to `Schedule 16.29A'. In</w:t>
      </w:r>
    </w:p>
    <w:p>
      <w:pPr>
        <w:ind w:left="1048"/>
        <w:spacing w:after="0"/>
        <w:rPr>
          <w:sz w:val="20"/>
          <w:szCs w:val="20"/>
          <w:color w:val="auto"/>
        </w:rPr>
      </w:pPr>
      <w:r>
        <w:rPr>
          <w:rFonts w:ascii="Courier New" w:cs="Courier New" w:eastAsia="Courier New" w:hAnsi="Courier New"/>
          <w:sz w:val="12"/>
          <w:szCs w:val="12"/>
          <w:color w:val="auto"/>
        </w:rPr>
        <w:t>addition, with effect from the earlier of the first day of the</w:t>
      </w:r>
    </w:p>
    <w:p>
      <w:pPr>
        <w:ind w:left="1048"/>
        <w:spacing w:after="0" w:line="237" w:lineRule="auto"/>
        <w:rPr>
          <w:sz w:val="20"/>
          <w:szCs w:val="20"/>
          <w:color w:val="auto"/>
        </w:rPr>
      </w:pPr>
      <w:r>
        <w:rPr>
          <w:rFonts w:ascii="Courier New" w:cs="Courier New" w:eastAsia="Courier New" w:hAnsi="Courier New"/>
          <w:sz w:val="12"/>
          <w:szCs w:val="12"/>
          <w:color w:val="auto"/>
        </w:rPr>
        <w:t>first Quarter in respect of which IFRS is fully adopted by the</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Borrower as aforesaid or January 1, 2008, clause 1.1.65 shall be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deemed to be amended to read as follows:</w:t>
      </w:r>
    </w:p>
    <w:p>
      <w:pPr>
        <w:spacing w:after="0" w:line="134"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`1.1.65 `GAAP' - means International Financial Reporting</w:t>
      </w:r>
    </w:p>
    <w:p>
      <w:pPr>
        <w:ind w:left="1408"/>
        <w:spacing w:after="0"/>
        <w:rPr>
          <w:sz w:val="20"/>
          <w:szCs w:val="20"/>
          <w:color w:val="auto"/>
        </w:rPr>
      </w:pPr>
      <w:r>
        <w:rPr>
          <w:rFonts w:ascii="Courier New" w:cs="Courier New" w:eastAsia="Courier New" w:hAnsi="Courier New"/>
          <w:sz w:val="12"/>
          <w:szCs w:val="12"/>
          <w:color w:val="auto"/>
        </w:rPr>
        <w:t>Standards (`IFRS') in force from time to time;'</w:t>
      </w:r>
    </w:p>
    <w:p>
      <w:pPr>
        <w:spacing w:after="0" w:line="138"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Should the Borrower voluntarily choose to adopt, with respect to</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any Quarter prior to January 1, 2008, only partially IFRS, then</w:t>
      </w:r>
    </w:p>
    <w:p>
      <w:pPr>
        <w:ind w:left="1048"/>
        <w:spacing w:after="0"/>
        <w:rPr>
          <w:sz w:val="20"/>
          <w:szCs w:val="20"/>
          <w:color w:val="auto"/>
        </w:rPr>
      </w:pPr>
      <w:r>
        <w:rPr>
          <w:rFonts w:ascii="Courier New" w:cs="Courier New" w:eastAsia="Courier New" w:hAnsi="Courier New"/>
          <w:sz w:val="12"/>
          <w:szCs w:val="12"/>
          <w:color w:val="auto"/>
        </w:rPr>
        <w:t>Schedule 16.29 shall continue to apply, provided that, if the</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Borrower is with respect to any such Quarter as aforesaid not in</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compliance with one or more of the ratios set out in Schedule</w:t>
      </w:r>
    </w:p>
    <w:p>
      <w:pPr>
        <w:spacing w:after="0" w:line="4"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16.29, the Borrower shall be deemed not to be in default of this</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clause 16.29 if such non-compliance is solely as a result of such</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early and partial adoption and the Borrower's Auditors shall have</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delivered (together with the Accounts at the times referred to in</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clause 16.1.1(v) above) to the Banks a certificate, (confirmed as</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being correct by the Bank Adviser), that had GAAP been applied in</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its entirety in respect of such Quarter, the Borrower would have</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been fully in compliance with this clause 16.29 and Schedule</w:t>
      </w:r>
    </w:p>
    <w:p>
      <w:pPr>
        <w:ind w:left="1048"/>
        <w:spacing w:after="0"/>
        <w:rPr>
          <w:sz w:val="20"/>
          <w:szCs w:val="20"/>
          <w:color w:val="auto"/>
        </w:rPr>
      </w:pPr>
      <w:r>
        <w:rPr>
          <w:rFonts w:ascii="Courier New" w:cs="Courier New" w:eastAsia="Courier New" w:hAnsi="Courier New"/>
          <w:sz w:val="12"/>
          <w:szCs w:val="12"/>
          <w:color w:val="auto"/>
        </w:rPr>
        <w:t>16.29 hereto."</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- 16 -</w:t>
      </w:r>
    </w:p>
    <w:p>
      <w:pPr>
        <w:spacing w:after="0" w:line="386" w:lineRule="exact"/>
        <w:rPr>
          <w:sz w:val="20"/>
          <w:szCs w:val="20"/>
          <w:color w:val="auto"/>
        </w:rPr>
      </w:pPr>
    </w:p>
    <w:p>
      <w:pPr>
        <w:jc w:val="center"/>
        <w:ind w:right="4331"/>
        <w:spacing w:after="0"/>
        <w:rPr>
          <w:sz w:val="20"/>
          <w:szCs w:val="20"/>
          <w:color w:val="auto"/>
        </w:rPr>
      </w:pPr>
      <w:r>
        <w:rPr>
          <w:rFonts w:ascii="Courier New" w:cs="Courier New" w:eastAsia="Courier New" w:hAnsi="Courier New"/>
          <w:sz w:val="12"/>
          <w:szCs w:val="12"/>
          <w:color w:val="auto"/>
        </w:rPr>
        <w:t>2.5. Clause 17 (DEFAULT) shall be amended to add the following new clause: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"17.3.4 the Borrower fails to comply with any undertaking or any</w:t>
      </w:r>
    </w:p>
    <w:p>
      <w:pPr>
        <w:ind w:left="1048"/>
        <w:spacing w:after="0"/>
        <w:rPr>
          <w:sz w:val="20"/>
          <w:szCs w:val="20"/>
          <w:color w:val="auto"/>
        </w:rPr>
      </w:pPr>
      <w:r>
        <w:rPr>
          <w:rFonts w:ascii="Courier New" w:cs="Courier New" w:eastAsia="Courier New" w:hAnsi="Courier New"/>
          <w:sz w:val="12"/>
          <w:szCs w:val="12"/>
          <w:color w:val="auto"/>
        </w:rPr>
        <w:t>obligation contained in any Equipment Facility provided to the</w:t>
      </w:r>
    </w:p>
    <w:p>
      <w:pPr>
        <w:spacing w:after="0" w:line="3"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Borrower by an Equipment Lender and, if such breach if capable of</w:t>
      </w:r>
    </w:p>
    <w:p>
      <w:pPr>
        <w:spacing w:after="0" w:line="10" w:lineRule="exact"/>
        <w:rPr>
          <w:sz w:val="20"/>
          <w:szCs w:val="20"/>
          <w:color w:val="auto"/>
        </w:rPr>
      </w:pPr>
    </w:p>
    <w:p>
      <w:pPr>
        <w:ind w:left="1048"/>
        <w:spacing w:after="0"/>
        <w:rPr>
          <w:sz w:val="20"/>
          <w:szCs w:val="20"/>
          <w:color w:val="auto"/>
        </w:rPr>
      </w:pPr>
      <w:r>
        <w:rPr>
          <w:rFonts w:ascii="Courier New" w:cs="Courier New" w:eastAsia="Courier New" w:hAnsi="Courier New"/>
          <w:sz w:val="11"/>
          <w:szCs w:val="11"/>
          <w:color w:val="auto"/>
        </w:rPr>
        <w:t>remedy within such period, within 7 (seven) days after receipt by</w:t>
      </w:r>
    </w:p>
    <w:p>
      <w:pPr>
        <w:spacing w:after="0" w:line="6" w:lineRule="exact"/>
        <w:rPr>
          <w:sz w:val="20"/>
          <w:szCs w:val="20"/>
          <w:color w:val="auto"/>
        </w:rPr>
      </w:pPr>
    </w:p>
    <w:p>
      <w:pPr>
        <w:ind w:left="1048"/>
        <w:spacing w:after="0"/>
        <w:rPr>
          <w:sz w:val="20"/>
          <w:szCs w:val="20"/>
          <w:color w:val="auto"/>
        </w:rPr>
      </w:pPr>
      <w:r>
        <w:rPr>
          <w:rFonts w:ascii="Courier New" w:cs="Courier New" w:eastAsia="Courier New" w:hAnsi="Courier New"/>
          <w:sz w:val="12"/>
          <w:szCs w:val="12"/>
          <w:color w:val="auto"/>
        </w:rPr>
        <w:t>the Borrower of written notice from such Equipment Lender</w:t>
      </w:r>
    </w:p>
    <w:p>
      <w:pPr>
        <w:ind w:left="1048"/>
        <w:spacing w:after="0"/>
        <w:rPr>
          <w:sz w:val="20"/>
          <w:szCs w:val="20"/>
          <w:color w:val="auto"/>
        </w:rPr>
      </w:pPr>
      <w:r>
        <w:rPr>
          <w:rFonts w:ascii="Courier New" w:cs="Courier New" w:eastAsia="Courier New" w:hAnsi="Courier New"/>
          <w:sz w:val="12"/>
          <w:szCs w:val="12"/>
          <w:color w:val="auto"/>
        </w:rPr>
        <w:t>requiring the failure to be remedied, the Borrower shall have</w:t>
      </w:r>
    </w:p>
    <w:p>
      <w:pPr>
        <w:ind w:left="1048"/>
        <w:spacing w:after="0" w:line="237" w:lineRule="auto"/>
        <w:rPr>
          <w:sz w:val="20"/>
          <w:szCs w:val="20"/>
          <w:color w:val="auto"/>
        </w:rPr>
      </w:pPr>
      <w:r>
        <w:rPr>
          <w:rFonts w:ascii="Courier New" w:cs="Courier New" w:eastAsia="Courier New" w:hAnsi="Courier New"/>
          <w:sz w:val="12"/>
          <w:szCs w:val="12"/>
          <w:color w:val="auto"/>
        </w:rPr>
        <w:t>failed to cure such default."</w:t>
      </w:r>
    </w:p>
    <w:p>
      <w:pPr>
        <w:spacing w:after="0" w:line="139" w:lineRule="exact"/>
        <w:rPr>
          <w:sz w:val="20"/>
          <w:szCs w:val="20"/>
          <w:color w:val="auto"/>
        </w:rPr>
      </w:pPr>
    </w:p>
    <w:p>
      <w:pPr>
        <w:jc w:val="both"/>
        <w:ind w:left="708" w:right="4759" w:hanging="350"/>
        <w:spacing w:after="0" w:line="236" w:lineRule="auto"/>
        <w:rPr>
          <w:sz w:val="20"/>
          <w:szCs w:val="20"/>
          <w:color w:val="auto"/>
        </w:rPr>
      </w:pPr>
      <w:r>
        <w:rPr>
          <w:rFonts w:ascii="Courier New" w:cs="Courier New" w:eastAsia="Courier New" w:hAnsi="Courier New"/>
          <w:sz w:val="12"/>
          <w:szCs w:val="12"/>
          <w:color w:val="auto"/>
        </w:rPr>
        <w:t>2.6. New Schedule 1.1.118 (JUNE 6, 2007 CONSENT OF THE BANKS) in the form attached as APPENDIX A hereto shall be added to and form part of the Facility Agreement.</w:t>
      </w:r>
    </w:p>
    <w:p>
      <w:pPr>
        <w:spacing w:after="0" w:line="139" w:lineRule="exact"/>
        <w:rPr>
          <w:sz w:val="20"/>
          <w:szCs w:val="20"/>
          <w:color w:val="auto"/>
        </w:rPr>
      </w:pPr>
    </w:p>
    <w:p>
      <w:pPr>
        <w:ind w:left="708" w:right="4619" w:hanging="350"/>
        <w:spacing w:after="0" w:line="262" w:lineRule="auto"/>
        <w:rPr>
          <w:sz w:val="20"/>
          <w:szCs w:val="20"/>
          <w:color w:val="auto"/>
        </w:rPr>
      </w:pPr>
      <w:r>
        <w:rPr>
          <w:rFonts w:ascii="Courier New" w:cs="Courier New" w:eastAsia="Courier New" w:hAnsi="Courier New"/>
          <w:sz w:val="11"/>
          <w:szCs w:val="11"/>
          <w:color w:val="auto"/>
        </w:rPr>
        <w:t>2.7. Each of the following Schedules shall be replaced by the Amendment No. 1 Closing Date by updated Schedules as referred to in section 3.1.2 below (the updated Schedules, for the removal of doubt, to be in form and substance acceptable to the Banks and to bear the same heading (Schedule number) as those replaced): Schedule 1.1.16 (BUSINESS PLAN), Schedule 16.29 (FINANCIAL COVENANTS-ISRAELI GAAP), Schedule 16.29A (FINANCIAL COVENANTS-IFRS) and Schedule 1.1.106 (NET CASH FLOW).</w:t>
      </w:r>
    </w:p>
    <w:p>
      <w:pPr>
        <w:spacing w:after="0" w:line="124" w:lineRule="exact"/>
        <w:rPr>
          <w:sz w:val="20"/>
          <w:szCs w:val="20"/>
          <w:color w:val="auto"/>
        </w:rPr>
      </w:pPr>
    </w:p>
    <w:p>
      <w:pPr>
        <w:ind w:left="348" w:hanging="348"/>
        <w:spacing w:after="0"/>
        <w:tabs>
          <w:tab w:leader="none" w:pos="348" w:val="left"/>
        </w:tabs>
        <w:numPr>
          <w:ilvl w:val="0"/>
          <w:numId w:val="164"/>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CONDITIONS PRECEDENT</w:t>
      </w:r>
    </w:p>
    <w:p>
      <w:pPr>
        <w:spacing w:after="0" w:line="138" w:lineRule="exact"/>
        <w:rPr>
          <w:rFonts w:ascii="Courier New" w:cs="Courier New" w:eastAsia="Courier New" w:hAnsi="Courier New"/>
          <w:sz w:val="12"/>
          <w:szCs w:val="12"/>
          <w:color w:val="auto"/>
        </w:rPr>
      </w:pPr>
    </w:p>
    <w:p>
      <w:pPr>
        <w:ind w:left="708" w:right="4759" w:hanging="351"/>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3.1. This Amendment No. 1 is subject to the conditions precedent that the Banks shall have received, by not later than December 31, 2007 (or such earlier date expressly set out with respect thereto below), the following documents, information, matters and things in form and substance satisfactory to the Banks:</w:t>
      </w:r>
    </w:p>
    <w:p>
      <w:pPr>
        <w:spacing w:after="0" w:line="135"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3.1.1. an opinion of Yigal Arnon &amp; Co., Advocates, the Borrower's</w:t>
      </w:r>
    </w:p>
    <w:p>
      <w:pPr>
        <w:ind w:left="1048"/>
        <w:spacing w:after="0"/>
        <w:rPr>
          <w:sz w:val="20"/>
          <w:szCs w:val="20"/>
          <w:color w:val="auto"/>
        </w:rPr>
      </w:pPr>
      <w:r>
        <w:rPr>
          <w:rFonts w:ascii="Courier New" w:cs="Courier New" w:eastAsia="Courier New" w:hAnsi="Courier New"/>
          <w:sz w:val="12"/>
          <w:szCs w:val="12"/>
          <w:color w:val="auto"/>
        </w:rPr>
        <w:t>external legal counsel, addressed to the Banks;</w:t>
      </w:r>
    </w:p>
    <w:p>
      <w:pPr>
        <w:spacing w:after="0" w:line="269" w:lineRule="exact"/>
        <w:rPr>
          <w:sz w:val="20"/>
          <w:szCs w:val="20"/>
          <w:color w:val="auto"/>
        </w:rPr>
      </w:pPr>
    </w:p>
    <w:p>
      <w:pPr>
        <w:ind w:left="2608"/>
        <w:spacing w:after="0"/>
        <w:rPr>
          <w:sz w:val="20"/>
          <w:szCs w:val="20"/>
          <w:color w:val="auto"/>
        </w:rPr>
      </w:pPr>
      <w:r>
        <w:rPr>
          <w:rFonts w:ascii="Courier New" w:cs="Courier New" w:eastAsia="Courier New" w:hAnsi="Courier New"/>
          <w:sz w:val="12"/>
          <w:szCs w:val="12"/>
          <w:color w:val="auto"/>
        </w:rPr>
        <w:t>- 17 -</w:t>
      </w:r>
    </w:p>
    <w:p>
      <w:pPr>
        <w:spacing w:after="0" w:line="386"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3.1.2. each updated Schedule referred to in section 2.7 above;</w:t>
      </w:r>
    </w:p>
    <w:p>
      <w:pPr>
        <w:spacing w:after="0" w:line="134"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3.1.3. payment by the Borrower of any and all fees payable to each</w:t>
      </w:r>
    </w:p>
    <w:p>
      <w:pPr>
        <w:ind w:left="1048"/>
        <w:spacing w:after="0"/>
        <w:rPr>
          <w:sz w:val="20"/>
          <w:szCs w:val="20"/>
          <w:color w:val="auto"/>
        </w:rPr>
      </w:pPr>
      <w:r>
        <w:rPr>
          <w:rFonts w:ascii="Courier New" w:cs="Courier New" w:eastAsia="Courier New" w:hAnsi="Courier New"/>
          <w:sz w:val="12"/>
          <w:szCs w:val="12"/>
          <w:color w:val="auto"/>
        </w:rPr>
        <w:t>Bank on or prior to the Amendment No. 1 Closing Date; and</w:t>
      </w:r>
    </w:p>
    <w:p>
      <w:pPr>
        <w:spacing w:after="0" w:line="133" w:lineRule="exact"/>
        <w:rPr>
          <w:sz w:val="20"/>
          <w:szCs w:val="20"/>
          <w:color w:val="auto"/>
        </w:rPr>
      </w:pPr>
    </w:p>
    <w:p>
      <w:pPr>
        <w:ind w:left="708"/>
        <w:spacing w:after="0"/>
        <w:rPr>
          <w:sz w:val="20"/>
          <w:szCs w:val="20"/>
          <w:color w:val="auto"/>
        </w:rPr>
      </w:pPr>
      <w:r>
        <w:rPr>
          <w:rFonts w:ascii="Courier New" w:cs="Courier New" w:eastAsia="Courier New" w:hAnsi="Courier New"/>
          <w:sz w:val="12"/>
          <w:szCs w:val="12"/>
          <w:color w:val="auto"/>
        </w:rPr>
        <w:t>3.1.4. all of the Borrower's representations and warranties given</w:t>
      </w:r>
    </w:p>
    <w:p>
      <w:pPr>
        <w:ind w:left="1048"/>
        <w:spacing w:after="0"/>
        <w:rPr>
          <w:sz w:val="20"/>
          <w:szCs w:val="20"/>
          <w:color w:val="auto"/>
        </w:rPr>
      </w:pPr>
      <w:r>
        <w:rPr>
          <w:rFonts w:ascii="Courier New" w:cs="Courier New" w:eastAsia="Courier New" w:hAnsi="Courier New"/>
          <w:sz w:val="12"/>
          <w:szCs w:val="12"/>
          <w:color w:val="auto"/>
        </w:rPr>
        <w:t>pursuant to this Amendment No. 1 shall be accurate in all</w:t>
      </w:r>
    </w:p>
    <w:p>
      <w:pPr>
        <w:ind w:left="1048"/>
        <w:spacing w:after="0" w:line="237" w:lineRule="auto"/>
        <w:rPr>
          <w:sz w:val="20"/>
          <w:szCs w:val="20"/>
          <w:color w:val="auto"/>
        </w:rPr>
      </w:pPr>
      <w:r>
        <w:rPr>
          <w:rFonts w:ascii="Courier New" w:cs="Courier New" w:eastAsia="Courier New" w:hAnsi="Courier New"/>
          <w:sz w:val="12"/>
          <w:szCs w:val="12"/>
          <w:color w:val="auto"/>
        </w:rPr>
        <w:t>material respects as of the Amendment No. 1 Closing Date, as if</w:t>
      </w:r>
    </w:p>
    <w:p>
      <w:pPr>
        <w:ind w:left="1048"/>
        <w:spacing w:after="0"/>
        <w:rPr>
          <w:sz w:val="20"/>
          <w:szCs w:val="20"/>
          <w:color w:val="auto"/>
        </w:rPr>
      </w:pPr>
      <w:r>
        <w:rPr>
          <w:rFonts w:ascii="Courier New" w:cs="Courier New" w:eastAsia="Courier New" w:hAnsi="Courier New"/>
          <w:sz w:val="12"/>
          <w:szCs w:val="12"/>
          <w:color w:val="auto"/>
        </w:rPr>
        <w:t>made on the Amendment No. 1 Closing Date.</w:t>
      </w:r>
    </w:p>
    <w:p>
      <w:pPr>
        <w:spacing w:after="0" w:line="138" w:lineRule="exact"/>
        <w:rPr>
          <w:sz w:val="20"/>
          <w:szCs w:val="20"/>
          <w:color w:val="auto"/>
        </w:rPr>
      </w:pPr>
    </w:p>
    <w:p>
      <w:pPr>
        <w:ind w:left="708" w:right="4619" w:hanging="350"/>
        <w:spacing w:after="0" w:line="237" w:lineRule="auto"/>
        <w:rPr>
          <w:sz w:val="20"/>
          <w:szCs w:val="20"/>
          <w:color w:val="auto"/>
        </w:rPr>
      </w:pPr>
      <w:r>
        <w:rPr>
          <w:rFonts w:ascii="Courier New" w:cs="Courier New" w:eastAsia="Courier New" w:hAnsi="Courier New"/>
          <w:sz w:val="12"/>
          <w:szCs w:val="12"/>
          <w:color w:val="auto"/>
        </w:rPr>
        <w:t>3.2. In the event that the aforegoing conditions precedent are not all fulfilled by December 31, 2007, then, save for section 5 below, this Amendment No. 1 shall no longer be of any force or effect and the Facility Agreement shall remain unaltered and in full force and effect and, save as aforesaid, no party shall have any claim arising out of or in connection with this Amendment No. 1. The Banks undertake that promptly following the fulfilment to the satisfaction of the Banks of all the conditions precedent referred to in section 3.1 above, the Banks shall confirm to the Borrower in writing that the conditions precedent have been fulfilled and this Amendment No. 1 has become effective.</w:t>
      </w:r>
    </w:p>
    <w:p>
      <w:pPr>
        <w:spacing w:after="0" w:line="140" w:lineRule="exact"/>
        <w:rPr>
          <w:sz w:val="20"/>
          <w:szCs w:val="20"/>
          <w:color w:val="auto"/>
        </w:rPr>
      </w:pPr>
    </w:p>
    <w:p>
      <w:pPr>
        <w:ind w:left="348" w:hanging="348"/>
        <w:spacing w:after="0"/>
        <w:tabs>
          <w:tab w:leader="none" w:pos="348" w:val="left"/>
        </w:tabs>
        <w:numPr>
          <w:ilvl w:val="0"/>
          <w:numId w:val="165"/>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REPRESENTATIONS AND WARRANTIES</w:t>
      </w:r>
    </w:p>
    <w:p>
      <w:pPr>
        <w:spacing w:after="0" w:line="138" w:lineRule="exact"/>
        <w:rPr>
          <w:rFonts w:ascii="Courier New" w:cs="Courier New" w:eastAsia="Courier New" w:hAnsi="Courier New"/>
          <w:sz w:val="12"/>
          <w:szCs w:val="12"/>
          <w:color w:val="auto"/>
        </w:rPr>
      </w:pPr>
    </w:p>
    <w:p>
      <w:pPr>
        <w:ind w:left="348"/>
        <w:spacing w:after="0"/>
        <w:rPr>
          <w:rFonts w:ascii="Courier New" w:cs="Courier New" w:eastAsia="Courier New" w:hAnsi="Courier New"/>
          <w:sz w:val="12"/>
          <w:szCs w:val="12"/>
          <w:color w:val="auto"/>
        </w:rPr>
      </w:pPr>
      <w:r>
        <w:rPr>
          <w:rFonts w:ascii="Courier New" w:cs="Courier New" w:eastAsia="Courier New" w:hAnsi="Courier New"/>
          <w:sz w:val="11"/>
          <w:szCs w:val="11"/>
          <w:color w:val="auto"/>
        </w:rPr>
        <w:t>The Borrower acknowledges that the Banks have agreed to this Amendment No.</w:t>
      </w:r>
    </w:p>
    <w:p>
      <w:pPr>
        <w:spacing w:after="0" w:line="10" w:lineRule="exact"/>
        <w:rPr>
          <w:rFonts w:ascii="Courier New" w:cs="Courier New" w:eastAsia="Courier New" w:hAnsi="Courier New"/>
          <w:sz w:val="12"/>
          <w:szCs w:val="12"/>
          <w:color w:val="auto"/>
        </w:rPr>
      </w:pPr>
    </w:p>
    <w:p>
      <w:pPr>
        <w:ind w:left="348" w:right="475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1 in full reliance on the representations and warranties set forth in clause 15, as amended in this Amendment No. 1, subject to the disclosures set out in Annex A hereto, which shall be deemed to have been repeated on the date of signature of this Amendment No. 1 and on the Amendment No. 1 Closing Date, except that the representations and warranties set forth in clause 15.9 shall be deemed to be repeated only on the Amendment No. 1 Closing Date and only with respect to the Business Plan to be delivered pursuant to section 2.7.</w:t>
      </w:r>
    </w:p>
    <w:p>
      <w:pPr>
        <w:spacing w:after="0" w:line="142" w:lineRule="exact"/>
        <w:rPr>
          <w:rFonts w:ascii="Courier New" w:cs="Courier New" w:eastAsia="Courier New" w:hAnsi="Courier New"/>
          <w:sz w:val="12"/>
          <w:szCs w:val="12"/>
          <w:color w:val="auto"/>
        </w:rPr>
      </w:pPr>
    </w:p>
    <w:p>
      <w:pPr>
        <w:ind w:left="348" w:right="4619"/>
        <w:spacing w:after="0" w:line="273" w:lineRule="auto"/>
        <w:rPr>
          <w:rFonts w:ascii="Courier New" w:cs="Courier New" w:eastAsia="Courier New" w:hAnsi="Courier New"/>
          <w:sz w:val="12"/>
          <w:szCs w:val="12"/>
          <w:color w:val="auto"/>
        </w:rPr>
      </w:pPr>
      <w:r>
        <w:rPr>
          <w:rFonts w:ascii="Courier New" w:cs="Courier New" w:eastAsia="Courier New" w:hAnsi="Courier New"/>
          <w:sz w:val="11"/>
          <w:szCs w:val="11"/>
          <w:color w:val="auto"/>
        </w:rPr>
        <w:t>For the removal of doubt, the term "Finance Documents" when referred to in the representations and warranties set out in clause 15, includes also this</w:t>
      </w:r>
    </w:p>
    <w:p>
      <w:pPr>
        <w:sectPr>
          <w:pgSz w:w="11900" w:h="16919" w:orient="portrait"/>
          <w:cols w:equalWidth="0" w:num="1">
            <w:col w:w="10247"/>
          </w:cols>
          <w:pgMar w:left="212" w:top="272" w:right="1440" w:bottom="0" w:gutter="0" w:footer="0" w:header="0"/>
        </w:sectPr>
      </w:pPr>
    </w:p>
    <w:bookmarkStart w:id="116" w:name="page117"/>
    <w:bookmarkEnd w:id="116"/>
    <w:p>
      <w:pPr>
        <w:ind w:left="348"/>
        <w:spacing w:after="0"/>
        <w:rPr>
          <w:sz w:val="20"/>
          <w:szCs w:val="20"/>
          <w:color w:val="auto"/>
        </w:rPr>
      </w:pPr>
      <w:r>
        <w:rPr>
          <w:rFonts w:ascii="Courier New" w:cs="Courier New" w:eastAsia="Courier New" w:hAnsi="Courier New"/>
          <w:sz w:val="12"/>
          <w:szCs w:val="12"/>
          <w:color w:val="auto"/>
        </w:rPr>
        <w:t>Amendment No. 1.</w:t>
      </w:r>
    </w:p>
    <w:p>
      <w:pPr>
        <w:spacing w:after="0" w:line="134" w:lineRule="exact"/>
        <w:rPr>
          <w:sz w:val="20"/>
          <w:szCs w:val="20"/>
          <w:color w:val="auto"/>
        </w:rPr>
      </w:pPr>
    </w:p>
    <w:p>
      <w:pPr>
        <w:ind w:left="348" w:hanging="348"/>
        <w:spacing w:after="0"/>
        <w:tabs>
          <w:tab w:leader="none" w:pos="348" w:val="left"/>
        </w:tabs>
        <w:numPr>
          <w:ilvl w:val="0"/>
          <w:numId w:val="1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UNDERTAKINGS</w:t>
      </w:r>
    </w:p>
    <w:p>
      <w:pPr>
        <w:spacing w:after="0" w:line="138" w:lineRule="exact"/>
        <w:rPr>
          <w:rFonts w:ascii="Courier New" w:cs="Courier New" w:eastAsia="Courier New" w:hAnsi="Courier New"/>
          <w:sz w:val="12"/>
          <w:szCs w:val="12"/>
          <w:color w:val="auto"/>
        </w:rPr>
      </w:pPr>
    </w:p>
    <w:p>
      <w:pPr>
        <w:ind w:left="348" w:right="461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The Borrower undertakes, by no later than November 30, 2007, that the Banks shall have received all of the following documents, matters and things in form and substance satisfactory to the Banks:</w:t>
      </w:r>
    </w:p>
    <w:p>
      <w:pPr>
        <w:spacing w:after="0" w:line="270"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66"/>
        </w:numPr>
        <w:rPr>
          <w:rFonts w:ascii="Courier New" w:cs="Courier New" w:eastAsia="Courier New" w:hAnsi="Courier New"/>
          <w:sz w:val="12"/>
          <w:szCs w:val="12"/>
          <w:color w:val="auto"/>
        </w:rPr>
      </w:pPr>
      <w:r>
        <w:rPr>
          <w:rFonts w:ascii="Courier New" w:cs="Courier New" w:eastAsia="Courier New" w:hAnsi="Courier New"/>
          <w:sz w:val="12"/>
          <w:szCs w:val="12"/>
          <w:color w:val="auto"/>
        </w:rPr>
        <w:t>18 -</w:t>
      </w:r>
    </w:p>
    <w:p>
      <w:pPr>
        <w:spacing w:after="0" w:line="391" w:lineRule="exact"/>
        <w:rPr>
          <w:sz w:val="20"/>
          <w:szCs w:val="20"/>
          <w:color w:val="auto"/>
        </w:rPr>
      </w:pPr>
    </w:p>
    <w:p>
      <w:pPr>
        <w:ind w:left="708" w:right="4619" w:hanging="350"/>
        <w:spacing w:after="0" w:line="238" w:lineRule="auto"/>
        <w:rPr>
          <w:sz w:val="20"/>
          <w:szCs w:val="20"/>
          <w:color w:val="auto"/>
        </w:rPr>
      </w:pPr>
      <w:r>
        <w:rPr>
          <w:rFonts w:ascii="Courier New" w:cs="Courier New" w:eastAsia="Courier New" w:hAnsi="Courier New"/>
          <w:sz w:val="12"/>
          <w:szCs w:val="12"/>
          <w:color w:val="auto"/>
        </w:rPr>
        <w:t>5.1. a Supplement to the Debenture shall be executed by the Borrower relating to all equipment, Material Contracts, registered Intellectual Property Assets and other assets and rights required under the Debenture to be pledged by way of first-ranking fixed charge in favour of the Banks, but not as yet specifically included in the Debenture and such Supplement shall be perfected and duly registered with the Registrar of Companies and the Registrar of Pledges and the Borrower shall deliver all documents as referred to in clause 3.2 of the Debenture (MUTATIS MUTANDIS) (including, without limitation, under clause 3.2.7 of the Debenture, if any of the Existing ILA Leases has been registered with the Israeli Lands Registry in the name of the Borrower, which shall be confirmed by the Borrower, without derogating from the Borrower's obligations under clause 8 of the Debenture) and shall sign all other documents and forms required for the purposes of the aforegoing;</w:t>
      </w:r>
    </w:p>
    <w:p>
      <w:pPr>
        <w:spacing w:after="0" w:line="140" w:lineRule="exact"/>
        <w:rPr>
          <w:sz w:val="20"/>
          <w:szCs w:val="20"/>
          <w:color w:val="auto"/>
        </w:rPr>
      </w:pPr>
    </w:p>
    <w:p>
      <w:pPr>
        <w:ind w:left="708" w:right="4699" w:hanging="350"/>
        <w:spacing w:after="0" w:line="236" w:lineRule="auto"/>
        <w:rPr>
          <w:sz w:val="20"/>
          <w:szCs w:val="20"/>
          <w:color w:val="auto"/>
        </w:rPr>
      </w:pPr>
      <w:r>
        <w:rPr>
          <w:rFonts w:ascii="Courier New" w:cs="Courier New" w:eastAsia="Courier New" w:hAnsi="Courier New"/>
          <w:sz w:val="12"/>
          <w:szCs w:val="12"/>
          <w:color w:val="auto"/>
        </w:rPr>
        <w:t>5.2. notices of assignment by way of charge of all Material Contracts (other than those referred to in clauses 1.1.36(c)(i) and (ii) of the Facility Agreement); and</w:t>
      </w:r>
    </w:p>
    <w:p>
      <w:pPr>
        <w:spacing w:after="0" w:line="139" w:lineRule="exact"/>
        <w:rPr>
          <w:sz w:val="20"/>
          <w:szCs w:val="20"/>
          <w:color w:val="auto"/>
        </w:rPr>
      </w:pPr>
    </w:p>
    <w:p>
      <w:pPr>
        <w:ind w:left="708" w:right="4619" w:hanging="350"/>
        <w:spacing w:after="0" w:line="263" w:lineRule="auto"/>
        <w:rPr>
          <w:sz w:val="20"/>
          <w:szCs w:val="20"/>
          <w:color w:val="auto"/>
        </w:rPr>
      </w:pPr>
      <w:r>
        <w:rPr>
          <w:rFonts w:ascii="Courier New" w:cs="Courier New" w:eastAsia="Courier New" w:hAnsi="Courier New"/>
          <w:sz w:val="11"/>
          <w:szCs w:val="11"/>
          <w:color w:val="auto"/>
        </w:rPr>
        <w:t>5.3. notices to insurers and acknowledgements of such notices, as referred to in clause 3.2 of the Debenture (other than under Insurance Policies in respect of liability of the Borrower to third parties or of liability of the Borrower for damage to property of third parties or of the type listed in Schedule 16.10.6(d) to the Facility Agreement).</w:t>
      </w:r>
    </w:p>
    <w:p>
      <w:pPr>
        <w:spacing w:after="0" w:line="123" w:lineRule="exact"/>
        <w:rPr>
          <w:sz w:val="20"/>
          <w:szCs w:val="20"/>
          <w:color w:val="auto"/>
        </w:rPr>
      </w:pPr>
    </w:p>
    <w:p>
      <w:pPr>
        <w:ind w:left="348" w:hanging="348"/>
        <w:spacing w:after="0"/>
        <w:tabs>
          <w:tab w:leader="none" w:pos="348" w:val="left"/>
        </w:tabs>
        <w:numPr>
          <w:ilvl w:val="0"/>
          <w:numId w:val="1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FEES AND EXPENSES</w:t>
      </w:r>
    </w:p>
    <w:p>
      <w:pPr>
        <w:spacing w:after="0" w:line="138" w:lineRule="exact"/>
        <w:rPr>
          <w:rFonts w:ascii="Courier New" w:cs="Courier New" w:eastAsia="Courier New" w:hAnsi="Courier New"/>
          <w:sz w:val="12"/>
          <w:szCs w:val="12"/>
          <w:color w:val="auto"/>
        </w:rPr>
      </w:pPr>
    </w:p>
    <w:p>
      <w:pPr>
        <w:ind w:left="348"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Without derogating from the obligations of the Borrower to pay the Banks commissions, fees and expenses pursuant to the Facility Agreement and pursuant to any Equipment Facility that may be entered into severally by any Bank with the Borrower and, in addition thereto, and for the removal of doubt, the Borrower shall pay to the Banks on the date of signature of this Amendment No. 1 and thereafter on demand legal fees for external counsel (and out-of-pocket expenses incurred by such counsel) incurred by the Banks in connection with the negotiation, preparation and execution of this Amendment No. 1.</w:t>
      </w:r>
    </w:p>
    <w:p>
      <w:pPr>
        <w:spacing w:after="0" w:line="138" w:lineRule="exact"/>
        <w:rPr>
          <w:rFonts w:ascii="Courier New" w:cs="Courier New" w:eastAsia="Courier New" w:hAnsi="Courier New"/>
          <w:sz w:val="12"/>
          <w:szCs w:val="12"/>
          <w:color w:val="auto"/>
        </w:rPr>
      </w:pPr>
    </w:p>
    <w:p>
      <w:pPr>
        <w:ind w:left="348" w:hanging="348"/>
        <w:spacing w:after="0"/>
        <w:tabs>
          <w:tab w:leader="none" w:pos="348" w:val="left"/>
        </w:tabs>
        <w:numPr>
          <w:ilvl w:val="0"/>
          <w:numId w:val="1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AMENDMENT TO THE FACILITY AGREEMENT</w:t>
      </w:r>
    </w:p>
    <w:p>
      <w:pPr>
        <w:spacing w:after="0" w:line="138" w:lineRule="exact"/>
        <w:rPr>
          <w:rFonts w:ascii="Courier New" w:cs="Courier New" w:eastAsia="Courier New" w:hAnsi="Courier New"/>
          <w:sz w:val="12"/>
          <w:szCs w:val="12"/>
          <w:color w:val="auto"/>
        </w:rPr>
      </w:pPr>
    </w:p>
    <w:p>
      <w:pPr>
        <w:ind w:left="348" w:right="4619"/>
        <w:spacing w:after="0" w:line="237"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the fulfilment of the conditions precedent set out in section 3.1 above and with effect from the Amendment No. 1 Closing Date, the Facility Agreement shall be amended as expressly set out in this Amendment No. 1 above. This Amendment No. 1 shall be read together with the Facility Agreement as one agreement and, save as expressly amended by this Amendment No. 1, the Facility Agreement shall remain unaltered and in full force and effect.</w:t>
      </w:r>
    </w:p>
    <w:p>
      <w:pPr>
        <w:spacing w:after="0" w:line="271" w:lineRule="exact"/>
        <w:rPr>
          <w:rFonts w:ascii="Courier New" w:cs="Courier New" w:eastAsia="Courier New" w:hAnsi="Courier New"/>
          <w:sz w:val="12"/>
          <w:szCs w:val="12"/>
          <w:color w:val="auto"/>
        </w:rPr>
      </w:pPr>
    </w:p>
    <w:p>
      <w:pPr>
        <w:ind w:left="2748" w:hanging="149"/>
        <w:spacing w:after="0"/>
        <w:tabs>
          <w:tab w:leader="none" w:pos="2748" w:val="left"/>
        </w:tabs>
        <w:numPr>
          <w:ilvl w:val="1"/>
          <w:numId w:val="167"/>
        </w:numPr>
        <w:rPr>
          <w:rFonts w:ascii="Courier New" w:cs="Courier New" w:eastAsia="Courier New" w:hAnsi="Courier New"/>
          <w:sz w:val="12"/>
          <w:szCs w:val="12"/>
          <w:color w:val="auto"/>
        </w:rPr>
      </w:pPr>
      <w:r>
        <w:rPr>
          <w:rFonts w:ascii="Courier New" w:cs="Courier New" w:eastAsia="Courier New" w:hAnsi="Courier New"/>
          <w:sz w:val="12"/>
          <w:szCs w:val="12"/>
          <w:color w:val="auto"/>
        </w:rPr>
        <w:t>19 -</w:t>
      </w:r>
    </w:p>
    <w:p>
      <w:pPr>
        <w:spacing w:after="0" w:line="391" w:lineRule="exact"/>
        <w:rPr>
          <w:sz w:val="20"/>
          <w:szCs w:val="20"/>
          <w:color w:val="auto"/>
        </w:rPr>
      </w:pPr>
    </w:p>
    <w:p>
      <w:pPr>
        <w:ind w:left="8" w:right="4899"/>
        <w:spacing w:after="0" w:line="235" w:lineRule="auto"/>
        <w:rPr>
          <w:sz w:val="20"/>
          <w:szCs w:val="20"/>
          <w:color w:val="auto"/>
        </w:rPr>
      </w:pPr>
      <w:r>
        <w:rPr>
          <w:rFonts w:ascii="Courier New" w:cs="Courier New" w:eastAsia="Courier New" w:hAnsi="Courier New"/>
          <w:sz w:val="12"/>
          <w:szCs w:val="12"/>
          <w:color w:val="auto"/>
        </w:rPr>
        <w:t>IN WITNESS WHEREOF, THE PARTIES HAVE SIGNED THIS AMENDMENT NO. 1 ON THE DATE FIRST MENTIONED ABOVE.</w:t>
      </w:r>
    </w:p>
    <w:p>
      <w:pPr>
        <w:spacing w:after="0" w:line="270" w:lineRule="exact"/>
        <w:rPr>
          <w:sz w:val="20"/>
          <w:szCs w:val="20"/>
          <w:color w:val="auto"/>
        </w:rPr>
      </w:pPr>
    </w:p>
    <w:tbl>
      <w:tblPr>
        <w:tblLayout w:type="fixed"/>
        <w:tblInd w:w="8" w:type="dxa"/>
        <w:tblCellMar>
          <w:top w:w="0" w:type="dxa"/>
          <w:left w:w="0" w:type="dxa"/>
          <w:bottom w:w="0" w:type="dxa"/>
          <w:right w:w="0" w:type="dxa"/>
        </w:tblCellMar>
      </w:tblPr>
      <w:tr>
        <w:trPr>
          <w:trHeight w:val="136"/>
        </w:trPr>
        <w:tc>
          <w:tcPr>
            <w:tcW w:w="44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1980" w:type="dxa"/>
            <w:vAlign w:val="bottom"/>
          </w:tcPr>
          <w:p>
            <w:pPr>
              <w:ind w:left="40"/>
              <w:spacing w:after="0"/>
              <w:rPr>
                <w:sz w:val="20"/>
                <w:szCs w:val="20"/>
                <w:color w:val="auto"/>
              </w:rPr>
            </w:pPr>
            <w:r>
              <w:rPr>
                <w:rFonts w:ascii="Courier New" w:cs="Courier New" w:eastAsia="Courier New" w:hAnsi="Courier New"/>
                <w:sz w:val="12"/>
                <w:szCs w:val="12"/>
                <w:color w:val="auto"/>
              </w:rPr>
              <w:t>TOWER SEMICONDUCTOR LTD.</w:t>
            </w:r>
          </w:p>
        </w:tc>
        <w:tc>
          <w:tcPr>
            <w:tcW w:w="154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270"/>
        </w:trPr>
        <w:tc>
          <w:tcPr>
            <w:tcW w:w="44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2"/>
                <w:szCs w:val="12"/>
                <w:color w:val="auto"/>
              </w:rPr>
              <w:t>________________________</w:t>
            </w:r>
          </w:p>
        </w:tc>
        <w:tc>
          <w:tcPr>
            <w:tcW w:w="15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70"/>
        </w:trPr>
        <w:tc>
          <w:tcPr>
            <w:tcW w:w="440" w:type="dxa"/>
            <w:vAlign w:val="bottom"/>
          </w:tcPr>
          <w:p>
            <w:pPr>
              <w:spacing w:after="0"/>
              <w:rPr>
                <w:sz w:val="20"/>
                <w:szCs w:val="20"/>
                <w:color w:val="auto"/>
              </w:rPr>
            </w:pPr>
            <w:r>
              <w:rPr>
                <w:rFonts w:ascii="Courier New" w:cs="Courier New" w:eastAsia="Courier New" w:hAnsi="Courier New"/>
                <w:sz w:val="12"/>
                <w:szCs w:val="12"/>
                <w:color w:val="auto"/>
                <w:w w:val="97"/>
              </w:rPr>
              <w:t>Title:</w:t>
            </w:r>
          </w:p>
        </w:tc>
        <w:tc>
          <w:tcPr>
            <w:tcW w:w="1980" w:type="dxa"/>
            <w:vAlign w:val="bottom"/>
          </w:tcPr>
          <w:p>
            <w:pPr>
              <w:ind w:left="40"/>
              <w:spacing w:after="0"/>
              <w:rPr>
                <w:sz w:val="20"/>
                <w:szCs w:val="20"/>
                <w:color w:val="auto"/>
              </w:rPr>
            </w:pPr>
            <w:r>
              <w:rPr>
                <w:rFonts w:ascii="Courier New" w:cs="Courier New" w:eastAsia="Courier New" w:hAnsi="Courier New"/>
                <w:sz w:val="12"/>
                <w:szCs w:val="12"/>
                <w:color w:val="auto"/>
              </w:rPr>
              <w:t>________________________</w:t>
            </w:r>
          </w:p>
        </w:tc>
        <w:tc>
          <w:tcPr>
            <w:tcW w:w="15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405"/>
        </w:trPr>
        <w:tc>
          <w:tcPr>
            <w:tcW w:w="440" w:type="dxa"/>
            <w:vAlign w:val="bottom"/>
          </w:tcPr>
          <w:p>
            <w:pPr>
              <w:spacing w:after="0"/>
              <w:rPr>
                <w:sz w:val="20"/>
                <w:szCs w:val="20"/>
                <w:color w:val="auto"/>
              </w:rPr>
            </w:pPr>
            <w:r>
              <w:rPr>
                <w:rFonts w:ascii="Courier New" w:cs="Courier New" w:eastAsia="Courier New" w:hAnsi="Courier New"/>
                <w:sz w:val="12"/>
                <w:szCs w:val="12"/>
                <w:color w:val="auto"/>
              </w:rPr>
              <w:t>for:</w:t>
            </w:r>
          </w:p>
        </w:tc>
        <w:tc>
          <w:tcPr>
            <w:tcW w:w="1980" w:type="dxa"/>
            <w:vAlign w:val="bottom"/>
          </w:tcPr>
          <w:p>
            <w:pPr>
              <w:ind w:left="40"/>
              <w:spacing w:after="0"/>
              <w:rPr>
                <w:sz w:val="20"/>
                <w:szCs w:val="20"/>
                <w:color w:val="auto"/>
              </w:rPr>
            </w:pPr>
            <w:r>
              <w:rPr>
                <w:rFonts w:ascii="Courier New" w:cs="Courier New" w:eastAsia="Courier New" w:hAnsi="Courier New"/>
                <w:sz w:val="12"/>
                <w:szCs w:val="12"/>
                <w:color w:val="auto"/>
              </w:rPr>
              <w:t>BANK LEUMI LE-ISRAEL B.M.</w:t>
            </w:r>
          </w:p>
        </w:tc>
        <w:tc>
          <w:tcPr>
            <w:tcW w:w="1540" w:type="dxa"/>
            <w:vAlign w:val="bottom"/>
          </w:tcPr>
          <w:p>
            <w:pPr>
              <w:ind w:left="1160"/>
              <w:spacing w:after="0"/>
              <w:rPr>
                <w:sz w:val="20"/>
                <w:szCs w:val="20"/>
                <w:color w:val="auto"/>
              </w:rPr>
            </w:pPr>
            <w:r>
              <w:rPr>
                <w:rFonts w:ascii="Courier New" w:cs="Courier New" w:eastAsia="Courier New" w:hAnsi="Courier New"/>
                <w:sz w:val="12"/>
                <w:szCs w:val="12"/>
                <w:color w:val="auto"/>
              </w:rPr>
              <w:t>for:</w:t>
            </w:r>
          </w:p>
        </w:tc>
        <w:tc>
          <w:tcPr>
            <w:tcW w:w="1660" w:type="dxa"/>
            <w:vAlign w:val="bottom"/>
          </w:tcPr>
          <w:p>
            <w:pPr>
              <w:ind w:left="100"/>
              <w:spacing w:after="0"/>
              <w:rPr>
                <w:sz w:val="20"/>
                <w:szCs w:val="20"/>
                <w:color w:val="auto"/>
              </w:rPr>
            </w:pPr>
            <w:r>
              <w:rPr>
                <w:rFonts w:ascii="Courier New" w:cs="Courier New" w:eastAsia="Courier New" w:hAnsi="Courier New"/>
                <w:sz w:val="12"/>
                <w:szCs w:val="12"/>
                <w:color w:val="auto"/>
              </w:rPr>
              <w:t>BANK HAPOALIM B.M.</w:t>
            </w:r>
          </w:p>
        </w:tc>
      </w:tr>
      <w:tr>
        <w:trPr>
          <w:trHeight w:val="270"/>
        </w:trPr>
        <w:tc>
          <w:tcPr>
            <w:tcW w:w="440" w:type="dxa"/>
            <w:vAlign w:val="bottom"/>
          </w:tcPr>
          <w:p>
            <w:pPr>
              <w:spacing w:after="0"/>
              <w:rPr>
                <w:sz w:val="20"/>
                <w:szCs w:val="20"/>
                <w:color w:val="auto"/>
              </w:rPr>
            </w:pPr>
            <w:r>
              <w:rPr>
                <w:rFonts w:ascii="Courier New" w:cs="Courier New" w:eastAsia="Courier New" w:hAnsi="Courier New"/>
                <w:sz w:val="12"/>
                <w:szCs w:val="12"/>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2"/>
                <w:szCs w:val="12"/>
                <w:color w:val="auto"/>
              </w:rPr>
              <w:t>________________________</w:t>
            </w:r>
          </w:p>
        </w:tc>
        <w:tc>
          <w:tcPr>
            <w:tcW w:w="1540" w:type="dxa"/>
            <w:vAlign w:val="bottom"/>
          </w:tcPr>
          <w:p>
            <w:pPr>
              <w:ind w:left="1160"/>
              <w:spacing w:after="0"/>
              <w:rPr>
                <w:sz w:val="20"/>
                <w:szCs w:val="20"/>
                <w:color w:val="auto"/>
              </w:rPr>
            </w:pPr>
            <w:r>
              <w:rPr>
                <w:rFonts w:ascii="Courier New" w:cs="Courier New" w:eastAsia="Courier New" w:hAnsi="Courier New"/>
                <w:sz w:val="12"/>
                <w:szCs w:val="12"/>
                <w:color w:val="auto"/>
              </w:rPr>
              <w:t>By:</w:t>
            </w:r>
          </w:p>
        </w:tc>
        <w:tc>
          <w:tcPr>
            <w:tcW w:w="1660" w:type="dxa"/>
            <w:vAlign w:val="bottom"/>
          </w:tcPr>
          <w:p>
            <w:pPr>
              <w:ind w:left="100"/>
              <w:spacing w:after="0"/>
              <w:rPr>
                <w:sz w:val="20"/>
                <w:szCs w:val="20"/>
                <w:color w:val="auto"/>
              </w:rPr>
            </w:pPr>
            <w:r>
              <w:rPr>
                <w:rFonts w:ascii="Courier New" w:cs="Courier New" w:eastAsia="Courier New" w:hAnsi="Courier New"/>
                <w:sz w:val="12"/>
                <w:szCs w:val="12"/>
                <w:color w:val="auto"/>
                <w:w w:val="97"/>
              </w:rPr>
              <w:t>______________________</w:t>
            </w:r>
          </w:p>
        </w:tc>
      </w:tr>
      <w:tr>
        <w:trPr>
          <w:trHeight w:val="270"/>
        </w:trPr>
        <w:tc>
          <w:tcPr>
            <w:tcW w:w="2420" w:type="dxa"/>
            <w:vAlign w:val="bottom"/>
            <w:gridSpan w:val="2"/>
          </w:tcPr>
          <w:p>
            <w:pPr>
              <w:spacing w:after="0"/>
              <w:rPr>
                <w:sz w:val="20"/>
                <w:szCs w:val="20"/>
                <w:color w:val="auto"/>
              </w:rPr>
            </w:pPr>
            <w:r>
              <w:rPr>
                <w:rFonts w:ascii="Courier New" w:cs="Courier New" w:eastAsia="Courier New" w:hAnsi="Courier New"/>
                <w:sz w:val="12"/>
                <w:szCs w:val="12"/>
                <w:color w:val="auto"/>
              </w:rPr>
              <w:t>Title: ________________________</w:t>
            </w:r>
          </w:p>
        </w:tc>
        <w:tc>
          <w:tcPr>
            <w:tcW w:w="3200" w:type="dxa"/>
            <w:vAlign w:val="bottom"/>
            <w:gridSpan w:val="2"/>
          </w:tcPr>
          <w:p>
            <w:pPr>
              <w:ind w:left="1160"/>
              <w:spacing w:after="0"/>
              <w:rPr>
                <w:sz w:val="20"/>
                <w:szCs w:val="20"/>
                <w:color w:val="auto"/>
              </w:rPr>
            </w:pPr>
            <w:r>
              <w:rPr>
                <w:rFonts w:ascii="Courier New" w:cs="Courier New" w:eastAsia="Courier New" w:hAnsi="Courier New"/>
                <w:sz w:val="12"/>
                <w:szCs w:val="12"/>
                <w:color w:val="auto"/>
                <w:w w:val="96"/>
              </w:rPr>
              <w:t>Title: ______________________</w:t>
            </w:r>
          </w:p>
        </w:tc>
      </w:tr>
      <w:tr>
        <w:trPr>
          <w:trHeight w:val="405"/>
        </w:trPr>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40" w:type="dxa"/>
            <w:vAlign w:val="bottom"/>
          </w:tcPr>
          <w:p>
            <w:pPr>
              <w:jc w:val="right"/>
              <w:ind w:right="881"/>
              <w:spacing w:after="0"/>
              <w:rPr>
                <w:sz w:val="20"/>
                <w:szCs w:val="20"/>
                <w:color w:val="auto"/>
              </w:rPr>
            </w:pPr>
            <w:r>
              <w:rPr>
                <w:rFonts w:ascii="Courier New" w:cs="Courier New" w:eastAsia="Courier New" w:hAnsi="Courier New"/>
                <w:sz w:val="12"/>
                <w:szCs w:val="12"/>
                <w:color w:val="auto"/>
              </w:rPr>
              <w:t>- 20 -</w:t>
            </w:r>
          </w:p>
        </w:tc>
        <w:tc>
          <w:tcPr>
            <w:tcW w:w="1660" w:type="dxa"/>
            <w:vAlign w:val="bottom"/>
          </w:tcPr>
          <w:p>
            <w:pPr>
              <w:spacing w:after="0"/>
              <w:rPr>
                <w:sz w:val="24"/>
                <w:szCs w:val="24"/>
                <w:color w:val="auto"/>
              </w:rPr>
            </w:pPr>
          </w:p>
        </w:tc>
      </w:tr>
    </w:tbl>
    <w:p>
      <w:pPr>
        <w:sectPr>
          <w:pgSz w:w="11900" w:h="16838" w:orient="portrait"/>
          <w:cols w:equalWidth="0" w:num="1">
            <w:col w:w="10247"/>
          </w:cols>
          <w:pgMar w:left="212" w:top="137" w:right="1440" w:bottom="1440" w:gutter="0" w:footer="0" w:header="0"/>
        </w:sectPr>
      </w:pPr>
    </w:p>
    <w:bookmarkStart w:id="117" w:name="page118"/>
    <w:bookmarkEnd w:id="117"/>
    <w:p>
      <w:pPr>
        <w:jc w:val="center"/>
        <w:ind w:right="-148"/>
        <w:spacing w:after="0"/>
        <w:rPr>
          <w:sz w:val="20"/>
          <w:szCs w:val="20"/>
          <w:color w:val="auto"/>
        </w:rPr>
      </w:pPr>
      <w:r>
        <w:rPr>
          <w:rFonts w:ascii="Courier New" w:cs="Courier New" w:eastAsia="Courier New" w:hAnsi="Courier New"/>
          <w:sz w:val="11"/>
          <w:szCs w:val="11"/>
          <w:color w:val="auto"/>
        </w:rPr>
        <w:t>EXHIBIT 12.1</w:t>
      </w:r>
    </w:p>
    <w:p>
      <w:pPr>
        <w:spacing w:after="0" w:line="141" w:lineRule="exact"/>
        <w:rPr>
          <w:sz w:val="20"/>
          <w:szCs w:val="20"/>
          <w:color w:val="auto"/>
        </w:rPr>
      </w:pPr>
    </w:p>
    <w:p>
      <w:pPr>
        <w:ind w:left="2388"/>
        <w:spacing w:after="0"/>
        <w:rPr>
          <w:sz w:val="20"/>
          <w:szCs w:val="20"/>
          <w:color w:val="auto"/>
        </w:rPr>
      </w:pPr>
      <w:r>
        <w:rPr>
          <w:rFonts w:ascii="Courier New" w:cs="Courier New" w:eastAsia="Courier New" w:hAnsi="Courier New"/>
          <w:sz w:val="12"/>
          <w:szCs w:val="12"/>
          <w:color w:val="auto"/>
        </w:rPr>
        <w:t>CERTIFICATION</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 Russell C. Ellwanger, certify that:</w:t>
      </w:r>
    </w:p>
    <w:p>
      <w:pPr>
        <w:spacing w:after="0" w:line="139" w:lineRule="exact"/>
        <w:rPr>
          <w:sz w:val="20"/>
          <w:szCs w:val="20"/>
          <w:color w:val="auto"/>
        </w:rPr>
      </w:pPr>
    </w:p>
    <w:p>
      <w:pPr>
        <w:ind w:left="208" w:hanging="208"/>
        <w:spacing w:after="0"/>
        <w:tabs>
          <w:tab w:leader="none" w:pos="208" w:val="left"/>
        </w:tabs>
        <w:numPr>
          <w:ilvl w:val="0"/>
          <w:numId w:val="168"/>
        </w:numPr>
        <w:rPr>
          <w:rFonts w:ascii="Courier New" w:cs="Courier New" w:eastAsia="Courier New" w:hAnsi="Courier New"/>
          <w:sz w:val="11"/>
          <w:szCs w:val="11"/>
          <w:color w:val="auto"/>
        </w:rPr>
      </w:pPr>
      <w:r>
        <w:rPr>
          <w:rFonts w:ascii="Courier New" w:cs="Courier New" w:eastAsia="Courier New" w:hAnsi="Courier New"/>
          <w:sz w:val="11"/>
          <w:szCs w:val="11"/>
          <w:color w:val="auto"/>
        </w:rPr>
        <w:t>I have reviewed this annual report on Form 20-F of Tower Semiconductor Ltd.;</w:t>
      </w:r>
    </w:p>
    <w:p>
      <w:pPr>
        <w:spacing w:after="0" w:line="145" w:lineRule="exact"/>
        <w:rPr>
          <w:rFonts w:ascii="Courier New" w:cs="Courier New" w:eastAsia="Courier New" w:hAnsi="Courier New"/>
          <w:sz w:val="11"/>
          <w:szCs w:val="11"/>
          <w:color w:val="auto"/>
        </w:rPr>
      </w:pPr>
    </w:p>
    <w:p>
      <w:pPr>
        <w:ind w:left="8" w:right="4619" w:hanging="8"/>
        <w:spacing w:after="0" w:line="236" w:lineRule="auto"/>
        <w:tabs>
          <w:tab w:leader="none" w:pos="219" w:val="left"/>
        </w:tabs>
        <w:numPr>
          <w:ilvl w:val="0"/>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Courier New" w:cs="Courier New" w:eastAsia="Courier New" w:hAnsi="Courier New"/>
          <w:sz w:val="12"/>
          <w:szCs w:val="12"/>
          <w:color w:val="auto"/>
        </w:rPr>
      </w:pPr>
    </w:p>
    <w:p>
      <w:pPr>
        <w:ind w:left="208" w:hanging="208"/>
        <w:spacing w:after="0"/>
        <w:tabs>
          <w:tab w:leader="none" w:pos="208" w:val="left"/>
        </w:tabs>
        <w:numPr>
          <w:ilvl w:val="0"/>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the financial statements, and other financial</w:t>
      </w:r>
    </w:p>
    <w:p>
      <w:pPr>
        <w:spacing w:after="0" w:line="3" w:lineRule="exact"/>
        <w:rPr>
          <w:rFonts w:ascii="Courier New" w:cs="Courier New" w:eastAsia="Courier New" w:hAnsi="Courier New"/>
          <w:sz w:val="12"/>
          <w:szCs w:val="12"/>
          <w:color w:val="auto"/>
        </w:rPr>
      </w:pPr>
    </w:p>
    <w:p>
      <w:pPr>
        <w:ind w:left="8"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information included in this annual report, fairly present in all material respects the financial condition, results of operations and cash flows of the registrant as of, and for, the periods presented in this report;</w:t>
      </w:r>
    </w:p>
    <w:p>
      <w:pPr>
        <w:spacing w:after="0" w:line="139" w:lineRule="exact"/>
        <w:rPr>
          <w:rFonts w:ascii="Courier New" w:cs="Courier New" w:eastAsia="Courier New" w:hAnsi="Courier New"/>
          <w:sz w:val="12"/>
          <w:szCs w:val="12"/>
          <w:color w:val="auto"/>
        </w:rPr>
      </w:pPr>
    </w:p>
    <w:p>
      <w:pPr>
        <w:ind w:left="8" w:right="4699" w:hanging="8"/>
        <w:spacing w:after="0" w:line="237" w:lineRule="auto"/>
        <w:tabs>
          <w:tab w:leader="none" w:pos="219" w:val="left"/>
        </w:tabs>
        <w:numPr>
          <w:ilvl w:val="0"/>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Courier New" w:cs="Courier New" w:eastAsia="Courier New" w:hAnsi="Courier New"/>
          <w:sz w:val="12"/>
          <w:szCs w:val="12"/>
          <w:color w:val="auto"/>
        </w:rPr>
      </w:pPr>
    </w:p>
    <w:p>
      <w:pPr>
        <w:ind w:left="348" w:right="4619" w:firstLine="3"/>
        <w:spacing w:after="0" w:line="237" w:lineRule="auto"/>
        <w:tabs>
          <w:tab w:leader="none" w:pos="629" w:val="left"/>
        </w:tabs>
        <w:numPr>
          <w:ilvl w:val="1"/>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Courier New" w:cs="Courier New" w:eastAsia="Courier New" w:hAnsi="Courier New"/>
          <w:sz w:val="12"/>
          <w:szCs w:val="12"/>
          <w:color w:val="auto"/>
        </w:rPr>
      </w:pPr>
    </w:p>
    <w:p>
      <w:pPr>
        <w:ind w:left="348" w:right="4619" w:firstLine="3"/>
        <w:spacing w:after="0" w:line="237" w:lineRule="auto"/>
        <w:tabs>
          <w:tab w:leader="none" w:pos="629" w:val="left"/>
        </w:tabs>
        <w:numPr>
          <w:ilvl w:val="1"/>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Courier New" w:cs="Courier New" w:eastAsia="Courier New" w:hAnsi="Courier New"/>
          <w:sz w:val="12"/>
          <w:szCs w:val="12"/>
          <w:color w:val="auto"/>
        </w:rPr>
      </w:pPr>
    </w:p>
    <w:p>
      <w:pPr>
        <w:ind w:left="348" w:right="4619" w:firstLine="3"/>
        <w:spacing w:after="0" w:line="236" w:lineRule="auto"/>
        <w:tabs>
          <w:tab w:leader="none" w:pos="629" w:val="left"/>
        </w:tabs>
        <w:numPr>
          <w:ilvl w:val="1"/>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Courier New" w:cs="Courier New" w:eastAsia="Courier New" w:hAnsi="Courier New"/>
          <w:sz w:val="12"/>
          <w:szCs w:val="12"/>
          <w:color w:val="auto"/>
        </w:rPr>
      </w:pPr>
    </w:p>
    <w:p>
      <w:pPr>
        <w:ind w:left="348" w:right="4619" w:firstLine="3"/>
        <w:spacing w:after="0" w:line="237" w:lineRule="auto"/>
        <w:tabs>
          <w:tab w:leader="none" w:pos="629" w:val="left"/>
        </w:tabs>
        <w:numPr>
          <w:ilvl w:val="1"/>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139" w:lineRule="exact"/>
        <w:rPr>
          <w:rFonts w:ascii="Courier New" w:cs="Courier New" w:eastAsia="Courier New" w:hAnsi="Courier New"/>
          <w:sz w:val="12"/>
          <w:szCs w:val="12"/>
          <w:color w:val="auto"/>
        </w:rPr>
      </w:pPr>
    </w:p>
    <w:p>
      <w:pPr>
        <w:ind w:left="8" w:right="4619" w:hanging="8"/>
        <w:spacing w:after="0" w:line="236" w:lineRule="auto"/>
        <w:tabs>
          <w:tab w:leader="none" w:pos="219" w:val="left"/>
        </w:tabs>
        <w:numPr>
          <w:ilvl w:val="0"/>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Courier New" w:cs="Courier New" w:eastAsia="Courier New" w:hAnsi="Courier New"/>
          <w:sz w:val="12"/>
          <w:szCs w:val="12"/>
          <w:color w:val="auto"/>
        </w:rPr>
      </w:pPr>
    </w:p>
    <w:p>
      <w:pPr>
        <w:ind w:left="348" w:right="4619" w:firstLine="3"/>
        <w:spacing w:after="0" w:line="236" w:lineRule="auto"/>
        <w:tabs>
          <w:tab w:leader="none" w:pos="629" w:val="left"/>
        </w:tabs>
        <w:numPr>
          <w:ilvl w:val="1"/>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Courier New" w:cs="Courier New" w:eastAsia="Courier New" w:hAnsi="Courier New"/>
          <w:sz w:val="12"/>
          <w:szCs w:val="12"/>
          <w:color w:val="auto"/>
        </w:rPr>
      </w:pPr>
    </w:p>
    <w:p>
      <w:pPr>
        <w:ind w:left="348" w:right="4699" w:firstLine="3"/>
        <w:spacing w:after="0" w:line="236" w:lineRule="auto"/>
        <w:tabs>
          <w:tab w:leader="none" w:pos="629" w:val="left"/>
        </w:tabs>
        <w:numPr>
          <w:ilvl w:val="1"/>
          <w:numId w:val="168"/>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June 18, 2008</w:t>
      </w:r>
    </w:p>
    <w:p>
      <w:pPr>
        <w:spacing w:after="0" w:line="134"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/s/ Russell C. Ellwanger</w:t>
      </w:r>
    </w:p>
    <w:p>
      <w:pPr>
        <w:spacing w:after="0" w:line="4" w:lineRule="exact"/>
        <w:rPr>
          <w:sz w:val="20"/>
          <w:szCs w:val="20"/>
          <w:color w:val="auto"/>
        </w:rPr>
      </w:pPr>
    </w:p>
    <w:p>
      <w:pPr>
        <w:ind w:left="3928"/>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928"/>
        <w:spacing w:after="0"/>
        <w:rPr>
          <w:sz w:val="20"/>
          <w:szCs w:val="20"/>
          <w:color w:val="auto"/>
        </w:rPr>
      </w:pPr>
      <w:r>
        <w:rPr>
          <w:rFonts w:ascii="Courier New" w:cs="Courier New" w:eastAsia="Courier New" w:hAnsi="Courier New"/>
          <w:sz w:val="12"/>
          <w:szCs w:val="12"/>
          <w:color w:val="auto"/>
        </w:rPr>
        <w:t>Russell C. Ellwanger</w:t>
      </w:r>
    </w:p>
    <w:p>
      <w:pPr>
        <w:ind w:left="3928"/>
        <w:spacing w:after="0"/>
        <w:rPr>
          <w:sz w:val="20"/>
          <w:szCs w:val="20"/>
          <w:color w:val="auto"/>
        </w:rPr>
      </w:pPr>
      <w:r>
        <w:rPr>
          <w:rFonts w:ascii="Courier New" w:cs="Courier New" w:eastAsia="Courier New" w:hAnsi="Courier New"/>
          <w:sz w:val="12"/>
          <w:szCs w:val="12"/>
          <w:color w:val="auto"/>
        </w:rPr>
        <w:t>Chief Executive Officer</w:t>
      </w:r>
    </w:p>
    <w:p>
      <w:pPr>
        <w:spacing w:after="0" w:line="3" w:lineRule="exact"/>
        <w:rPr>
          <w:sz w:val="20"/>
          <w:szCs w:val="20"/>
          <w:color w:val="auto"/>
        </w:rPr>
      </w:pPr>
    </w:p>
    <w:p>
      <w:pPr>
        <w:ind w:left="3928"/>
        <w:spacing w:after="0"/>
        <w:rPr>
          <w:sz w:val="20"/>
          <w:szCs w:val="20"/>
          <w:color w:val="auto"/>
        </w:rPr>
      </w:pPr>
      <w:r>
        <w:rPr>
          <w:rFonts w:ascii="Courier New" w:cs="Courier New" w:eastAsia="Courier New" w:hAnsi="Courier New"/>
          <w:sz w:val="11"/>
          <w:szCs w:val="11"/>
          <w:color w:val="auto"/>
        </w:rPr>
        <w:t>Tower Semiconductor Ltd.</w:t>
      </w:r>
    </w:p>
    <w:p>
      <w:pPr>
        <w:sectPr>
          <w:pgSz w:w="11900" w:h="16838" w:orient="portrait"/>
          <w:cols w:equalWidth="0" w:num="1">
            <w:col w:w="10247"/>
          </w:cols>
          <w:pgMar w:left="212" w:top="411" w:right="1440" w:bottom="1440" w:gutter="0" w:footer="0" w:header="0"/>
        </w:sectPr>
      </w:pPr>
    </w:p>
    <w:bookmarkStart w:id="118" w:name="page119"/>
    <w:bookmarkEnd w:id="118"/>
    <w:p>
      <w:pPr>
        <w:jc w:val="center"/>
        <w:ind w:right="-148"/>
        <w:spacing w:after="0"/>
        <w:rPr>
          <w:sz w:val="20"/>
          <w:szCs w:val="20"/>
          <w:color w:val="auto"/>
        </w:rPr>
      </w:pPr>
      <w:r>
        <w:rPr>
          <w:rFonts w:ascii="Courier New" w:cs="Courier New" w:eastAsia="Courier New" w:hAnsi="Courier New"/>
          <w:sz w:val="11"/>
          <w:szCs w:val="11"/>
          <w:color w:val="auto"/>
        </w:rPr>
        <w:t>EXHIBIT 12.2</w:t>
      </w:r>
    </w:p>
    <w:p>
      <w:pPr>
        <w:spacing w:after="0" w:line="141" w:lineRule="exact"/>
        <w:rPr>
          <w:sz w:val="20"/>
          <w:szCs w:val="20"/>
          <w:color w:val="auto"/>
        </w:rPr>
      </w:pPr>
    </w:p>
    <w:p>
      <w:pPr>
        <w:ind w:left="2388"/>
        <w:spacing w:after="0"/>
        <w:rPr>
          <w:sz w:val="20"/>
          <w:szCs w:val="20"/>
          <w:color w:val="auto"/>
        </w:rPr>
      </w:pPr>
      <w:r>
        <w:rPr>
          <w:rFonts w:ascii="Courier New" w:cs="Courier New" w:eastAsia="Courier New" w:hAnsi="Courier New"/>
          <w:sz w:val="12"/>
          <w:szCs w:val="12"/>
          <w:color w:val="auto"/>
        </w:rPr>
        <w:t>CERTIFICATION</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 Oren Shirazi, certify that:</w:t>
      </w:r>
    </w:p>
    <w:p>
      <w:pPr>
        <w:spacing w:after="0" w:line="139" w:lineRule="exact"/>
        <w:rPr>
          <w:sz w:val="20"/>
          <w:szCs w:val="20"/>
          <w:color w:val="auto"/>
        </w:rPr>
      </w:pPr>
    </w:p>
    <w:p>
      <w:pPr>
        <w:ind w:left="208" w:hanging="208"/>
        <w:spacing w:after="0"/>
        <w:tabs>
          <w:tab w:leader="none" w:pos="208" w:val="left"/>
        </w:tabs>
        <w:numPr>
          <w:ilvl w:val="0"/>
          <w:numId w:val="169"/>
        </w:numPr>
        <w:rPr>
          <w:rFonts w:ascii="Courier New" w:cs="Courier New" w:eastAsia="Courier New" w:hAnsi="Courier New"/>
          <w:sz w:val="11"/>
          <w:szCs w:val="11"/>
          <w:color w:val="auto"/>
        </w:rPr>
      </w:pPr>
      <w:r>
        <w:rPr>
          <w:rFonts w:ascii="Courier New" w:cs="Courier New" w:eastAsia="Courier New" w:hAnsi="Courier New"/>
          <w:sz w:val="11"/>
          <w:szCs w:val="11"/>
          <w:color w:val="auto"/>
        </w:rPr>
        <w:t>I have reviewed this annual report on Form 20-F of Tower Semiconductor Ltd.;</w:t>
      </w:r>
    </w:p>
    <w:p>
      <w:pPr>
        <w:spacing w:after="0" w:line="145" w:lineRule="exact"/>
        <w:rPr>
          <w:rFonts w:ascii="Courier New" w:cs="Courier New" w:eastAsia="Courier New" w:hAnsi="Courier New"/>
          <w:sz w:val="11"/>
          <w:szCs w:val="11"/>
          <w:color w:val="auto"/>
        </w:rPr>
      </w:pPr>
    </w:p>
    <w:p>
      <w:pPr>
        <w:ind w:left="8" w:right="4619" w:hanging="8"/>
        <w:spacing w:after="0" w:line="236" w:lineRule="auto"/>
        <w:tabs>
          <w:tab w:leader="none" w:pos="219" w:val="left"/>
        </w:tabs>
        <w:numPr>
          <w:ilvl w:val="0"/>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Courier New" w:cs="Courier New" w:eastAsia="Courier New" w:hAnsi="Courier New"/>
          <w:sz w:val="12"/>
          <w:szCs w:val="12"/>
          <w:color w:val="auto"/>
        </w:rPr>
      </w:pPr>
    </w:p>
    <w:p>
      <w:pPr>
        <w:ind w:left="208" w:hanging="208"/>
        <w:spacing w:after="0"/>
        <w:tabs>
          <w:tab w:leader="none" w:pos="208" w:val="left"/>
        </w:tabs>
        <w:numPr>
          <w:ilvl w:val="0"/>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Based on my knowledge, the financial statements, and other financial</w:t>
      </w:r>
    </w:p>
    <w:p>
      <w:pPr>
        <w:spacing w:after="0" w:line="3" w:lineRule="exact"/>
        <w:rPr>
          <w:rFonts w:ascii="Courier New" w:cs="Courier New" w:eastAsia="Courier New" w:hAnsi="Courier New"/>
          <w:sz w:val="12"/>
          <w:szCs w:val="12"/>
          <w:color w:val="auto"/>
        </w:rPr>
      </w:pPr>
    </w:p>
    <w:p>
      <w:pPr>
        <w:ind w:left="8" w:right="4839"/>
        <w:spacing w:after="0" w:line="236"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information included in this annual report, fairly present in all material respects the financial condition, results of operations and cash flows of the registrant as of, and for, the periods presented in this report;</w:t>
      </w:r>
    </w:p>
    <w:p>
      <w:pPr>
        <w:spacing w:after="0" w:line="139" w:lineRule="exact"/>
        <w:rPr>
          <w:rFonts w:ascii="Courier New" w:cs="Courier New" w:eastAsia="Courier New" w:hAnsi="Courier New"/>
          <w:sz w:val="12"/>
          <w:szCs w:val="12"/>
          <w:color w:val="auto"/>
        </w:rPr>
      </w:pPr>
    </w:p>
    <w:p>
      <w:pPr>
        <w:ind w:left="8" w:right="4699" w:hanging="8"/>
        <w:spacing w:after="0" w:line="237" w:lineRule="auto"/>
        <w:tabs>
          <w:tab w:leader="none" w:pos="219" w:val="left"/>
        </w:tabs>
        <w:numPr>
          <w:ilvl w:val="0"/>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Courier New" w:cs="Courier New" w:eastAsia="Courier New" w:hAnsi="Courier New"/>
          <w:sz w:val="12"/>
          <w:szCs w:val="12"/>
          <w:color w:val="auto"/>
        </w:rPr>
      </w:pPr>
    </w:p>
    <w:p>
      <w:pPr>
        <w:ind w:left="348" w:right="4619" w:firstLine="3"/>
        <w:spacing w:after="0" w:line="237" w:lineRule="auto"/>
        <w:tabs>
          <w:tab w:leader="none" w:pos="629" w:val="left"/>
        </w:tabs>
        <w:numPr>
          <w:ilvl w:val="1"/>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40" w:lineRule="exact"/>
        <w:rPr>
          <w:rFonts w:ascii="Courier New" w:cs="Courier New" w:eastAsia="Courier New" w:hAnsi="Courier New"/>
          <w:sz w:val="12"/>
          <w:szCs w:val="12"/>
          <w:color w:val="auto"/>
        </w:rPr>
      </w:pPr>
    </w:p>
    <w:p>
      <w:pPr>
        <w:ind w:left="348" w:right="4619" w:firstLine="3"/>
        <w:spacing w:after="0" w:line="237" w:lineRule="auto"/>
        <w:tabs>
          <w:tab w:leader="none" w:pos="629" w:val="left"/>
        </w:tabs>
        <w:numPr>
          <w:ilvl w:val="1"/>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Courier New" w:cs="Courier New" w:eastAsia="Courier New" w:hAnsi="Courier New"/>
          <w:sz w:val="12"/>
          <w:szCs w:val="12"/>
          <w:color w:val="auto"/>
        </w:rPr>
      </w:pPr>
    </w:p>
    <w:p>
      <w:pPr>
        <w:ind w:left="348" w:right="4619" w:firstLine="3"/>
        <w:spacing w:after="0" w:line="236" w:lineRule="auto"/>
        <w:tabs>
          <w:tab w:leader="none" w:pos="629" w:val="left"/>
        </w:tabs>
        <w:numPr>
          <w:ilvl w:val="1"/>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Courier New" w:cs="Courier New" w:eastAsia="Courier New" w:hAnsi="Courier New"/>
          <w:sz w:val="12"/>
          <w:szCs w:val="12"/>
          <w:color w:val="auto"/>
        </w:rPr>
      </w:pPr>
    </w:p>
    <w:p>
      <w:pPr>
        <w:ind w:left="348" w:right="4619" w:firstLine="3"/>
        <w:spacing w:after="0" w:line="237" w:lineRule="auto"/>
        <w:tabs>
          <w:tab w:leader="none" w:pos="629" w:val="left"/>
        </w:tabs>
        <w:numPr>
          <w:ilvl w:val="1"/>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139" w:lineRule="exact"/>
        <w:rPr>
          <w:rFonts w:ascii="Courier New" w:cs="Courier New" w:eastAsia="Courier New" w:hAnsi="Courier New"/>
          <w:sz w:val="12"/>
          <w:szCs w:val="12"/>
          <w:color w:val="auto"/>
        </w:rPr>
      </w:pPr>
    </w:p>
    <w:p>
      <w:pPr>
        <w:ind w:left="8" w:right="4619" w:hanging="8"/>
        <w:spacing w:after="0" w:line="236" w:lineRule="auto"/>
        <w:tabs>
          <w:tab w:leader="none" w:pos="219" w:val="left"/>
        </w:tabs>
        <w:numPr>
          <w:ilvl w:val="0"/>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Courier New" w:cs="Courier New" w:eastAsia="Courier New" w:hAnsi="Courier New"/>
          <w:sz w:val="12"/>
          <w:szCs w:val="12"/>
          <w:color w:val="auto"/>
        </w:rPr>
      </w:pPr>
    </w:p>
    <w:p>
      <w:pPr>
        <w:ind w:left="348" w:right="4619" w:firstLine="3"/>
        <w:spacing w:after="0" w:line="236" w:lineRule="auto"/>
        <w:tabs>
          <w:tab w:leader="none" w:pos="629" w:val="left"/>
        </w:tabs>
        <w:numPr>
          <w:ilvl w:val="1"/>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Courier New" w:cs="Courier New" w:eastAsia="Courier New" w:hAnsi="Courier New"/>
          <w:sz w:val="12"/>
          <w:szCs w:val="12"/>
          <w:color w:val="auto"/>
        </w:rPr>
      </w:pPr>
    </w:p>
    <w:p>
      <w:pPr>
        <w:ind w:left="348" w:right="4699" w:firstLine="3"/>
        <w:spacing w:after="0" w:line="236" w:lineRule="auto"/>
        <w:tabs>
          <w:tab w:leader="none" w:pos="629" w:val="left"/>
        </w:tabs>
        <w:numPr>
          <w:ilvl w:val="1"/>
          <w:numId w:val="169"/>
        </w:numPr>
        <w:rPr>
          <w:rFonts w:ascii="Courier New" w:cs="Courier New" w:eastAsia="Courier New" w:hAnsi="Courier New"/>
          <w:sz w:val="12"/>
          <w:szCs w:val="12"/>
          <w:color w:val="auto"/>
        </w:rPr>
      </w:pPr>
      <w:r>
        <w:rPr>
          <w:rFonts w:ascii="Courier New" w:cs="Courier New" w:eastAsia="Courier New" w:hAnsi="Courier New"/>
          <w:sz w:val="12"/>
          <w:szCs w:val="12"/>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June 18, 2008</w:t>
      </w:r>
    </w:p>
    <w:p>
      <w:pPr>
        <w:spacing w:after="0" w:line="134" w:lineRule="exact"/>
        <w:rPr>
          <w:sz w:val="20"/>
          <w:szCs w:val="20"/>
          <w:color w:val="auto"/>
        </w:rPr>
      </w:pPr>
    </w:p>
    <w:p>
      <w:pPr>
        <w:ind w:left="3508"/>
        <w:spacing w:after="0"/>
        <w:rPr>
          <w:sz w:val="20"/>
          <w:szCs w:val="20"/>
          <w:color w:val="auto"/>
        </w:rPr>
      </w:pPr>
      <w:r>
        <w:rPr>
          <w:rFonts w:ascii="Courier New" w:cs="Courier New" w:eastAsia="Courier New" w:hAnsi="Courier New"/>
          <w:sz w:val="12"/>
          <w:szCs w:val="12"/>
          <w:color w:val="auto"/>
        </w:rPr>
        <w:t>/s/ Oren Shirazi</w:t>
      </w:r>
    </w:p>
    <w:p>
      <w:pPr>
        <w:ind w:left="3508"/>
        <w:spacing w:after="0"/>
        <w:rPr>
          <w:sz w:val="20"/>
          <w:szCs w:val="20"/>
          <w:color w:val="auto"/>
        </w:rPr>
      </w:pPr>
      <w:r>
        <w:rPr>
          <w:rFonts w:ascii="Courier New" w:cs="Courier New" w:eastAsia="Courier New" w:hAnsi="Courier New"/>
          <w:sz w:val="12"/>
          <w:szCs w:val="12"/>
          <w:color w:val="auto"/>
        </w:rPr>
        <w:t>----------------</w:t>
      </w:r>
    </w:p>
    <w:p>
      <w:pPr>
        <w:ind w:left="3508"/>
        <w:spacing w:after="0" w:line="237" w:lineRule="auto"/>
        <w:rPr>
          <w:sz w:val="20"/>
          <w:szCs w:val="20"/>
          <w:color w:val="auto"/>
        </w:rPr>
      </w:pPr>
      <w:r>
        <w:rPr>
          <w:rFonts w:ascii="Courier New" w:cs="Courier New" w:eastAsia="Courier New" w:hAnsi="Courier New"/>
          <w:sz w:val="12"/>
          <w:szCs w:val="12"/>
          <w:color w:val="auto"/>
        </w:rPr>
        <w:t>Oren Shirazi</w:t>
      </w:r>
    </w:p>
    <w:p>
      <w:pPr>
        <w:spacing w:after="0" w:line="4" w:lineRule="exact"/>
        <w:rPr>
          <w:sz w:val="20"/>
          <w:szCs w:val="20"/>
          <w:color w:val="auto"/>
        </w:rPr>
      </w:pPr>
    </w:p>
    <w:p>
      <w:pPr>
        <w:ind w:left="3508"/>
        <w:spacing w:after="0"/>
        <w:rPr>
          <w:sz w:val="20"/>
          <w:szCs w:val="20"/>
          <w:color w:val="auto"/>
        </w:rPr>
      </w:pPr>
      <w:r>
        <w:rPr>
          <w:rFonts w:ascii="Courier New" w:cs="Courier New" w:eastAsia="Courier New" w:hAnsi="Courier New"/>
          <w:sz w:val="11"/>
          <w:szCs w:val="11"/>
          <w:color w:val="auto"/>
        </w:rPr>
        <w:t>Acting Chief Financial Officer</w:t>
      </w:r>
    </w:p>
    <w:p>
      <w:pPr>
        <w:spacing w:after="0" w:line="6" w:lineRule="exact"/>
        <w:rPr>
          <w:sz w:val="20"/>
          <w:szCs w:val="20"/>
          <w:color w:val="auto"/>
        </w:rPr>
      </w:pPr>
    </w:p>
    <w:p>
      <w:pPr>
        <w:ind w:left="3508"/>
        <w:spacing w:after="0"/>
        <w:rPr>
          <w:sz w:val="20"/>
          <w:szCs w:val="20"/>
          <w:color w:val="auto"/>
        </w:rPr>
      </w:pPr>
      <w:r>
        <w:rPr>
          <w:rFonts w:ascii="Courier New" w:cs="Courier New" w:eastAsia="Courier New" w:hAnsi="Courier New"/>
          <w:sz w:val="12"/>
          <w:szCs w:val="12"/>
          <w:color w:val="auto"/>
        </w:rPr>
        <w:t>Tower Semiconductor Ltd.</w:t>
      </w:r>
    </w:p>
    <w:p>
      <w:pPr>
        <w:sectPr>
          <w:pgSz w:w="11900" w:h="16838" w:orient="portrait"/>
          <w:cols w:equalWidth="0" w:num="1">
            <w:col w:w="10247"/>
          </w:cols>
          <w:pgMar w:left="212" w:top="411" w:right="1440" w:bottom="1440" w:gutter="0" w:footer="0" w:header="0"/>
        </w:sectPr>
      </w:pPr>
    </w:p>
    <w:bookmarkStart w:id="119" w:name="page120"/>
    <w:bookmarkEnd w:id="119"/>
    <w:p>
      <w:pPr>
        <w:jc w:val="center"/>
        <w:ind w:right="-140"/>
        <w:spacing w:after="0"/>
        <w:rPr>
          <w:sz w:val="20"/>
          <w:szCs w:val="20"/>
          <w:color w:val="auto"/>
        </w:rPr>
      </w:pPr>
      <w:r>
        <w:rPr>
          <w:rFonts w:ascii="Courier New" w:cs="Courier New" w:eastAsia="Courier New" w:hAnsi="Courier New"/>
          <w:sz w:val="11"/>
          <w:szCs w:val="11"/>
          <w:color w:val="auto"/>
        </w:rPr>
        <w:t>EXHIBIT 13.1</w:t>
      </w:r>
    </w:p>
    <w:p>
      <w:pPr>
        <w:spacing w:after="0" w:line="14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CERTIFICATION PURSUANT TO</w:t>
      </w:r>
    </w:p>
    <w:p>
      <w:pPr>
        <w:jc w:val="center"/>
        <w:ind w:right="4559"/>
        <w:spacing w:after="0"/>
        <w:rPr>
          <w:sz w:val="20"/>
          <w:szCs w:val="20"/>
          <w:color w:val="auto"/>
        </w:rPr>
      </w:pPr>
      <w:r>
        <w:rPr>
          <w:rFonts w:ascii="Courier New" w:cs="Courier New" w:eastAsia="Courier New" w:hAnsi="Courier New"/>
          <w:sz w:val="12"/>
          <w:szCs w:val="12"/>
          <w:color w:val="auto"/>
        </w:rPr>
        <w:t>18 US C SECTION 1350,</w:t>
      </w:r>
    </w:p>
    <w:p>
      <w:pPr>
        <w:jc w:val="center"/>
        <w:ind w:right="4619"/>
        <w:spacing w:after="0" w:line="237" w:lineRule="auto"/>
        <w:rPr>
          <w:sz w:val="20"/>
          <w:szCs w:val="20"/>
          <w:color w:val="auto"/>
        </w:rPr>
      </w:pPr>
      <w:r>
        <w:rPr>
          <w:rFonts w:ascii="Courier New" w:cs="Courier New" w:eastAsia="Courier New" w:hAnsi="Courier New"/>
          <w:sz w:val="12"/>
          <w:szCs w:val="12"/>
          <w:color w:val="auto"/>
        </w:rPr>
        <w:t>AS ADOPTED PURSUANT TO</w:t>
      </w:r>
    </w:p>
    <w:p>
      <w:pPr>
        <w:jc w:val="center"/>
        <w:ind w:right="4559"/>
        <w:spacing w:after="0"/>
        <w:rPr>
          <w:sz w:val="20"/>
          <w:szCs w:val="20"/>
          <w:color w:val="auto"/>
        </w:rPr>
      </w:pPr>
      <w:r>
        <w:rPr>
          <w:rFonts w:ascii="Courier New" w:cs="Courier New" w:eastAsia="Courier New" w:hAnsi="Courier New"/>
          <w:sz w:val="12"/>
          <w:szCs w:val="12"/>
          <w:color w:val="auto"/>
        </w:rPr>
        <w:t>SECTION 906 OF THE SARBANES-OXLEY ACT OF 2002</w:t>
      </w:r>
    </w:p>
    <w:p>
      <w:pPr>
        <w:spacing w:after="0" w:line="138" w:lineRule="exact"/>
        <w:rPr>
          <w:sz w:val="20"/>
          <w:szCs w:val="20"/>
          <w:color w:val="auto"/>
        </w:rPr>
      </w:pPr>
    </w:p>
    <w:p>
      <w:pPr>
        <w:ind w:right="4759" w:firstLine="351"/>
        <w:spacing w:after="0" w:line="262" w:lineRule="auto"/>
        <w:rPr>
          <w:sz w:val="20"/>
          <w:szCs w:val="20"/>
          <w:color w:val="auto"/>
        </w:rPr>
      </w:pPr>
      <w:r>
        <w:rPr>
          <w:rFonts w:ascii="Courier New" w:cs="Courier New" w:eastAsia="Courier New" w:hAnsi="Courier New"/>
          <w:sz w:val="11"/>
          <w:szCs w:val="11"/>
          <w:color w:val="auto"/>
        </w:rPr>
        <w:t>In connection with the Annual Report of Tower Semiconductor Ltd. (the "Registrant") on Form 20-F for the year ended December 31, 2007 as filed with the Securities and Exchange Commission on the date hereof (the "Report"), I, Russell C. Ellwanger, Chief Executive Officer of the Registrant, certify, pursuant to 18 U.S. C. Section 1350, as adopted pursuant to Section 906 of the Sarbanes-Oxley Act of 2002, that to my knowledge:</w:t>
      </w:r>
    </w:p>
    <w:p>
      <w:pPr>
        <w:spacing w:after="0" w:line="130" w:lineRule="exact"/>
        <w:rPr>
          <w:sz w:val="20"/>
          <w:szCs w:val="20"/>
          <w:color w:val="auto"/>
        </w:rPr>
      </w:pPr>
    </w:p>
    <w:p>
      <w:pPr>
        <w:ind w:left="700" w:right="4839" w:hanging="357"/>
        <w:spacing w:after="0" w:line="235" w:lineRule="auto"/>
        <w:tabs>
          <w:tab w:leader="none" w:pos="700" w:val="left"/>
        </w:tabs>
        <w:numPr>
          <w:ilvl w:val="0"/>
          <w:numId w:val="1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Report fully complies with the requirements of Section 13(a) of the Securities Exchange Act of 1934; and section 13 (a).</w:t>
      </w:r>
    </w:p>
    <w:p>
      <w:pPr>
        <w:spacing w:after="0" w:line="139" w:lineRule="exact"/>
        <w:rPr>
          <w:rFonts w:ascii="Courier New" w:cs="Courier New" w:eastAsia="Courier New" w:hAnsi="Courier New"/>
          <w:sz w:val="12"/>
          <w:szCs w:val="12"/>
          <w:color w:val="auto"/>
        </w:rPr>
      </w:pPr>
    </w:p>
    <w:p>
      <w:pPr>
        <w:ind w:left="700" w:right="4759" w:hanging="357"/>
        <w:spacing w:after="0" w:line="236" w:lineRule="auto"/>
        <w:tabs>
          <w:tab w:leader="none" w:pos="700" w:val="left"/>
        </w:tabs>
        <w:numPr>
          <w:ilvl w:val="0"/>
          <w:numId w:val="170"/>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information contained in the Report fairly presents, in all material respects, the financial condition and results of operations of the Registrant.</w:t>
      </w:r>
    </w:p>
    <w:p>
      <w:pPr>
        <w:spacing w:after="0" w:line="135"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2"/>
          <w:szCs w:val="12"/>
          <w:color w:val="auto"/>
        </w:rPr>
        <w:t>/s/ Russell C. Ellwanger</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1"/>
          <w:szCs w:val="11"/>
          <w:color w:val="auto"/>
        </w:rPr>
        <w:t>------------------------</w:t>
      </w:r>
    </w:p>
    <w:p>
      <w:pPr>
        <w:spacing w:after="0" w:line="6" w:lineRule="exact"/>
        <w:rPr>
          <w:sz w:val="20"/>
          <w:szCs w:val="20"/>
          <w:color w:val="auto"/>
        </w:rPr>
      </w:pPr>
    </w:p>
    <w:p>
      <w:pPr>
        <w:ind w:left="3920"/>
        <w:spacing w:after="0"/>
        <w:rPr>
          <w:sz w:val="20"/>
          <w:szCs w:val="20"/>
          <w:color w:val="auto"/>
        </w:rPr>
      </w:pPr>
      <w:r>
        <w:rPr>
          <w:rFonts w:ascii="Courier New" w:cs="Courier New" w:eastAsia="Courier New" w:hAnsi="Courier New"/>
          <w:sz w:val="12"/>
          <w:szCs w:val="12"/>
          <w:color w:val="auto"/>
        </w:rPr>
        <w:t>Russell C. Ellwanger</w:t>
      </w:r>
    </w:p>
    <w:p>
      <w:pPr>
        <w:ind w:left="3920"/>
        <w:spacing w:after="0"/>
        <w:rPr>
          <w:sz w:val="20"/>
          <w:szCs w:val="20"/>
          <w:color w:val="auto"/>
        </w:rPr>
      </w:pPr>
      <w:r>
        <w:rPr>
          <w:rFonts w:ascii="Courier New" w:cs="Courier New" w:eastAsia="Courier New" w:hAnsi="Courier New"/>
          <w:sz w:val="12"/>
          <w:szCs w:val="12"/>
          <w:color w:val="auto"/>
        </w:rPr>
        <w:t>Chief Executive Officer</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June 18, 2008</w:t>
      </w:r>
    </w:p>
    <w:p>
      <w:pPr>
        <w:spacing w:after="0" w:line="139" w:lineRule="exact"/>
        <w:rPr>
          <w:sz w:val="20"/>
          <w:szCs w:val="20"/>
          <w:color w:val="auto"/>
        </w:rPr>
      </w:pPr>
    </w:p>
    <w:p>
      <w:pPr>
        <w:ind w:right="4759" w:firstLine="351"/>
        <w:spacing w:after="0" w:line="266" w:lineRule="auto"/>
        <w:rPr>
          <w:sz w:val="20"/>
          <w:szCs w:val="20"/>
          <w:color w:val="auto"/>
        </w:rPr>
      </w:pPr>
      <w:r>
        <w:rPr>
          <w:rFonts w:ascii="Courier New" w:cs="Courier New" w:eastAsia="Courier New" w:hAnsi="Courier New"/>
          <w:sz w:val="11"/>
          <w:szCs w:val="11"/>
          <w:color w:val="auto"/>
        </w:rPr>
        <w:t>A signed original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0239"/>
          </w:cols>
          <w:pgMar w:left="220" w:top="411" w:right="1440" w:bottom="1440" w:gutter="0" w:footer="0" w:header="0"/>
        </w:sectPr>
      </w:pPr>
    </w:p>
    <w:bookmarkStart w:id="120" w:name="page121"/>
    <w:bookmarkEnd w:id="120"/>
    <w:p>
      <w:pPr>
        <w:jc w:val="center"/>
        <w:ind w:right="-140"/>
        <w:spacing w:after="0"/>
        <w:rPr>
          <w:sz w:val="20"/>
          <w:szCs w:val="20"/>
          <w:color w:val="auto"/>
        </w:rPr>
      </w:pPr>
      <w:r>
        <w:rPr>
          <w:rFonts w:ascii="Courier New" w:cs="Courier New" w:eastAsia="Courier New" w:hAnsi="Courier New"/>
          <w:sz w:val="11"/>
          <w:szCs w:val="11"/>
          <w:color w:val="auto"/>
        </w:rPr>
        <w:t>EXHIBIT 13.2</w:t>
      </w:r>
    </w:p>
    <w:p>
      <w:pPr>
        <w:spacing w:after="0" w:line="141"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2"/>
          <w:szCs w:val="12"/>
          <w:color w:val="auto"/>
        </w:rPr>
        <w:t>CERTIFICATION PURSUANT TO</w:t>
      </w:r>
    </w:p>
    <w:p>
      <w:pPr>
        <w:jc w:val="center"/>
        <w:ind w:right="4559"/>
        <w:spacing w:after="0"/>
        <w:rPr>
          <w:sz w:val="20"/>
          <w:szCs w:val="20"/>
          <w:color w:val="auto"/>
        </w:rPr>
      </w:pPr>
      <w:r>
        <w:rPr>
          <w:rFonts w:ascii="Courier New" w:cs="Courier New" w:eastAsia="Courier New" w:hAnsi="Courier New"/>
          <w:sz w:val="12"/>
          <w:szCs w:val="12"/>
          <w:color w:val="auto"/>
        </w:rPr>
        <w:t>18 US C SECTION 1350,</w:t>
      </w:r>
    </w:p>
    <w:p>
      <w:pPr>
        <w:jc w:val="center"/>
        <w:ind w:right="4619"/>
        <w:spacing w:after="0" w:line="237" w:lineRule="auto"/>
        <w:rPr>
          <w:sz w:val="20"/>
          <w:szCs w:val="20"/>
          <w:color w:val="auto"/>
        </w:rPr>
      </w:pPr>
      <w:r>
        <w:rPr>
          <w:rFonts w:ascii="Courier New" w:cs="Courier New" w:eastAsia="Courier New" w:hAnsi="Courier New"/>
          <w:sz w:val="12"/>
          <w:szCs w:val="12"/>
          <w:color w:val="auto"/>
        </w:rPr>
        <w:t>AS ADOPTED PURSUANT TO</w:t>
      </w:r>
    </w:p>
    <w:p>
      <w:pPr>
        <w:jc w:val="center"/>
        <w:ind w:right="4559"/>
        <w:spacing w:after="0"/>
        <w:rPr>
          <w:sz w:val="20"/>
          <w:szCs w:val="20"/>
          <w:color w:val="auto"/>
        </w:rPr>
      </w:pPr>
      <w:r>
        <w:rPr>
          <w:rFonts w:ascii="Courier New" w:cs="Courier New" w:eastAsia="Courier New" w:hAnsi="Courier New"/>
          <w:sz w:val="12"/>
          <w:szCs w:val="12"/>
          <w:color w:val="auto"/>
        </w:rPr>
        <w:t>SECTION 906 OF THE SARBANES-OXLEY ACT OF 2002</w:t>
      </w:r>
    </w:p>
    <w:p>
      <w:pPr>
        <w:spacing w:after="0" w:line="138" w:lineRule="exact"/>
        <w:rPr>
          <w:sz w:val="20"/>
          <w:szCs w:val="20"/>
          <w:color w:val="auto"/>
        </w:rPr>
      </w:pPr>
    </w:p>
    <w:p>
      <w:pPr>
        <w:ind w:right="4759" w:firstLine="351"/>
        <w:spacing w:after="0" w:line="262" w:lineRule="auto"/>
        <w:rPr>
          <w:sz w:val="20"/>
          <w:szCs w:val="20"/>
          <w:color w:val="auto"/>
        </w:rPr>
      </w:pPr>
      <w:r>
        <w:rPr>
          <w:rFonts w:ascii="Courier New" w:cs="Courier New" w:eastAsia="Courier New" w:hAnsi="Courier New"/>
          <w:sz w:val="11"/>
          <w:szCs w:val="11"/>
          <w:color w:val="auto"/>
        </w:rPr>
        <w:t>In connection with the Annual Report of Tower Semiconductor Ltd. (the "Registrant") on Form 20-F for the year ended December 31, 2007 as filed with the Securities and Exchange Commission on the date hereof (the "Report"), I, Oren Shirazi, Acting Chief Financial Officer of the Registrant, certify, pursuant to 18 U.S. C. Section 1350, as adopted pursuant to Section 906 of the Sarbanes-Oxley Act of 2002, that to my knowledge:</w:t>
      </w:r>
    </w:p>
    <w:p>
      <w:pPr>
        <w:spacing w:after="0" w:line="130" w:lineRule="exact"/>
        <w:rPr>
          <w:sz w:val="20"/>
          <w:szCs w:val="20"/>
          <w:color w:val="auto"/>
        </w:rPr>
      </w:pPr>
    </w:p>
    <w:p>
      <w:pPr>
        <w:ind w:left="700" w:right="4839" w:hanging="357"/>
        <w:spacing w:after="0" w:line="235" w:lineRule="auto"/>
        <w:tabs>
          <w:tab w:leader="none" w:pos="700" w:val="left"/>
        </w:tabs>
        <w:numPr>
          <w:ilvl w:val="0"/>
          <w:numId w:val="1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Report fully complies with the requirements of Section 13(a) of the Securities Exchange Act of 1934; and</w:t>
      </w:r>
    </w:p>
    <w:p>
      <w:pPr>
        <w:spacing w:after="0" w:line="139" w:lineRule="exact"/>
        <w:rPr>
          <w:rFonts w:ascii="Courier New" w:cs="Courier New" w:eastAsia="Courier New" w:hAnsi="Courier New"/>
          <w:sz w:val="12"/>
          <w:szCs w:val="12"/>
          <w:color w:val="auto"/>
        </w:rPr>
      </w:pPr>
    </w:p>
    <w:p>
      <w:pPr>
        <w:ind w:left="700" w:right="4759" w:hanging="357"/>
        <w:spacing w:after="0" w:line="236" w:lineRule="auto"/>
        <w:tabs>
          <w:tab w:leader="none" w:pos="700" w:val="left"/>
        </w:tabs>
        <w:numPr>
          <w:ilvl w:val="0"/>
          <w:numId w:val="171"/>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information contained in the Report fairly presents, in all material respects, the financial condition and results of operations of the Registrant.</w:t>
      </w:r>
    </w:p>
    <w:p>
      <w:pPr>
        <w:spacing w:after="0" w:line="135" w:lineRule="exact"/>
        <w:rPr>
          <w:sz w:val="20"/>
          <w:szCs w:val="20"/>
          <w:color w:val="auto"/>
        </w:rPr>
      </w:pPr>
    </w:p>
    <w:p>
      <w:pPr>
        <w:ind w:left="3500"/>
        <w:spacing w:after="0"/>
        <w:rPr>
          <w:sz w:val="20"/>
          <w:szCs w:val="20"/>
          <w:color w:val="auto"/>
        </w:rPr>
      </w:pPr>
      <w:r>
        <w:rPr>
          <w:rFonts w:ascii="Courier New" w:cs="Courier New" w:eastAsia="Courier New" w:hAnsi="Courier New"/>
          <w:sz w:val="12"/>
          <w:szCs w:val="12"/>
          <w:color w:val="auto"/>
        </w:rPr>
        <w:t>/s/ Oren Shirazi</w:t>
      </w:r>
    </w:p>
    <w:p>
      <w:pPr>
        <w:ind w:left="3500"/>
        <w:spacing w:after="0"/>
        <w:rPr>
          <w:sz w:val="20"/>
          <w:szCs w:val="20"/>
          <w:color w:val="auto"/>
        </w:rPr>
      </w:pPr>
      <w:r>
        <w:rPr>
          <w:rFonts w:ascii="Courier New" w:cs="Courier New" w:eastAsia="Courier New" w:hAnsi="Courier New"/>
          <w:sz w:val="12"/>
          <w:szCs w:val="12"/>
          <w:color w:val="auto"/>
        </w:rPr>
        <w:t>----------------</w:t>
      </w:r>
    </w:p>
    <w:p>
      <w:pPr>
        <w:ind w:left="3500"/>
        <w:spacing w:after="0" w:line="237" w:lineRule="auto"/>
        <w:rPr>
          <w:sz w:val="20"/>
          <w:szCs w:val="20"/>
          <w:color w:val="auto"/>
        </w:rPr>
      </w:pPr>
      <w:r>
        <w:rPr>
          <w:rFonts w:ascii="Courier New" w:cs="Courier New" w:eastAsia="Courier New" w:hAnsi="Courier New"/>
          <w:sz w:val="12"/>
          <w:szCs w:val="12"/>
          <w:color w:val="auto"/>
        </w:rPr>
        <w:t>Oren Shirazi</w:t>
      </w:r>
    </w:p>
    <w:p>
      <w:pPr>
        <w:spacing w:after="0" w:line="4" w:lineRule="exact"/>
        <w:rPr>
          <w:sz w:val="20"/>
          <w:szCs w:val="20"/>
          <w:color w:val="auto"/>
        </w:rPr>
      </w:pPr>
    </w:p>
    <w:p>
      <w:pPr>
        <w:ind w:left="3500"/>
        <w:spacing w:after="0"/>
        <w:rPr>
          <w:sz w:val="20"/>
          <w:szCs w:val="20"/>
          <w:color w:val="auto"/>
        </w:rPr>
      </w:pPr>
      <w:r>
        <w:rPr>
          <w:rFonts w:ascii="Courier New" w:cs="Courier New" w:eastAsia="Courier New" w:hAnsi="Courier New"/>
          <w:sz w:val="11"/>
          <w:szCs w:val="11"/>
          <w:color w:val="auto"/>
        </w:rPr>
        <w:t>Acting Chief Financial Officer</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June 18, 2008</w:t>
      </w:r>
    </w:p>
    <w:p>
      <w:pPr>
        <w:spacing w:after="0" w:line="139" w:lineRule="exact"/>
        <w:rPr>
          <w:sz w:val="20"/>
          <w:szCs w:val="20"/>
          <w:color w:val="auto"/>
        </w:rPr>
      </w:pPr>
    </w:p>
    <w:p>
      <w:pPr>
        <w:ind w:right="4759" w:firstLine="351"/>
        <w:spacing w:after="0" w:line="266" w:lineRule="auto"/>
        <w:rPr>
          <w:sz w:val="20"/>
          <w:szCs w:val="20"/>
          <w:color w:val="auto"/>
        </w:rPr>
      </w:pPr>
      <w:r>
        <w:rPr>
          <w:rFonts w:ascii="Courier New" w:cs="Courier New" w:eastAsia="Courier New" w:hAnsi="Courier New"/>
          <w:sz w:val="11"/>
          <w:szCs w:val="11"/>
          <w:color w:val="auto"/>
        </w:rPr>
        <w:t>A signed original of this written statement required by Section 906 has been provided to the Registrant and will be retained by the Registrant and furnished to the Securities and Exchange Commission or its staff upon request.</w:t>
      </w:r>
    </w:p>
    <w:p>
      <w:pPr>
        <w:sectPr>
          <w:pgSz w:w="11900" w:h="16838" w:orient="portrait"/>
          <w:cols w:equalWidth="0" w:num="1">
            <w:col w:w="10239"/>
          </w:cols>
          <w:pgMar w:left="220" w:top="411" w:right="1440" w:bottom="1440" w:gutter="0" w:footer="0" w:header="0"/>
        </w:sectPr>
      </w:pPr>
    </w:p>
    <w:bookmarkStart w:id="121" w:name="page122"/>
    <w:bookmarkEnd w:id="121"/>
    <w:p>
      <w:pPr>
        <w:jc w:val="center"/>
        <w:ind w:right="-140"/>
        <w:spacing w:after="0"/>
        <w:rPr>
          <w:sz w:val="20"/>
          <w:szCs w:val="20"/>
          <w:color w:val="auto"/>
        </w:rPr>
      </w:pPr>
      <w:r>
        <w:rPr>
          <w:rFonts w:ascii="Courier New" w:cs="Courier New" w:eastAsia="Courier New" w:hAnsi="Courier New"/>
          <w:sz w:val="11"/>
          <w:szCs w:val="11"/>
          <w:color w:val="auto"/>
        </w:rPr>
        <w:t>EXHIBIT 14.1</w:t>
      </w:r>
    </w:p>
    <w:p>
      <w:pPr>
        <w:spacing w:after="0" w:line="141" w:lineRule="exact"/>
        <w:rPr>
          <w:sz w:val="20"/>
          <w:szCs w:val="20"/>
          <w:color w:val="auto"/>
        </w:rPr>
      </w:pPr>
    </w:p>
    <w:p>
      <w:pPr>
        <w:ind w:left="840"/>
        <w:spacing w:after="0"/>
        <w:rPr>
          <w:sz w:val="20"/>
          <w:szCs w:val="20"/>
          <w:color w:val="auto"/>
        </w:rPr>
      </w:pPr>
      <w:r>
        <w:rPr>
          <w:rFonts w:ascii="Courier New" w:cs="Courier New" w:eastAsia="Courier New" w:hAnsi="Courier New"/>
          <w:sz w:val="12"/>
          <w:szCs w:val="12"/>
          <w:color w:val="auto"/>
        </w:rPr>
        <w:t>CONSENT OF INDEPENDENT REGISTERED PUBLIC ACCOUNTING FIRM</w:t>
      </w:r>
    </w:p>
    <w:p>
      <w:pPr>
        <w:spacing w:after="0" w:line="139" w:lineRule="exact"/>
        <w:rPr>
          <w:sz w:val="20"/>
          <w:szCs w:val="20"/>
          <w:color w:val="auto"/>
        </w:rPr>
      </w:pPr>
    </w:p>
    <w:p>
      <w:pPr>
        <w:ind w:right="4899"/>
        <w:spacing w:after="0" w:line="260" w:lineRule="auto"/>
        <w:rPr>
          <w:sz w:val="20"/>
          <w:szCs w:val="20"/>
          <w:color w:val="auto"/>
        </w:rPr>
      </w:pPr>
      <w:r>
        <w:rPr>
          <w:rFonts w:ascii="Courier New" w:cs="Courier New" w:eastAsia="Courier New" w:hAnsi="Courier New"/>
          <w:sz w:val="11"/>
          <w:szCs w:val="11"/>
          <w:color w:val="auto"/>
        </w:rPr>
        <w:t>We consent to the incorporation by reference in Registration Statements Nos. 333-85090, 333-108896, 333-110486 333-131315, 333-140174, 333-141640 and 333-148747 on Form F-3, and Nos. 33-80947, 333-06482, 333-11720, 333-83204,</w:t>
      </w:r>
    </w:p>
    <w:p>
      <w:pPr>
        <w:ind w:right="4619"/>
        <w:spacing w:after="0" w:line="237" w:lineRule="auto"/>
        <w:rPr>
          <w:sz w:val="20"/>
          <w:szCs w:val="20"/>
          <w:color w:val="auto"/>
        </w:rPr>
      </w:pPr>
      <w:r>
        <w:rPr>
          <w:rFonts w:ascii="Courier New" w:cs="Courier New" w:eastAsia="Courier New" w:hAnsi="Courier New"/>
          <w:sz w:val="12"/>
          <w:szCs w:val="12"/>
          <w:color w:val="auto"/>
        </w:rPr>
        <w:t>333-107943, 333-117565 and 333-138837 on Form S-8, of our reports dated February 6, 2008, relating to the consolidated financial statements of Tower Semiconductor Ltd. (the "Company") and the effectiveness of the Company's internal control over financial reporting, appearing in this Report on Form 20-F of Tower Semiconductor Ltd.</w:t>
      </w: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Brightman Almagor &amp; Co.</w:t>
      </w:r>
    </w:p>
    <w:p>
      <w:pPr>
        <w:spacing w:after="0"/>
        <w:rPr>
          <w:sz w:val="20"/>
          <w:szCs w:val="20"/>
          <w:color w:val="auto"/>
        </w:rPr>
      </w:pPr>
      <w:r>
        <w:rPr>
          <w:rFonts w:ascii="Courier New" w:cs="Courier New" w:eastAsia="Courier New" w:hAnsi="Courier New"/>
          <w:sz w:val="12"/>
          <w:szCs w:val="12"/>
          <w:color w:val="auto"/>
        </w:rPr>
        <w:t>A member of Deloitte Touche Tohmatsu</w:t>
      </w:r>
    </w:p>
    <w:p>
      <w:pPr>
        <w:spacing w:after="0" w:line="13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Tel Aviv, Israel</w:t>
      </w:r>
    </w:p>
    <w:p>
      <w:pPr>
        <w:spacing w:after="0"/>
        <w:rPr>
          <w:sz w:val="20"/>
          <w:szCs w:val="20"/>
          <w:color w:val="auto"/>
        </w:rPr>
      </w:pPr>
      <w:r>
        <w:rPr>
          <w:rFonts w:ascii="Courier New" w:cs="Courier New" w:eastAsia="Courier New" w:hAnsi="Courier New"/>
          <w:sz w:val="12"/>
          <w:szCs w:val="12"/>
          <w:color w:val="auto"/>
        </w:rPr>
        <w:t>June 17, 2008</w:t>
      </w:r>
    </w:p>
    <w:sectPr>
      <w:pgSz w:w="11900" w:h="16838" w:orient="portrait"/>
      <w:cols w:equalWidth="0" w:num="1">
        <w:col w:w="10239"/>
      </w:cols>
      <w:pgMar w:left="220" w:top="4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94211F2"/>
    <w:multiLevelType w:val="hybridMultilevel"/>
    <w:lvl w:ilvl="0">
      <w:lvlJc w:val="left"/>
      <w:lvlText w:val="o"/>
      <w:numFmt w:val="bullet"/>
      <w:start w:val="1"/>
    </w:lvl>
    <w:lvl w:ilvl="1">
      <w:lvlJc w:val="left"/>
      <w:lvlText w:val="-"/>
      <w:numFmt w:val="bullet"/>
      <w:start w:val="1"/>
    </w:lvl>
  </w:abstractNum>
  <w:abstractNum w:abstractNumId="1">
    <w:nsid w:val="885E1B"/>
    <w:multiLevelType w:val="hybridMultilevel"/>
    <w:lvl w:ilvl="0">
      <w:lvlJc w:val="left"/>
      <w:lvlText w:val="o"/>
      <w:numFmt w:val="bullet"/>
      <w:start w:val="1"/>
    </w:lvl>
  </w:abstractNum>
  <w:abstractNum w:abstractNumId="2">
    <w:nsid w:val="76272110"/>
    <w:multiLevelType w:val="hybridMultilevel"/>
    <w:lvl w:ilvl="0">
      <w:lvlJc w:val="left"/>
      <w:lvlText w:val="o"/>
      <w:numFmt w:val="bullet"/>
      <w:start w:val="1"/>
    </w:lvl>
  </w:abstractNum>
  <w:abstractNum w:abstractNumId="3">
    <w:nsid w:val="4C04A8AF"/>
    <w:multiLevelType w:val="hybridMultilevel"/>
    <w:lvl w:ilvl="0">
      <w:lvlJc w:val="left"/>
      <w:lvlText w:val="o"/>
      <w:numFmt w:val="bullet"/>
      <w:start w:val="1"/>
    </w:lvl>
    <w:lvl w:ilvl="1">
      <w:lvlJc w:val="left"/>
      <w:lvlText w:val="-"/>
      <w:numFmt w:val="bullet"/>
      <w:start w:val="1"/>
    </w:lvl>
  </w:abstractNum>
  <w:abstractNum w:abstractNumId="4">
    <w:nsid w:val="1716703B"/>
    <w:multiLevelType w:val="hybridMultilevel"/>
    <w:lvl w:ilvl="0">
      <w:lvlJc w:val="left"/>
      <w:lvlText w:val="o"/>
      <w:numFmt w:val="bullet"/>
      <w:start w:val="1"/>
    </w:lvl>
  </w:abstractNum>
  <w:abstractNum w:abstractNumId="5">
    <w:nsid w:val="14E17E33"/>
    <w:multiLevelType w:val="hybridMultilevel"/>
    <w:lvl w:ilvl="0">
      <w:lvlJc w:val="left"/>
      <w:lvlText w:val="o"/>
      <w:numFmt w:val="bullet"/>
      <w:start w:val="1"/>
    </w:lvl>
  </w:abstractNum>
  <w:abstractNum w:abstractNumId="6">
    <w:nsid w:val="3222E7CD"/>
    <w:multiLevelType w:val="hybridMultilevel"/>
    <w:lvl w:ilvl="0">
      <w:lvlJc w:val="left"/>
      <w:lvlText w:val="o"/>
      <w:numFmt w:val="bullet"/>
      <w:start w:val="1"/>
    </w:lvl>
    <w:lvl w:ilvl="1">
      <w:lvlJc w:val="left"/>
      <w:lvlText w:val="-"/>
      <w:numFmt w:val="bullet"/>
      <w:start w:val="1"/>
    </w:lvl>
  </w:abstractNum>
  <w:abstractNum w:abstractNumId="7">
    <w:nsid w:val="74DE0EE3"/>
    <w:multiLevelType w:val="hybridMultilevel"/>
    <w:lvl w:ilvl="0">
      <w:lvlJc w:val="left"/>
      <w:lvlText w:val="o"/>
      <w:numFmt w:val="bullet"/>
      <w:start w:val="1"/>
    </w:lvl>
  </w:abstractNum>
  <w:abstractNum w:abstractNumId="8">
    <w:nsid w:val="68EBC550"/>
    <w:multiLevelType w:val="hybridMultilevel"/>
    <w:lvl w:ilvl="0">
      <w:lvlJc w:val="left"/>
      <w:lvlText w:val="o"/>
      <w:numFmt w:val="bullet"/>
      <w:start w:val="1"/>
    </w:lvl>
  </w:abstractNum>
  <w:abstractNum w:abstractNumId="9">
    <w:nsid w:val="2DF6D648"/>
    <w:multiLevelType w:val="hybridMultilevel"/>
    <w:lvl w:ilvl="0">
      <w:lvlJc w:val="left"/>
      <w:lvlText w:val="(%1)"/>
      <w:numFmt w:val="lowerRoman"/>
      <w:start w:val="6"/>
    </w:lvl>
  </w:abstractNum>
  <w:abstractNum w:abstractNumId="10">
    <w:nsid w:val="46B7D447"/>
    <w:multiLevelType w:val="hybridMultilevel"/>
    <w:lvl w:ilvl="0">
      <w:lvlJc w:val="left"/>
      <w:lvlText w:val="o"/>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o"/>
      <w:numFmt w:val="bullet"/>
      <w:start w:val="1"/>
    </w:lvl>
  </w:abstractNum>
  <w:abstractNum w:abstractNumId="13">
    <w:nsid w:val="57FC4FBB"/>
    <w:multiLevelType w:val="hybridMultilevel"/>
    <w:lvl w:ilvl="0">
      <w:lvlJc w:val="left"/>
      <w:lvlText w:val="-"/>
      <w:numFmt w:val="bullet"/>
      <w:start w:val="1"/>
    </w:lvl>
    <w:lvl w:ilvl="1">
      <w:lvlJc w:val="left"/>
      <w:lvlText w:val="%2"/>
      <w:numFmt w:val="upperLetter"/>
      <w:start w:val="1"/>
    </w:lvl>
  </w:abstractNum>
  <w:abstractNum w:abstractNumId="14">
    <w:nsid w:val="CC1016F"/>
    <w:multiLevelType w:val="hybridMultilevel"/>
    <w:lvl w:ilvl="0">
      <w:lvlJc w:val="left"/>
      <w:lvlText w:val="o"/>
      <w:numFmt w:val="bullet"/>
      <w:start w:val="1"/>
    </w:lvl>
  </w:abstractNum>
  <w:abstractNum w:abstractNumId="15">
    <w:nsid w:val="43F18422"/>
    <w:multiLevelType w:val="hybridMultilevel"/>
    <w:lvl w:ilvl="0">
      <w:lvlJc w:val="left"/>
      <w:lvlText w:val="(%1)"/>
      <w:numFmt w:val="lowerRoman"/>
      <w:start w:val="5"/>
    </w:lvl>
    <w:lvl w:ilvl="1">
      <w:lvlJc w:val="left"/>
      <w:lvlText w:val="-"/>
      <w:numFmt w:val="bullet"/>
      <w:start w:val="1"/>
    </w:lvl>
  </w:abstractNum>
  <w:abstractNum w:abstractNumId="16">
    <w:nsid w:val="60EF0119"/>
    <w:multiLevelType w:val="hybridMultilevel"/>
    <w:lvl w:ilvl="0">
      <w:lvlJc w:val="left"/>
      <w:lvlText w:val="(%1)"/>
      <w:numFmt w:val="lowerRoman"/>
      <w:start w:val="3"/>
    </w:lvl>
  </w:abstractNum>
  <w:abstractNum w:abstractNumId="17">
    <w:nsid w:val="26F324BA"/>
    <w:multiLevelType w:val="hybridMultilevel"/>
    <w:lvl w:ilvl="0">
      <w:lvlJc w:val="left"/>
      <w:lvlText w:val="(%1)"/>
      <w:numFmt w:val="lowerRoman"/>
      <w:start w:val="2"/>
    </w:lvl>
    <w:lvl w:ilvl="1">
      <w:lvlJc w:val="left"/>
      <w:lvlText w:val="-"/>
      <w:numFmt w:val="bullet"/>
      <w:start w:val="1"/>
    </w:lvl>
  </w:abstractNum>
  <w:abstractNum w:abstractNumId="18">
    <w:nsid w:val="7F01579B"/>
    <w:multiLevelType w:val="hybridMultilevel"/>
    <w:lvl w:ilvl="0">
      <w:lvlJc w:val="left"/>
      <w:lvlText w:val="(%1)"/>
      <w:numFmt w:val="lowerRoman"/>
      <w:start w:val="2"/>
    </w:lvl>
    <w:lvl w:ilvl="1">
      <w:lvlJc w:val="left"/>
      <w:lvlText w:val="-"/>
      <w:numFmt w:val="bullet"/>
      <w:start w:val="1"/>
    </w:lvl>
  </w:abstractNum>
  <w:abstractNum w:abstractNumId="19">
    <w:nsid w:val="49DA307D"/>
    <w:multiLevelType w:val="hybridMultilevel"/>
    <w:lvl w:ilvl="0">
      <w:lvlJc w:val="left"/>
      <w:lvlText w:val="(%1)"/>
      <w:numFmt w:val="decimal"/>
      <w:start w:val="1"/>
    </w:lvl>
  </w:abstractNum>
  <w:abstractNum w:abstractNumId="20">
    <w:nsid w:val="7055A5F5"/>
    <w:multiLevelType w:val="hybridMultilevel"/>
    <w:lvl w:ilvl="0">
      <w:lvlJc w:val="left"/>
      <w:lvlText w:val="o"/>
      <w:numFmt w:val="bullet"/>
      <w:start w:val="1"/>
    </w:lvl>
    <w:lvl w:ilvl="1">
      <w:lvlJc w:val="left"/>
      <w:lvlText w:val="-"/>
      <w:numFmt w:val="bullet"/>
      <w:start w:val="1"/>
    </w:lvl>
  </w:abstractNum>
  <w:abstractNum w:abstractNumId="21">
    <w:nsid w:val="5FB8370B"/>
    <w:multiLevelType w:val="hybridMultilevel"/>
    <w:lvl w:ilvl="0">
      <w:lvlJc w:val="left"/>
      <w:lvlText w:val="o"/>
      <w:numFmt w:val="bullet"/>
      <w:start w:val="1"/>
    </w:lvl>
    <w:lvl w:ilvl="1">
      <w:lvlJc w:val="left"/>
      <w:lvlText w:val="-"/>
      <w:numFmt w:val="bullet"/>
      <w:start w:val="1"/>
    </w:lvl>
  </w:abstractNum>
  <w:abstractNum w:abstractNumId="22">
    <w:nsid w:val="50801EE1"/>
    <w:multiLevelType w:val="hybridMultilevel"/>
    <w:lvl w:ilvl="0">
      <w:lvlJc w:val="left"/>
      <w:lvlText w:val="o"/>
      <w:numFmt w:val="bullet"/>
      <w:start w:val="1"/>
    </w:lvl>
  </w:abstractNum>
  <w:abstractNum w:abstractNumId="23">
    <w:nsid w:val="488AC1A"/>
    <w:multiLevelType w:val="hybridMultilevel"/>
    <w:lvl w:ilvl="0">
      <w:lvlJc w:val="left"/>
      <w:lvlText w:val="(%1)"/>
      <w:numFmt w:val="decimal"/>
      <w:start w:val="1"/>
    </w:lvl>
    <w:lvl w:ilvl="1">
      <w:lvlJc w:val="left"/>
      <w:lvlText w:val="-"/>
      <w:numFmt w:val="bullet"/>
      <w:start w:val="1"/>
    </w:lvl>
  </w:abstractNum>
  <w:abstractNum w:abstractNumId="24">
    <w:nsid w:val="5FB8011C"/>
    <w:multiLevelType w:val="hybridMultilevel"/>
    <w:lvl w:ilvl="0">
      <w:lvlJc w:val="left"/>
      <w:lvlText w:val="o"/>
      <w:numFmt w:val="bullet"/>
      <w:start w:val="1"/>
    </w:lvl>
  </w:abstractNum>
  <w:abstractNum w:abstractNumId="25">
    <w:nsid w:val="6AA78F7F"/>
    <w:multiLevelType w:val="hybridMultilevel"/>
    <w:lvl w:ilvl="0">
      <w:lvlJc w:val="left"/>
      <w:lvlText w:val="o"/>
      <w:numFmt w:val="bullet"/>
      <w:start w:val="1"/>
    </w:lvl>
    <w:lvl w:ilvl="1">
      <w:lvlJc w:val="left"/>
      <w:lvlText w:val="-"/>
      <w:numFmt w:val="bullet"/>
      <w:start w:val="1"/>
    </w:lvl>
  </w:abstractNum>
  <w:abstractNum w:abstractNumId="26">
    <w:nsid w:val="7672BD23"/>
    <w:multiLevelType w:val="hybridMultilevel"/>
    <w:lvl w:ilvl="0">
      <w:lvlJc w:val="left"/>
      <w:lvlText w:val="o"/>
      <w:numFmt w:val="bullet"/>
      <w:start w:val="1"/>
    </w:lvl>
  </w:abstractNum>
  <w:abstractNum w:abstractNumId="27">
    <w:nsid w:val="6FC75AF8"/>
    <w:multiLevelType w:val="hybridMultilevel"/>
    <w:lvl w:ilvl="0">
      <w:lvlJc w:val="left"/>
      <w:lvlText w:val="o"/>
      <w:numFmt w:val="bullet"/>
      <w:start w:val="1"/>
    </w:lvl>
  </w:abstractNum>
  <w:abstractNum w:abstractNumId="28">
    <w:nsid w:val="6A5F7029"/>
    <w:multiLevelType w:val="hybridMultilevel"/>
    <w:lvl w:ilvl="0">
      <w:lvlJc w:val="left"/>
      <w:lvlText w:val="o"/>
      <w:numFmt w:val="bullet"/>
      <w:start w:val="1"/>
    </w:lvl>
  </w:abstractNum>
  <w:abstractNum w:abstractNumId="29">
    <w:nsid w:val="7D5E18F8"/>
    <w:multiLevelType w:val="hybridMultilevel"/>
    <w:lvl w:ilvl="0">
      <w:lvlJc w:val="left"/>
      <w:lvlText w:val="o"/>
      <w:numFmt w:val="bullet"/>
      <w:start w:val="1"/>
    </w:lvl>
    <w:lvl w:ilvl="1">
      <w:lvlJc w:val="left"/>
      <w:lvlText w:val="-"/>
      <w:numFmt w:val="bullet"/>
      <w:start w:val="1"/>
    </w:lvl>
  </w:abstractNum>
  <w:abstractNum w:abstractNumId="30">
    <w:nsid w:val="5F3534A4"/>
    <w:multiLevelType w:val="hybridMultilevel"/>
    <w:lvl w:ilvl="0">
      <w:lvlJc w:val="left"/>
      <w:lvlText w:val="(%1)"/>
      <w:numFmt w:val="decimal"/>
      <w:start w:val="1"/>
    </w:lvl>
  </w:abstractNum>
  <w:abstractNum w:abstractNumId="31">
    <w:nsid w:val="73A1821B"/>
    <w:multiLevelType w:val="hybridMultilevel"/>
    <w:lvl w:ilvl="0">
      <w:lvlJc w:val="left"/>
      <w:lvlText w:val="%1."/>
      <w:numFmt w:val="upperLetter"/>
      <w:start w:val="1"/>
    </w:lvl>
  </w:abstractNum>
  <w:abstractNum w:abstractNumId="32">
    <w:nsid w:val="7DE67713"/>
    <w:multiLevelType w:val="hybridMultilevel"/>
    <w:lvl w:ilvl="0">
      <w:lvlJc w:val="left"/>
      <w:lvlText w:val="%1."/>
      <w:numFmt w:val="upperLetter"/>
      <w:start w:val="6"/>
    </w:lvl>
    <w:lvl w:ilvl="1">
      <w:lvlJc w:val="left"/>
      <w:lvlText w:val="(%2)"/>
      <w:numFmt w:val="decimal"/>
      <w:start w:val="1"/>
    </w:lvl>
  </w:abstractNum>
  <w:abstractNum w:abstractNumId="33">
    <w:nsid w:val="555C55B5"/>
    <w:multiLevelType w:val="hybridMultilevel"/>
    <w:lvl w:ilvl="0">
      <w:lvlJc w:val="left"/>
      <w:lvlText w:val="(%1)"/>
      <w:numFmt w:val="decimal"/>
      <w:start w:val="1"/>
    </w:lvl>
    <w:lvl w:ilvl="1">
      <w:lvlJc w:val="left"/>
      <w:lvlText w:val="(*)"/>
      <w:numFmt w:val="bullet"/>
      <w:start w:val="1"/>
    </w:lvl>
  </w:abstractNum>
  <w:abstractNum w:abstractNumId="34">
    <w:nsid w:val="3FA62ACA"/>
    <w:multiLevelType w:val="hybridMultilevel"/>
    <w:lvl w:ilvl="0">
      <w:lvlJc w:val="left"/>
      <w:lvlText w:val="%1."/>
      <w:numFmt w:val="upperLetter"/>
      <w:start w:val="7"/>
    </w:lvl>
  </w:abstractNum>
  <w:abstractNum w:abstractNumId="35">
    <w:nsid w:val="14FCE74E"/>
    <w:multiLevelType w:val="hybridMultilevel"/>
    <w:lvl w:ilvl="0">
      <w:lvlJc w:val="left"/>
      <w:lvlText w:val="%1."/>
      <w:numFmt w:val="upperLetter"/>
      <w:start w:val="10"/>
    </w:lvl>
  </w:abstractNum>
  <w:abstractNum w:abstractNumId="36">
    <w:nsid w:val="6A3DD3E8"/>
    <w:multiLevelType w:val="hybridMultilevel"/>
    <w:lvl w:ilvl="0">
      <w:lvlJc w:val="left"/>
      <w:lvlText w:val="%1."/>
      <w:numFmt w:val="upperLetter"/>
      <w:start w:val="12"/>
    </w:lvl>
  </w:abstractNum>
  <w:abstractNum w:abstractNumId="37">
    <w:nsid w:val="71C91298"/>
    <w:multiLevelType w:val="hybridMultilevel"/>
    <w:lvl w:ilvl="0">
      <w:lvlJc w:val="left"/>
      <w:lvlText w:val="%1."/>
      <w:numFmt w:val="upperLetter"/>
      <w:start w:val="13"/>
    </w:lvl>
    <w:lvl w:ilvl="1">
      <w:lvlJc w:val="left"/>
      <w:lvlText w:val="(%2)"/>
      <w:numFmt w:val="lowerLetter"/>
      <w:start w:val="1"/>
    </w:lvl>
  </w:abstractNum>
  <w:abstractNum w:abstractNumId="38">
    <w:nsid w:val="9DAF632"/>
    <w:multiLevelType w:val="hybridMultilevel"/>
    <w:lvl w:ilvl="0">
      <w:lvlJc w:val="left"/>
      <w:lvlText w:val="%1."/>
      <w:numFmt w:val="upperLetter"/>
      <w:start w:val="16"/>
    </w:lvl>
  </w:abstractNum>
  <w:abstractNum w:abstractNumId="39">
    <w:nsid w:val="53299938"/>
    <w:multiLevelType w:val="hybridMultilevel"/>
    <w:lvl w:ilvl="0">
      <w:lvlJc w:val="left"/>
      <w:lvlText w:val="%1."/>
      <w:numFmt w:val="upperLetter"/>
      <w:start w:val="17"/>
    </w:lvl>
  </w:abstractNum>
  <w:abstractNum w:abstractNumId="40">
    <w:nsid w:val="1FBFE8E0"/>
    <w:multiLevelType w:val="hybridMultilevel"/>
    <w:lvl w:ilvl="0">
      <w:lvlJc w:val="left"/>
      <w:lvlText w:val="%1."/>
      <w:numFmt w:val="upperLetter"/>
      <w:start w:val="20"/>
    </w:lvl>
  </w:abstractNum>
  <w:abstractNum w:abstractNumId="41">
    <w:nsid w:val="5092CA79"/>
    <w:multiLevelType w:val="hybridMultilevel"/>
    <w:lvl w:ilvl="0">
      <w:lvlJc w:val="left"/>
      <w:lvlText w:val="(*)"/>
      <w:numFmt w:val="bullet"/>
      <w:start w:val="1"/>
    </w:lvl>
  </w:abstractNum>
  <w:abstractNum w:abstractNumId="42">
    <w:nsid w:val="1D545C4D"/>
    <w:multiLevelType w:val="hybridMultilevel"/>
    <w:lvl w:ilvl="0">
      <w:lvlJc w:val="left"/>
      <w:lvlText w:val="(%1)"/>
      <w:numFmt w:val="decimal"/>
      <w:start w:val="1"/>
    </w:lvl>
  </w:abstractNum>
  <w:abstractNum w:abstractNumId="43">
    <w:nsid w:val="59ADEA3D"/>
    <w:multiLevelType w:val="hybridMultilevel"/>
    <w:lvl w:ilvl="0">
      <w:lvlJc w:val="left"/>
      <w:lvlText w:val="%1."/>
      <w:numFmt w:val="upperLetter"/>
      <w:start w:val="2"/>
    </w:lvl>
  </w:abstractNum>
  <w:abstractNum w:abstractNumId="44">
    <w:nsid w:val="288F1A34"/>
    <w:multiLevelType w:val="hybridMultilevel"/>
    <w:lvl w:ilvl="0">
      <w:lvlJc w:val="left"/>
      <w:lvlText w:val="%1."/>
      <w:numFmt w:val="upperLetter"/>
      <w:start w:val="2"/>
    </w:lvl>
  </w:abstractNum>
  <w:abstractNum w:abstractNumId="45">
    <w:nsid w:val="2A155DBC"/>
    <w:multiLevelType w:val="hybridMultilevel"/>
    <w:lvl w:ilvl="0">
      <w:lvlJc w:val="left"/>
      <w:lvlText w:val="%1."/>
      <w:numFmt w:val="upperLetter"/>
      <w:start w:val="2"/>
    </w:lvl>
  </w:abstractNum>
  <w:abstractNum w:abstractNumId="46">
    <w:nsid w:val="1D9F6E5F"/>
    <w:multiLevelType w:val="hybridMultilevel"/>
    <w:lvl w:ilvl="0">
      <w:lvlJc w:val="left"/>
      <w:lvlText w:val="%1."/>
      <w:numFmt w:val="upperLetter"/>
      <w:start w:val="2"/>
    </w:lvl>
  </w:abstractNum>
  <w:abstractNum w:abstractNumId="47">
    <w:nsid w:val="97E1B4E"/>
    <w:multiLevelType w:val="hybridMultilevel"/>
    <w:lvl w:ilvl="0">
      <w:lvlJc w:val="left"/>
      <w:lvlText w:val="%1."/>
      <w:numFmt w:val="upperLetter"/>
      <w:start w:val="2"/>
    </w:lvl>
  </w:abstractNum>
  <w:abstractNum w:abstractNumId="48">
    <w:nsid w:val="51088277"/>
    <w:multiLevelType w:val="hybridMultilevel"/>
    <w:lvl w:ilvl="0">
      <w:lvlJc w:val="left"/>
      <w:lvlText w:val="%1."/>
      <w:numFmt w:val="upperLetter"/>
      <w:start w:val="4"/>
    </w:lvl>
  </w:abstractNum>
  <w:abstractNum w:abstractNumId="49">
    <w:nsid w:val="1CA0C5FA"/>
    <w:multiLevelType w:val="hybridMultilevel"/>
    <w:lvl w:ilvl="0">
      <w:lvlJc w:val="left"/>
      <w:lvlText w:val="%1."/>
      <w:numFmt w:val="upperLetter"/>
      <w:start w:val="1"/>
    </w:lvl>
  </w:abstractNum>
  <w:abstractNum w:abstractNumId="50">
    <w:nsid w:val="53584BCB"/>
    <w:multiLevelType w:val="hybridMultilevel"/>
    <w:lvl w:ilvl="0">
      <w:lvlJc w:val="left"/>
      <w:lvlText w:val="%1."/>
      <w:numFmt w:val="upperLetter"/>
      <w:start w:val="2"/>
    </w:lvl>
  </w:abstractNum>
  <w:abstractNum w:abstractNumId="51">
    <w:nsid w:val="415E286C"/>
    <w:multiLevelType w:val="hybridMultilevel"/>
    <w:lvl w:ilvl="0">
      <w:lvlJc w:val="left"/>
      <w:lvlText w:val="%1."/>
      <w:numFmt w:val="upperLetter"/>
      <w:start w:val="4"/>
    </w:lvl>
  </w:abstractNum>
  <w:abstractNum w:abstractNumId="52">
    <w:nsid w:val="7C58FD05"/>
    <w:multiLevelType w:val="hybridMultilevel"/>
    <w:lvl w:ilvl="0">
      <w:lvlJc w:val="left"/>
      <w:lvlText w:val="%1."/>
      <w:numFmt w:val="upperLetter"/>
      <w:start w:val="5"/>
    </w:lvl>
    <w:lvl w:ilvl="1">
      <w:lvlJc w:val="left"/>
      <w:lvlText w:val="(%2)"/>
      <w:numFmt w:val="lowerRoman"/>
      <w:start w:val="3"/>
    </w:lvl>
  </w:abstractNum>
  <w:abstractNum w:abstractNumId="53">
    <w:nsid w:val="23D86AAC"/>
    <w:multiLevelType w:val="hybridMultilevel"/>
    <w:lvl w:ilvl="0">
      <w:lvlJc w:val="left"/>
      <w:lvlText w:val="%1."/>
      <w:numFmt w:val="upperLetter"/>
      <w:start w:val="1"/>
    </w:lvl>
  </w:abstractNum>
  <w:abstractNum w:abstractNumId="54">
    <w:nsid w:val="45E6D486"/>
    <w:multiLevelType w:val="hybridMultilevel"/>
    <w:lvl w:ilvl="0">
      <w:lvlJc w:val="left"/>
      <w:lvlText w:val="%1."/>
      <w:numFmt w:val="upperLetter"/>
      <w:start w:val="2"/>
    </w:lvl>
  </w:abstractNum>
  <w:abstractNum w:abstractNumId="55">
    <w:nsid w:val="5C10FE21"/>
    <w:multiLevelType w:val="hybridMultilevel"/>
    <w:lvl w:ilvl="0">
      <w:lvlJc w:val="left"/>
      <w:lvlText w:val="%1."/>
      <w:numFmt w:val="upperLetter"/>
      <w:start w:val="4"/>
    </w:lvl>
  </w:abstractNum>
  <w:abstractNum w:abstractNumId="56">
    <w:nsid w:val="E7FFA2B"/>
    <w:multiLevelType w:val="hybridMultilevel"/>
    <w:lvl w:ilvl="0">
      <w:lvlJc w:val="left"/>
      <w:lvlText w:val="(*)"/>
      <w:numFmt w:val="bullet"/>
      <w:start w:val="1"/>
    </w:lvl>
  </w:abstractNum>
  <w:abstractNum w:abstractNumId="57">
    <w:nsid w:val="3C5991AA"/>
    <w:multiLevelType w:val="hybridMultilevel"/>
    <w:lvl w:ilvl="0">
      <w:lvlJc w:val="left"/>
      <w:lvlText w:val="%1."/>
      <w:numFmt w:val="upperLetter"/>
      <w:start w:val="2"/>
    </w:lvl>
  </w:abstractNum>
  <w:abstractNum w:abstractNumId="58">
    <w:nsid w:val="4BD8591A"/>
    <w:multiLevelType w:val="hybridMultilevel"/>
    <w:lvl w:ilvl="0">
      <w:lvlJc w:val="left"/>
      <w:lvlText w:val="%1."/>
      <w:numFmt w:val="upperLetter"/>
      <w:start w:val="1"/>
    </w:lvl>
    <w:lvl w:ilvl="1">
      <w:lvlJc w:val="left"/>
      <w:lvlText w:val="(%2)"/>
      <w:numFmt w:val="decimal"/>
      <w:start w:val="1"/>
    </w:lvl>
  </w:abstractNum>
  <w:abstractNum w:abstractNumId="59">
    <w:nsid w:val="78DF6A55"/>
    <w:multiLevelType w:val="hybridMultilevel"/>
    <w:lvl w:ilvl="0">
      <w:lvlJc w:val="left"/>
      <w:lvlText w:val="%1."/>
      <w:numFmt w:val="upperLetter"/>
      <w:start w:val="1"/>
    </w:lvl>
    <w:lvl w:ilvl="1">
      <w:lvlJc w:val="left"/>
      <w:lvlText w:val="(%2)"/>
      <w:numFmt w:val="decimal"/>
      <w:start w:val="1"/>
    </w:lvl>
  </w:abstractNum>
  <w:abstractNum w:abstractNumId="60">
    <w:nsid w:val="39B7AAA2"/>
    <w:multiLevelType w:val="hybridMultilevel"/>
    <w:lvl w:ilvl="0">
      <w:lvlJc w:val="left"/>
      <w:lvlText w:val="%1."/>
      <w:numFmt w:val="upperLetter"/>
      <w:start w:val="1"/>
    </w:lvl>
    <w:lvl w:ilvl="1">
      <w:lvlJc w:val="left"/>
      <w:lvlText w:val="(%2)"/>
      <w:numFmt w:val="decimal"/>
      <w:start w:val="3"/>
    </w:lvl>
  </w:abstractNum>
  <w:abstractNum w:abstractNumId="61">
    <w:nsid w:val="2B0D8DBE"/>
    <w:multiLevelType w:val="hybridMultilevel"/>
    <w:lvl w:ilvl="0">
      <w:lvlJc w:val="left"/>
      <w:lvlText w:val="%1."/>
      <w:numFmt w:val="upperLetter"/>
      <w:start w:val="1"/>
    </w:lvl>
    <w:lvl w:ilvl="1">
      <w:lvlJc w:val="left"/>
      <w:lvlText w:val="(%2)"/>
      <w:numFmt w:val="decimal"/>
      <w:start w:val="4"/>
    </w:lvl>
  </w:abstractNum>
  <w:abstractNum w:abstractNumId="62">
    <w:nsid w:val="6C80EC70"/>
    <w:multiLevelType w:val="hybridMultilevel"/>
    <w:lvl w:ilvl="0">
      <w:lvlJc w:val="left"/>
      <w:lvlText w:val="%1."/>
      <w:numFmt w:val="upperLetter"/>
      <w:start w:val="1"/>
    </w:lvl>
    <w:lvl w:ilvl="1">
      <w:lvlJc w:val="left"/>
      <w:lvlText w:val="(%2)"/>
      <w:numFmt w:val="decimal"/>
      <w:start w:val="4"/>
    </w:lvl>
  </w:abstractNum>
  <w:abstractNum w:abstractNumId="63">
    <w:nsid w:val="379E21B5"/>
    <w:multiLevelType w:val="hybridMultilevel"/>
    <w:lvl w:ilvl="0">
      <w:lvlJc w:val="left"/>
      <w:lvlText w:val="%1."/>
      <w:numFmt w:val="upperLetter"/>
      <w:start w:val="1"/>
    </w:lvl>
    <w:lvl w:ilvl="1">
      <w:lvlJc w:val="left"/>
      <w:lvlText w:val="(%2)"/>
      <w:numFmt w:val="decimal"/>
      <w:start w:val="6"/>
    </w:lvl>
  </w:abstractNum>
  <w:abstractNum w:abstractNumId="64">
    <w:nsid w:val="69E373"/>
    <w:multiLevelType w:val="hybridMultilevel"/>
    <w:lvl w:ilvl="0">
      <w:lvlJc w:val="left"/>
      <w:lvlText w:val="%1."/>
      <w:numFmt w:val="upperLetter"/>
      <w:start w:val="1"/>
    </w:lvl>
    <w:lvl w:ilvl="1">
      <w:lvlJc w:val="left"/>
      <w:lvlText w:val="(%2)"/>
      <w:numFmt w:val="decimal"/>
      <w:start w:val="7"/>
    </w:lvl>
  </w:abstractNum>
  <w:abstractNum w:abstractNumId="65">
    <w:nsid w:val="2C27173B"/>
    <w:multiLevelType w:val="hybridMultilevel"/>
    <w:lvl w:ilvl="0">
      <w:lvlJc w:val="left"/>
      <w:lvlText w:val="(%1)"/>
      <w:numFmt w:val="decimal"/>
      <w:start w:val="8"/>
    </w:lvl>
  </w:abstractNum>
  <w:abstractNum w:abstractNumId="66">
    <w:nsid w:val="4C9B0904"/>
    <w:multiLevelType w:val="hybridMultilevel"/>
    <w:lvl w:ilvl="0">
      <w:lvlJc w:val="left"/>
      <w:lvlText w:val="%1."/>
      <w:numFmt w:val="upperLetter"/>
      <w:start w:val="1"/>
    </w:lvl>
    <w:lvl w:ilvl="1">
      <w:lvlJc w:val="left"/>
      <w:lvlText w:val="(%2)"/>
      <w:numFmt w:val="decimal"/>
      <w:start w:val="9"/>
    </w:lvl>
  </w:abstractNum>
  <w:abstractNum w:abstractNumId="67">
    <w:nsid w:val="6AA7B75C"/>
    <w:multiLevelType w:val="hybridMultilevel"/>
    <w:lvl w:ilvl="0">
      <w:lvlJc w:val="left"/>
      <w:lvlText w:val="%1"/>
      <w:numFmt w:val="upperLetter"/>
      <w:start w:val="1"/>
    </w:lvl>
    <w:lvl w:ilvl="1">
      <w:lvlJc w:val="left"/>
      <w:lvlText w:val="(%2)"/>
      <w:numFmt w:val="decimal"/>
      <w:start w:val="1"/>
    </w:lvl>
  </w:abstractNum>
  <w:abstractNum w:abstractNumId="68">
    <w:nsid w:val="1DF029D3"/>
    <w:multiLevelType w:val="hybridMultilevel"/>
    <w:lvl w:ilvl="0">
      <w:lvlJc w:val="left"/>
      <w:lvlText w:val="%1."/>
      <w:numFmt w:val="upperLetter"/>
      <w:start w:val="2"/>
    </w:lvl>
    <w:lvl w:ilvl="1">
      <w:lvlJc w:val="left"/>
      <w:lvlText w:val="(%2)"/>
      <w:numFmt w:val="decimal"/>
      <w:start w:val="3"/>
    </w:lvl>
  </w:abstractNum>
  <w:abstractNum w:abstractNumId="69">
    <w:nsid w:val="5675FF36"/>
    <w:multiLevelType w:val="hybridMultilevel"/>
    <w:lvl w:ilvl="0">
      <w:lvlJc w:val="left"/>
      <w:lvlText w:val="%1"/>
      <w:numFmt w:val="upperLetter"/>
      <w:start w:val="1"/>
    </w:lvl>
    <w:lvl w:ilvl="1">
      <w:lvlJc w:val="left"/>
      <w:lvlText w:val="(%2)"/>
      <w:numFmt w:val="decimal"/>
      <w:start w:val="4"/>
    </w:lvl>
  </w:abstractNum>
  <w:abstractNum w:abstractNumId="70">
    <w:nsid w:val="3DD15094"/>
    <w:multiLevelType w:val="hybridMultilevel"/>
    <w:lvl w:ilvl="0">
      <w:lvlJc w:val="left"/>
      <w:lvlText w:val="%1."/>
      <w:numFmt w:val="upperLetter"/>
      <w:start w:val="3"/>
    </w:lvl>
    <w:lvl w:ilvl="1">
      <w:lvlJc w:val="left"/>
      <w:lvlText w:val="(%2)"/>
      <w:numFmt w:val="decimal"/>
      <w:start w:val="1"/>
    </w:lvl>
  </w:abstractNum>
  <w:abstractNum w:abstractNumId="71">
    <w:nsid w:val="3DB012B3"/>
    <w:multiLevelType w:val="hybridMultilevel"/>
    <w:lvl w:ilvl="0">
      <w:lvlJc w:val="left"/>
      <w:lvlText w:val="%1."/>
      <w:numFmt w:val="upperLetter"/>
      <w:start w:val="4"/>
    </w:lvl>
    <w:lvl w:ilvl="1">
      <w:lvlJc w:val="left"/>
      <w:lvlText w:val="(%2)"/>
      <w:numFmt w:val="decimal"/>
      <w:start w:val="1"/>
    </w:lvl>
  </w:abstractNum>
  <w:abstractNum w:abstractNumId="72">
    <w:nsid w:val="2708C9AF"/>
    <w:multiLevelType w:val="hybridMultilevel"/>
    <w:lvl w:ilvl="0">
      <w:lvlJc w:val="left"/>
      <w:lvlText w:val="%1."/>
      <w:numFmt w:val="upperLetter"/>
      <w:start w:val="6"/>
    </w:lvl>
  </w:abstractNum>
  <w:abstractNum w:abstractNumId="73">
    <w:nsid w:val="5B25ACE2"/>
    <w:multiLevelType w:val="hybridMultilevel"/>
    <w:lvl w:ilvl="0">
      <w:lvlJc w:val="left"/>
      <w:lvlText w:val="%1."/>
      <w:numFmt w:val="upperLetter"/>
      <w:start w:val="8"/>
    </w:lvl>
  </w:abstractNum>
  <w:abstractNum w:abstractNumId="74">
    <w:nsid w:val="175DFCF0"/>
    <w:multiLevelType w:val="hybridMultilevel"/>
    <w:lvl w:ilvl="0">
      <w:lvlJc w:val="left"/>
      <w:lvlText w:val="%1."/>
      <w:numFmt w:val="upperLetter"/>
      <w:start w:val="1"/>
    </w:lvl>
    <w:lvl w:ilvl="1">
      <w:lvlJc w:val="left"/>
      <w:lvlText w:val="(%2)"/>
      <w:numFmt w:val="lowerRoman"/>
      <w:start w:val="2"/>
    </w:lvl>
  </w:abstractNum>
  <w:abstractNum w:abstractNumId="75">
    <w:nsid w:val="4F97E3E4"/>
    <w:multiLevelType w:val="hybridMultilevel"/>
    <w:lvl w:ilvl="0">
      <w:lvlJc w:val="left"/>
      <w:lvlText w:val="(%1)"/>
      <w:numFmt w:val="decimal"/>
      <w:start w:val="1"/>
    </w:lvl>
    <w:lvl w:ilvl="1">
      <w:lvlJc w:val="left"/>
      <w:lvlText w:val="(%2)"/>
      <w:numFmt w:val="upperLetter"/>
      <w:start w:val="1"/>
    </w:lvl>
  </w:abstractNum>
  <w:abstractNum w:abstractNumId="76">
    <w:nsid w:val="53B0A9E"/>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2"/>
    </w:lvl>
  </w:abstractNum>
  <w:abstractNum w:abstractNumId="77">
    <w:nsid w:val="34FD6B4F"/>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3"/>
    </w:lvl>
  </w:abstractNum>
  <w:abstractNum w:abstractNumId="78">
    <w:nsid w:val="5915FF32"/>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4"/>
    </w:lvl>
  </w:abstractNum>
  <w:abstractNum w:abstractNumId="79">
    <w:nsid w:val="56438D15"/>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6"/>
    </w:lvl>
  </w:abstractNum>
  <w:abstractNum w:abstractNumId="80">
    <w:nsid w:val="519E3149"/>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6"/>
    </w:lvl>
  </w:abstractNum>
  <w:abstractNum w:abstractNumId="81">
    <w:nsid w:val="2C6E4AFD"/>
    <w:multiLevelType w:val="hybridMultilevel"/>
    <w:lvl w:ilvl="0">
      <w:lvlJc w:val="left"/>
      <w:lvlText w:val="%1."/>
      <w:numFmt w:val="upperLetter"/>
      <w:start w:val="2"/>
    </w:lvl>
    <w:lvl w:ilvl="1">
      <w:lvlJc w:val="left"/>
      <w:lvlText w:val="(%2)"/>
      <w:numFmt w:val="decimal"/>
      <w:start w:val="3"/>
    </w:lvl>
  </w:abstractNum>
  <w:abstractNum w:abstractNumId="82">
    <w:nsid w:val="17A1B582"/>
    <w:multiLevelType w:val="hybridMultilevel"/>
    <w:lvl w:ilvl="0">
      <w:lvlJc w:val="left"/>
      <w:lvlText w:val="(%1)"/>
      <w:numFmt w:val="decimal"/>
      <w:start w:val="4"/>
    </w:lvl>
  </w:abstractNum>
  <w:abstractNum w:abstractNumId="83">
    <w:nsid w:val="4DF72E4E"/>
    <w:multiLevelType w:val="hybridMultilevel"/>
    <w:lvl w:ilvl="0">
      <w:lvlJc w:val="left"/>
      <w:lvlText w:val="%1."/>
      <w:numFmt w:val="upperLetter"/>
      <w:start w:val="2"/>
    </w:lvl>
    <w:lvl w:ilvl="1">
      <w:lvlJc w:val="left"/>
      <w:lvlText w:val="(%2)"/>
      <w:numFmt w:val="decimal"/>
      <w:start w:val="5"/>
    </w:lvl>
    <w:lvl w:ilvl="2">
      <w:lvlJc w:val="left"/>
      <w:lvlText w:val="(%3)"/>
      <w:numFmt w:val="upperLetter"/>
      <w:start w:val="1"/>
    </w:lvl>
  </w:abstractNum>
  <w:abstractNum w:abstractNumId="84">
    <w:nsid w:val="5046B5A9"/>
    <w:multiLevelType w:val="hybridMultilevel"/>
    <w:lvl w:ilvl="0">
      <w:lvlJc w:val="left"/>
      <w:lvlText w:val="%1."/>
      <w:numFmt w:val="upperLetter"/>
      <w:start w:val="2"/>
    </w:lvl>
    <w:lvl w:ilvl="1">
      <w:lvlJc w:val="left"/>
      <w:lvlText w:val="(%2)"/>
      <w:numFmt w:val="decimal"/>
      <w:start w:val="5"/>
    </w:lvl>
    <w:lvl w:ilvl="2">
      <w:lvlJc w:val="left"/>
      <w:lvlText w:val="%3"/>
      <w:numFmt w:val="lowerRoman"/>
      <w:start w:val="1"/>
    </w:lvl>
  </w:abstractNum>
  <w:abstractNum w:abstractNumId="85">
    <w:nsid w:val="5D888A08"/>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86">
    <w:nsid w:val="2A082C70"/>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3"/>
    </w:lvl>
  </w:abstractNum>
  <w:abstractNum w:abstractNumId="87">
    <w:nsid w:val="5EC6AFD4"/>
    <w:multiLevelType w:val="hybridMultilevel"/>
    <w:lvl w:ilvl="0">
      <w:lvlJc w:val="left"/>
      <w:lvlText w:val="%1"/>
      <w:numFmt w:val="upperLetter"/>
      <w:start w:val="1"/>
    </w:lvl>
    <w:lvl w:ilvl="1">
      <w:lvlJc w:val="left"/>
      <w:lvlText w:val="(%2)"/>
      <w:numFmt w:val="decimal"/>
      <w:start w:val="2"/>
    </w:lvl>
    <w:lvl w:ilvl="2">
      <w:lvlJc w:val="left"/>
      <w:lvlText w:val="%3"/>
      <w:numFmt w:val="lowerRoman"/>
      <w:start w:val="1"/>
    </w:lvl>
  </w:abstractNum>
  <w:abstractNum w:abstractNumId="88">
    <w:nsid w:val="19E21BB2"/>
    <w:multiLevelType w:val="hybridMultilevel"/>
    <w:lvl w:ilvl="0">
      <w:lvlJc w:val="left"/>
      <w:lvlText w:val="%1."/>
      <w:numFmt w:val="upperLetter"/>
      <w:start w:val="4"/>
    </w:lvl>
  </w:abstractNum>
  <w:abstractNum w:abstractNumId="89">
    <w:nsid w:val="75E0858A"/>
    <w:multiLevelType w:val="hybridMultilevel"/>
    <w:lvl w:ilvl="0">
      <w:lvlJc w:val="left"/>
      <w:lvlText w:val="%1."/>
      <w:numFmt w:val="upperLetter"/>
      <w:start w:val="9"/>
    </w:lvl>
  </w:abstractNum>
  <w:abstractNum w:abstractNumId="90">
    <w:nsid w:val="57A61A29"/>
    <w:multiLevelType w:val="hybridMultilevel"/>
    <w:lvl w:ilvl="0">
      <w:lvlJc w:val="left"/>
      <w:lvlText w:val="%1."/>
      <w:numFmt w:val="upperLetter"/>
      <w:start w:val="11"/>
    </w:lvl>
  </w:abstractNum>
  <w:abstractNum w:abstractNumId="91">
    <w:nsid w:val="5399C654"/>
    <w:multiLevelType w:val="hybridMultilevel"/>
    <w:lvl w:ilvl="0">
      <w:lvlJc w:val="left"/>
      <w:lvlText w:val="%1."/>
      <w:numFmt w:val="upperLetter"/>
      <w:start w:val="1"/>
    </w:lvl>
  </w:abstractNum>
  <w:abstractNum w:abstractNumId="92">
    <w:nsid w:val="20EE1348"/>
    <w:multiLevelType w:val="hybridMultilevel"/>
    <w:lvl w:ilvl="0">
      <w:lvlJc w:val="left"/>
      <w:lvlText w:val="%1."/>
      <w:numFmt w:val="upperLetter"/>
      <w:start w:val="2"/>
    </w:lvl>
  </w:abstractNum>
  <w:abstractNum w:abstractNumId="93">
    <w:nsid w:val="4427069A"/>
    <w:multiLevelType w:val="hybridMultilevel"/>
    <w:lvl w:ilvl="0">
      <w:lvlJc w:val="left"/>
      <w:lvlText w:val="(***)"/>
      <w:numFmt w:val="bullet"/>
      <w:start w:val="1"/>
    </w:lvl>
  </w:abstractNum>
  <w:abstractNum w:abstractNumId="94">
    <w:nsid w:val="B37E80A"/>
    <w:multiLevelType w:val="hybridMultilevel"/>
    <w:lvl w:ilvl="0">
      <w:lvlJc w:val="left"/>
      <w:lvlText w:val="%1."/>
      <w:numFmt w:val="upperLetter"/>
      <w:start w:val="1"/>
    </w:lvl>
  </w:abstractNum>
  <w:abstractNum w:abstractNumId="95">
    <w:nsid w:val="2157F6BC"/>
    <w:multiLevelType w:val="hybridMultilevel"/>
    <w:lvl w:ilvl="0">
      <w:lvlJc w:val="left"/>
      <w:lvlText w:val="%1."/>
      <w:numFmt w:val="upperLetter"/>
      <w:start w:val="2"/>
    </w:lvl>
  </w:abstractNum>
  <w:abstractNum w:abstractNumId="96">
    <w:nsid w:val="704E1DD5"/>
    <w:multiLevelType w:val="hybridMultilevel"/>
    <w:lvl w:ilvl="0">
      <w:lvlJc w:val="left"/>
      <w:lvlText w:val="%1."/>
      <w:numFmt w:val="upperLetter"/>
      <w:start w:val="3"/>
    </w:lvl>
  </w:abstractNum>
  <w:abstractNum w:abstractNumId="97">
    <w:nsid w:val="57D2F10E"/>
    <w:multiLevelType w:val="hybridMultilevel"/>
    <w:lvl w:ilvl="0">
      <w:lvlJc w:val="left"/>
      <w:lvlText w:val="%1."/>
      <w:numFmt w:val="upperLetter"/>
      <w:start w:val="4"/>
    </w:lvl>
  </w:abstractNum>
  <w:abstractNum w:abstractNumId="98">
    <w:nsid w:val="BFFAE18"/>
    <w:multiLevelType w:val="hybridMultilevel"/>
    <w:lvl w:ilvl="0">
      <w:lvlJc w:val="left"/>
      <w:lvlText w:val="%1."/>
      <w:numFmt w:val="upperLetter"/>
      <w:start w:val="5"/>
    </w:lvl>
  </w:abstractNum>
  <w:abstractNum w:abstractNumId="99">
    <w:nsid w:val="E3E47A8"/>
    <w:multiLevelType w:val="hybridMultilevel"/>
    <w:lvl w:ilvl="0">
      <w:lvlJc w:val="left"/>
      <w:lvlText w:val="%1."/>
      <w:numFmt w:val="upperLetter"/>
      <w:start w:val="3"/>
    </w:lvl>
  </w:abstractNum>
  <w:abstractNum w:abstractNumId="100">
    <w:nsid w:val="2E48F044"/>
    <w:multiLevelType w:val="hybridMultilevel"/>
    <w:lvl w:ilvl="0">
      <w:lvlJc w:val="left"/>
      <w:lvlText w:val="(%1)"/>
      <w:numFmt w:val="decimal"/>
      <w:start w:val="1"/>
    </w:lvl>
  </w:abstractNum>
  <w:abstractNum w:abstractNumId="101">
    <w:nsid w:val="49D0FEAC"/>
    <w:multiLevelType w:val="hybridMultilevel"/>
    <w:lvl w:ilvl="0">
      <w:lvlJc w:val="left"/>
      <w:lvlText w:val="(%1)"/>
      <w:numFmt w:val="decimal"/>
      <w:start w:val="2"/>
    </w:lvl>
  </w:abstractNum>
  <w:abstractNum w:abstractNumId="102">
    <w:nsid w:val="4BEE5A5B"/>
    <w:multiLevelType w:val="hybridMultilevel"/>
    <w:lvl w:ilvl="0">
      <w:lvlJc w:val="left"/>
      <w:lvlText w:val="%1."/>
      <w:numFmt w:val="decimal"/>
      <w:start w:val="1"/>
    </w:lvl>
  </w:abstractNum>
  <w:abstractNum w:abstractNumId="103">
    <w:nsid w:val="5551B9F3"/>
    <w:multiLevelType w:val="hybridMultilevel"/>
    <w:lvl w:ilvl="0">
      <w:lvlJc w:val="left"/>
      <w:lvlText w:val="(%1)"/>
      <w:numFmt w:val="lowerLetter"/>
      <w:start w:val="2"/>
    </w:lvl>
  </w:abstractNum>
  <w:abstractNum w:abstractNumId="104">
    <w:nsid w:val="24F6AB8E"/>
    <w:multiLevelType w:val="hybridMultilevel"/>
    <w:lvl w:ilvl="0">
      <w:lvlJc w:val="left"/>
      <w:lvlText w:val="(%1)"/>
      <w:numFmt w:val="lowerLetter"/>
      <w:start w:val="1"/>
    </w:lvl>
    <w:lvl w:ilvl="1">
      <w:lvlJc w:val="left"/>
      <w:lvlText w:val="-"/>
      <w:numFmt w:val="bullet"/>
      <w:start w:val="1"/>
    </w:lvl>
  </w:abstractNum>
  <w:abstractNum w:abstractNumId="105">
    <w:nsid w:val="634C574C"/>
    <w:multiLevelType w:val="hybridMultilevel"/>
    <w:lvl w:ilvl="0">
      <w:lvlJc w:val="left"/>
      <w:lvlText w:val="(%1)"/>
      <w:numFmt w:val="lowerLetter"/>
      <w:start w:val="1"/>
    </w:lvl>
  </w:abstractNum>
  <w:abstractNum w:abstractNumId="106">
    <w:nsid w:val="24E99DD7"/>
    <w:multiLevelType w:val="hybridMultilevel"/>
    <w:lvl w:ilvl="0">
      <w:lvlJc w:val="left"/>
      <w:lvlText w:val="%1."/>
      <w:numFmt w:val="decimal"/>
      <w:start w:val="2"/>
    </w:lvl>
  </w:abstractNum>
  <w:abstractNum w:abstractNumId="107">
    <w:nsid w:val="2A31B62D"/>
    <w:multiLevelType w:val="hybridMultilevel"/>
    <w:lvl w:ilvl="0">
      <w:lvlJc w:val="left"/>
      <w:lvlText w:val="%1."/>
      <w:numFmt w:val="decimal"/>
      <w:start w:val="3"/>
    </w:lvl>
    <w:lvl w:ilvl="1">
      <w:lvlJc w:val="left"/>
      <w:lvlText w:val="-"/>
      <w:numFmt w:val="bullet"/>
      <w:start w:val="1"/>
    </w:lvl>
  </w:abstractNum>
  <w:abstractNum w:abstractNumId="108">
    <w:nsid w:val="1849C29B"/>
    <w:multiLevelType w:val="hybridMultilevel"/>
    <w:lvl w:ilvl="0">
      <w:lvlJc w:val="left"/>
      <w:lvlText w:val="%1."/>
      <w:numFmt w:val="decimal"/>
      <w:start w:val="4"/>
    </w:lvl>
  </w:abstractNum>
  <w:abstractNum w:abstractNumId="109">
    <w:nsid w:val="7DFF9D09"/>
    <w:multiLevelType w:val="hybridMultilevel"/>
    <w:lvl w:ilvl="0">
      <w:lvlJc w:val="left"/>
      <w:lvlText w:val="(%1)"/>
      <w:numFmt w:val="lowerLetter"/>
      <w:start w:val="1"/>
    </w:lvl>
  </w:abstractNum>
  <w:abstractNum w:abstractNumId="110">
    <w:nsid w:val="754342"/>
    <w:multiLevelType w:val="hybridMultilevel"/>
    <w:lvl w:ilvl="0">
      <w:lvlJc w:val="left"/>
      <w:lvlText w:val="%1."/>
      <w:numFmt w:val="decimal"/>
      <w:start w:val="5"/>
    </w:lvl>
  </w:abstractNum>
  <w:abstractNum w:abstractNumId="111">
    <w:nsid w:val="69E7F3E5"/>
    <w:multiLevelType w:val="hybridMultilevel"/>
    <w:lvl w:ilvl="0">
      <w:lvlJc w:val="left"/>
      <w:lvlText w:val="%1."/>
      <w:numFmt w:val="decimal"/>
      <w:start w:val="6"/>
    </w:lvl>
  </w:abstractNum>
  <w:abstractNum w:abstractNumId="112">
    <w:nsid w:val="2A6DE806"/>
    <w:multiLevelType w:val="hybridMultilevel"/>
    <w:lvl w:ilvl="0">
      <w:lvlJc w:val="left"/>
      <w:lvlText w:val="%1."/>
      <w:numFmt w:val="decimal"/>
      <w:start w:val="7"/>
    </w:lvl>
  </w:abstractNum>
  <w:abstractNum w:abstractNumId="113">
    <w:nsid w:val="1816F8C4"/>
    <w:multiLevelType w:val="hybridMultilevel"/>
    <w:lvl w:ilvl="0">
      <w:lvlJc w:val="left"/>
      <w:lvlText w:val="%1."/>
      <w:numFmt w:val="decimal"/>
      <w:start w:val="8"/>
    </w:lvl>
  </w:abstractNum>
  <w:abstractNum w:abstractNumId="114">
    <w:nsid w:val="37DF2233"/>
    <w:multiLevelType w:val="hybridMultilevel"/>
    <w:lvl w:ilvl="0">
      <w:lvlJc w:val="left"/>
      <w:lvlText w:val="%1."/>
      <w:numFmt w:val="decimal"/>
      <w:start w:val="9"/>
    </w:lvl>
  </w:abstractNum>
  <w:abstractNum w:abstractNumId="115">
    <w:nsid w:val="7AB49DAF"/>
    <w:multiLevelType w:val="hybridMultilevel"/>
    <w:lvl w:ilvl="0">
      <w:lvlJc w:val="left"/>
      <w:lvlText w:val="%1."/>
      <w:numFmt w:val="decimal"/>
      <w:start w:val="11"/>
    </w:lvl>
  </w:abstractNum>
  <w:abstractNum w:abstractNumId="116">
    <w:nsid w:val="759F82CD"/>
    <w:multiLevelType w:val="hybridMultilevel"/>
    <w:lvl w:ilvl="0">
      <w:lvlJc w:val="left"/>
      <w:lvlText w:val="%1."/>
      <w:numFmt w:val="decimal"/>
      <w:start w:val="12"/>
    </w:lvl>
  </w:abstractNum>
  <w:abstractNum w:abstractNumId="117">
    <w:nsid w:val="61E74EA3"/>
    <w:multiLevelType w:val="hybridMultilevel"/>
    <w:lvl w:ilvl="0">
      <w:lvlJc w:val="left"/>
      <w:lvlText w:val="%1."/>
      <w:numFmt w:val="decimal"/>
      <w:start w:val="13"/>
    </w:lvl>
  </w:abstractNum>
  <w:abstractNum w:abstractNumId="118">
    <w:nsid w:val="597B4D84"/>
    <w:multiLevelType w:val="hybridMultilevel"/>
    <w:lvl w:ilvl="0">
      <w:lvlJc w:val="left"/>
      <w:lvlText w:val="%1."/>
      <w:numFmt w:val="decimal"/>
      <w:start w:val="14"/>
    </w:lvl>
  </w:abstractNum>
  <w:abstractNum w:abstractNumId="119">
    <w:nsid w:val="F819E7F"/>
    <w:multiLevelType w:val="hybridMultilevel"/>
    <w:lvl w:ilvl="0">
      <w:lvlJc w:val="left"/>
      <w:lvlText w:val="%1."/>
      <w:numFmt w:val="decimal"/>
      <w:start w:val="15"/>
    </w:lvl>
  </w:abstractNum>
  <w:abstractNum w:abstractNumId="120">
    <w:nsid w:val="57C7D42D"/>
    <w:multiLevelType w:val="hybridMultilevel"/>
    <w:lvl w:ilvl="0">
      <w:lvlJc w:val="left"/>
      <w:lvlText w:val="%1."/>
      <w:numFmt w:val="decimal"/>
      <w:start w:val="16"/>
    </w:lvl>
    <w:lvl w:ilvl="1">
      <w:lvlJc w:val="left"/>
      <w:lvlText w:val="-"/>
      <w:numFmt w:val="bullet"/>
      <w:start w:val="1"/>
    </w:lvl>
  </w:abstractNum>
  <w:abstractNum w:abstractNumId="121">
    <w:nsid w:val="312167AD"/>
    <w:multiLevelType w:val="hybridMultilevel"/>
    <w:lvl w:ilvl="0">
      <w:lvlJc w:val="left"/>
      <w:lvlText w:val="(%1)"/>
      <w:numFmt w:val="decimal"/>
      <w:start w:val="1"/>
    </w:lvl>
  </w:abstractNum>
  <w:abstractNum w:abstractNumId="122">
    <w:nsid w:val="631B64D4"/>
    <w:multiLevelType w:val="hybridMultilevel"/>
    <w:lvl w:ilvl="0">
      <w:lvlJc w:val="left"/>
      <w:lvlText w:val="(%1)"/>
      <w:numFmt w:val="decimal"/>
      <w:start w:val="2"/>
    </w:lvl>
  </w:abstractNum>
  <w:abstractNum w:abstractNumId="123">
    <w:nsid w:val="78B5E776"/>
    <w:multiLevelType w:val="hybridMultilevel"/>
    <w:lvl w:ilvl="0">
      <w:lvlJc w:val="left"/>
      <w:lvlText w:val="%1."/>
      <w:numFmt w:val="decimal"/>
      <w:start w:val="1"/>
    </w:lvl>
  </w:abstractNum>
  <w:abstractNum w:abstractNumId="124">
    <w:nsid w:val="75486E47"/>
    <w:multiLevelType w:val="hybridMultilevel"/>
    <w:lvl w:ilvl="0">
      <w:lvlJc w:val="left"/>
      <w:lvlText w:val="(%1)"/>
      <w:numFmt w:val="lowerLetter"/>
      <w:start w:val="2"/>
    </w:lvl>
  </w:abstractNum>
  <w:abstractNum w:abstractNumId="125">
    <w:nsid w:val="6E534CDE"/>
    <w:multiLevelType w:val="hybridMultilevel"/>
    <w:lvl w:ilvl="0">
      <w:lvlJc w:val="left"/>
      <w:lvlText w:val="(%1)"/>
      <w:numFmt w:val="lowerLetter"/>
      <w:start w:val="1"/>
    </w:lvl>
    <w:lvl w:ilvl="1">
      <w:lvlJc w:val="left"/>
      <w:lvlText w:val="-"/>
      <w:numFmt w:val="bullet"/>
      <w:start w:val="1"/>
    </w:lvl>
  </w:abstractNum>
  <w:abstractNum w:abstractNumId="126">
    <w:nsid w:val="1A0DDE32"/>
    <w:multiLevelType w:val="hybridMultilevel"/>
    <w:lvl w:ilvl="0">
      <w:lvlJc w:val="left"/>
      <w:lvlText w:val="(%1)"/>
      <w:numFmt w:val="lowerLetter"/>
      <w:start w:val="1"/>
    </w:lvl>
  </w:abstractNum>
  <w:abstractNum w:abstractNumId="127">
    <w:nsid w:val="65968C1C"/>
    <w:multiLevelType w:val="hybridMultilevel"/>
    <w:lvl w:ilvl="0">
      <w:lvlJc w:val="left"/>
      <w:lvlText w:val="%1."/>
      <w:numFmt w:val="decimal"/>
      <w:start w:val="2"/>
    </w:lvl>
  </w:abstractNum>
  <w:abstractNum w:abstractNumId="128">
    <w:nsid w:val="46263DEC"/>
    <w:multiLevelType w:val="hybridMultilevel"/>
    <w:lvl w:ilvl="0">
      <w:lvlJc w:val="left"/>
      <w:lvlText w:val="%1."/>
      <w:numFmt w:val="decimal"/>
      <w:start w:val="3"/>
    </w:lvl>
    <w:lvl w:ilvl="1">
      <w:lvlJc w:val="left"/>
      <w:lvlText w:val="-"/>
      <w:numFmt w:val="bullet"/>
      <w:start w:val="1"/>
    </w:lvl>
  </w:abstractNum>
  <w:abstractNum w:abstractNumId="129">
    <w:nsid w:val="260D8C4A"/>
    <w:multiLevelType w:val="hybridMultilevel"/>
    <w:lvl w:ilvl="0">
      <w:lvlJc w:val="left"/>
      <w:lvlText w:val="%1."/>
      <w:numFmt w:val="decimal"/>
      <w:start w:val="4"/>
    </w:lvl>
  </w:abstractNum>
  <w:abstractNum w:abstractNumId="130">
    <w:nsid w:val="73D4D3C4"/>
    <w:multiLevelType w:val="hybridMultilevel"/>
    <w:lvl w:ilvl="0">
      <w:lvlJc w:val="left"/>
      <w:lvlText w:val="(%1)"/>
      <w:numFmt w:val="lowerLetter"/>
      <w:start w:val="1"/>
    </w:lvl>
  </w:abstractNum>
  <w:abstractNum w:abstractNumId="131">
    <w:nsid w:val="746F2E30"/>
    <w:multiLevelType w:val="hybridMultilevel"/>
    <w:lvl w:ilvl="0">
      <w:lvlJc w:val="left"/>
      <w:lvlText w:val="%1."/>
      <w:numFmt w:val="decimal"/>
      <w:start w:val="5"/>
    </w:lvl>
  </w:abstractNum>
  <w:abstractNum w:abstractNumId="132">
    <w:nsid w:val="6FDE8AF6"/>
    <w:multiLevelType w:val="hybridMultilevel"/>
    <w:lvl w:ilvl="0">
      <w:lvlJc w:val="left"/>
      <w:lvlText w:val="%1."/>
      <w:numFmt w:val="decimal"/>
      <w:start w:val="6"/>
    </w:lvl>
  </w:abstractNum>
  <w:abstractNum w:abstractNumId="133">
    <w:nsid w:val="3FC32E20"/>
    <w:multiLevelType w:val="hybridMultilevel"/>
    <w:lvl w:ilvl="0">
      <w:lvlJc w:val="left"/>
      <w:lvlText w:val="%1."/>
      <w:numFmt w:val="decimal"/>
      <w:start w:val="7"/>
    </w:lvl>
  </w:abstractNum>
  <w:abstractNum w:abstractNumId="134">
    <w:nsid w:val="49C0E823"/>
    <w:multiLevelType w:val="hybridMultilevel"/>
    <w:lvl w:ilvl="0">
      <w:lvlJc w:val="left"/>
      <w:lvlText w:val="%1."/>
      <w:numFmt w:val="decimal"/>
      <w:start w:val="8"/>
    </w:lvl>
  </w:abstractNum>
  <w:abstractNum w:abstractNumId="135">
    <w:nsid w:val="14D53685"/>
    <w:multiLevelType w:val="hybridMultilevel"/>
    <w:lvl w:ilvl="0">
      <w:lvlJc w:val="left"/>
      <w:lvlText w:val="%1."/>
      <w:numFmt w:val="decimal"/>
      <w:start w:val="9"/>
    </w:lvl>
  </w:abstractNum>
  <w:abstractNum w:abstractNumId="136">
    <w:nsid w:val="230F856C"/>
    <w:multiLevelType w:val="hybridMultilevel"/>
    <w:lvl w:ilvl="0">
      <w:lvlJc w:val="left"/>
      <w:lvlText w:val="%1."/>
      <w:numFmt w:val="decimal"/>
      <w:start w:val="11"/>
    </w:lvl>
  </w:abstractNum>
  <w:abstractNum w:abstractNumId="137">
    <w:nsid w:val="6EAA85FB"/>
    <w:multiLevelType w:val="hybridMultilevel"/>
    <w:lvl w:ilvl="0">
      <w:lvlJc w:val="left"/>
      <w:lvlText w:val="%1."/>
      <w:numFmt w:val="decimal"/>
      <w:start w:val="12"/>
    </w:lvl>
  </w:abstractNum>
  <w:abstractNum w:abstractNumId="138">
    <w:nsid w:val="3F06ECB2"/>
    <w:multiLevelType w:val="hybridMultilevel"/>
    <w:lvl w:ilvl="0">
      <w:lvlJc w:val="left"/>
      <w:lvlText w:val="%1."/>
      <w:numFmt w:val="decimal"/>
      <w:start w:val="13"/>
    </w:lvl>
  </w:abstractNum>
  <w:abstractNum w:abstractNumId="139">
    <w:nsid w:val="3B594807"/>
    <w:multiLevelType w:val="hybridMultilevel"/>
    <w:lvl w:ilvl="0">
      <w:lvlJc w:val="left"/>
      <w:lvlText w:val="%1."/>
      <w:numFmt w:val="decimal"/>
      <w:start w:val="14"/>
    </w:lvl>
  </w:abstractNum>
  <w:abstractNum w:abstractNumId="140">
    <w:nsid w:val="6CAA2304"/>
    <w:multiLevelType w:val="hybridMultilevel"/>
    <w:lvl w:ilvl="0">
      <w:lvlJc w:val="left"/>
      <w:lvlText w:val="%1."/>
      <w:numFmt w:val="decimal"/>
      <w:start w:val="15"/>
    </w:lvl>
  </w:abstractNum>
  <w:abstractNum w:abstractNumId="141">
    <w:nsid w:val="3F7C2FF4"/>
    <w:multiLevelType w:val="hybridMultilevel"/>
    <w:lvl w:ilvl="0">
      <w:lvlJc w:val="left"/>
      <w:lvlText w:val="%1."/>
      <w:numFmt w:val="decimal"/>
      <w:start w:val="16"/>
    </w:lvl>
    <w:lvl w:ilvl="1">
      <w:lvlJc w:val="left"/>
      <w:lvlText w:val="-"/>
      <w:numFmt w:val="bullet"/>
      <w:start w:val="1"/>
    </w:lvl>
  </w:abstractNum>
  <w:abstractNum w:abstractNumId="142">
    <w:nsid w:val="25413BEC"/>
    <w:multiLevelType w:val="hybridMultilevel"/>
    <w:lvl w:ilvl="0">
      <w:lvlJc w:val="left"/>
      <w:lvlText w:val="(%1)"/>
      <w:numFmt w:val="decimal"/>
      <w:start w:val="1"/>
    </w:lvl>
  </w:abstractNum>
  <w:abstractNum w:abstractNumId="143">
    <w:nsid w:val="17180B0B"/>
    <w:multiLevelType w:val="hybridMultilevel"/>
    <w:lvl w:ilvl="0">
      <w:lvlJc w:val="left"/>
      <w:lvlText w:val="(%1)"/>
      <w:numFmt w:val="decimal"/>
      <w:start w:val="2"/>
    </w:lvl>
  </w:abstractNum>
  <w:abstractNum w:abstractNumId="144">
    <w:nsid w:val="579328B9"/>
    <w:multiLevelType w:val="hybridMultilevel"/>
    <w:lvl w:ilvl="0">
      <w:lvlJc w:val="left"/>
      <w:lvlText w:val="%1."/>
      <w:numFmt w:val="decimal"/>
      <w:start w:val="1"/>
    </w:lvl>
  </w:abstractNum>
  <w:abstractNum w:abstractNumId="145">
    <w:nsid w:val="5D205E20"/>
    <w:multiLevelType w:val="hybridMultilevel"/>
    <w:lvl w:ilvl="0">
      <w:lvlJc w:val="left"/>
      <w:lvlText w:val="(%1)"/>
      <w:numFmt w:val="lowerLetter"/>
      <w:start w:val="1"/>
    </w:lvl>
  </w:abstractNum>
  <w:abstractNum w:abstractNumId="146">
    <w:nsid w:val="11CCA8BA"/>
    <w:multiLevelType w:val="hybridMultilevel"/>
    <w:lvl w:ilvl="0">
      <w:lvlJc w:val="left"/>
      <w:lvlText w:val="(%1)"/>
      <w:numFmt w:val="lowerLetter"/>
      <w:start w:val="1"/>
    </w:lvl>
  </w:abstractNum>
  <w:abstractNum w:abstractNumId="147">
    <w:nsid w:val="4D32AB86"/>
    <w:multiLevelType w:val="hybridMultilevel"/>
    <w:lvl w:ilvl="0">
      <w:lvlJc w:val="left"/>
      <w:lvlText w:val="%1."/>
      <w:numFmt w:val="decimal"/>
      <w:start w:val="2"/>
    </w:lvl>
  </w:abstractNum>
  <w:abstractNum w:abstractNumId="148">
    <w:nsid w:val="3F07ACC3"/>
    <w:multiLevelType w:val="hybridMultilevel"/>
    <w:lvl w:ilvl="0">
      <w:lvlJc w:val="left"/>
      <w:lvlText w:val="%1."/>
      <w:numFmt w:val="decimal"/>
      <w:start w:val="3"/>
    </w:lvl>
  </w:abstractNum>
  <w:abstractNum w:abstractNumId="149">
    <w:nsid w:val="6B47F63E"/>
    <w:multiLevelType w:val="hybridMultilevel"/>
    <w:lvl w:ilvl="0">
      <w:lvlJc w:val="left"/>
      <w:lvlText w:val="%1."/>
      <w:numFmt w:val="decimal"/>
      <w:start w:val="4"/>
    </w:lvl>
  </w:abstractNum>
  <w:abstractNum w:abstractNumId="150">
    <w:nsid w:val="5CB44A05"/>
    <w:multiLevelType w:val="hybridMultilevel"/>
    <w:lvl w:ilvl="0">
      <w:lvlJc w:val="left"/>
      <w:lvlText w:val="%1."/>
      <w:numFmt w:val="decimal"/>
      <w:start w:val="5"/>
    </w:lvl>
  </w:abstractNum>
  <w:abstractNum w:abstractNumId="151">
    <w:nsid w:val="16CF80F1"/>
    <w:multiLevelType w:val="hybridMultilevel"/>
    <w:lvl w:ilvl="0">
      <w:lvlJc w:val="left"/>
      <w:lvlText w:val="%1."/>
      <w:numFmt w:val="decimal"/>
      <w:start w:val="6"/>
    </w:lvl>
  </w:abstractNum>
  <w:abstractNum w:abstractNumId="152">
    <w:nsid w:val="1C695DEC"/>
    <w:multiLevelType w:val="hybridMultilevel"/>
    <w:lvl w:ilvl="0">
      <w:lvlJc w:val="left"/>
      <w:lvlText w:val="%1."/>
      <w:numFmt w:val="decimal"/>
      <w:start w:val="7"/>
    </w:lvl>
  </w:abstractNum>
  <w:abstractNum w:abstractNumId="153">
    <w:nsid w:val="3FCFAED9"/>
    <w:multiLevelType w:val="hybridMultilevel"/>
    <w:lvl w:ilvl="0">
      <w:lvlJc w:val="left"/>
      <w:lvlText w:val="%1."/>
      <w:numFmt w:val="decimal"/>
      <w:start w:val="8"/>
    </w:lvl>
    <w:lvl w:ilvl="1">
      <w:lvlJc w:val="left"/>
      <w:lvlText w:val="-"/>
      <w:numFmt w:val="bullet"/>
      <w:start w:val="1"/>
    </w:lvl>
  </w:abstractNum>
  <w:abstractNum w:abstractNumId="154">
    <w:nsid w:val="F856867"/>
    <w:multiLevelType w:val="hybridMultilevel"/>
    <w:lvl w:ilvl="0">
      <w:lvlJc w:val="left"/>
      <w:lvlText w:val="%1."/>
      <w:numFmt w:val="decimal"/>
      <w:start w:val="9"/>
    </w:lvl>
  </w:abstractNum>
  <w:abstractNum w:abstractNumId="155">
    <w:nsid w:val="11B1CC33"/>
    <w:multiLevelType w:val="hybridMultilevel"/>
    <w:lvl w:ilvl="0">
      <w:lvlJc w:val="left"/>
      <w:lvlText w:val="%1."/>
      <w:numFmt w:val="decimal"/>
      <w:start w:val="10"/>
    </w:lvl>
  </w:abstractNum>
  <w:abstractNum w:abstractNumId="156">
    <w:nsid w:val="2E22FBB7"/>
    <w:multiLevelType w:val="hybridMultilevel"/>
    <w:lvl w:ilvl="0">
      <w:lvlJc w:val="left"/>
      <w:lvlText w:val="%1."/>
      <w:numFmt w:val="decimal"/>
      <w:start w:val="11"/>
    </w:lvl>
  </w:abstractNum>
  <w:abstractNum w:abstractNumId="157">
    <w:nsid w:val="29934699"/>
    <w:multiLevelType w:val="hybridMultilevel"/>
    <w:lvl w:ilvl="0">
      <w:lvlJc w:val="left"/>
      <w:lvlText w:val="%1."/>
      <w:numFmt w:val="decimal"/>
      <w:start w:val="12"/>
    </w:lvl>
  </w:abstractNum>
  <w:abstractNum w:abstractNumId="158">
    <w:nsid w:val="77485850"/>
    <w:multiLevelType w:val="hybridMultilevel"/>
    <w:lvl w:ilvl="0">
      <w:lvlJc w:val="left"/>
      <w:lvlText w:val="%1."/>
      <w:numFmt w:val="decimal"/>
      <w:start w:val="13"/>
    </w:lvl>
    <w:lvl w:ilvl="1">
      <w:lvlJc w:val="left"/>
      <w:lvlText w:val="-"/>
      <w:numFmt w:val="bullet"/>
      <w:start w:val="1"/>
    </w:lvl>
  </w:abstractNum>
  <w:abstractNum w:abstractNumId="159">
    <w:nsid w:val="744939A3"/>
    <w:multiLevelType w:val="hybridMultilevel"/>
    <w:lvl w:ilvl="0">
      <w:lvlJc w:val="left"/>
      <w:lvlText w:val="%1."/>
      <w:numFmt w:val="decimal"/>
      <w:start w:val="15"/>
    </w:lvl>
    <w:lvl w:ilvl="1">
      <w:lvlJc w:val="left"/>
      <w:lvlText w:val="-"/>
      <w:numFmt w:val="bullet"/>
      <w:start w:val="1"/>
    </w:lvl>
  </w:abstractNum>
  <w:abstractNum w:abstractNumId="160">
    <w:nsid w:val="4FA0D2E3"/>
    <w:multiLevelType w:val="hybridMultilevel"/>
    <w:lvl w:ilvl="0">
      <w:lvlJc w:val="left"/>
      <w:lvlText w:val="(%1)"/>
      <w:numFmt w:val="decimal"/>
      <w:start w:val="1"/>
    </w:lvl>
  </w:abstractNum>
  <w:abstractNum w:abstractNumId="161">
    <w:nsid w:val="6B1D2C14"/>
    <w:multiLevelType w:val="hybridMultilevel"/>
    <w:lvl w:ilvl="0">
      <w:lvlJc w:val="left"/>
      <w:lvlText w:val="%1."/>
      <w:numFmt w:val="decimal"/>
      <w:start w:val="1"/>
    </w:lvl>
    <w:lvl w:ilvl="1">
      <w:lvlJc w:val="left"/>
      <w:lvlText w:val="-"/>
      <w:numFmt w:val="bullet"/>
      <w:start w:val="1"/>
    </w:lvl>
  </w:abstractNum>
  <w:abstractNum w:abstractNumId="162">
    <w:nsid w:val="68B867D3"/>
    <w:multiLevelType w:val="hybridMultilevel"/>
    <w:lvl w:ilvl="0">
      <w:lvlJc w:val="left"/>
      <w:lvlText w:val="(%1)"/>
      <w:numFmt w:val="lowerRoman"/>
      <w:start w:val="1"/>
    </w:lvl>
    <w:lvl w:ilvl="1">
      <w:lvlJc w:val="left"/>
      <w:lvlText w:val="-"/>
      <w:numFmt w:val="bullet"/>
      <w:start w:val="1"/>
    </w:lvl>
  </w:abstractNum>
  <w:abstractNum w:abstractNumId="163">
    <w:nsid w:val="3F7F5DD9"/>
    <w:multiLevelType w:val="hybridMultilevel"/>
    <w:lvl w:ilvl="0">
      <w:lvlJc w:val="left"/>
      <w:lvlText w:val="%1."/>
      <w:numFmt w:val="decimal"/>
      <w:start w:val="3"/>
    </w:lvl>
  </w:abstractNum>
  <w:abstractNum w:abstractNumId="164">
    <w:nsid w:val="2AE05A34"/>
    <w:multiLevelType w:val="hybridMultilevel"/>
    <w:lvl w:ilvl="0">
      <w:lvlJc w:val="left"/>
      <w:lvlText w:val="%1."/>
      <w:numFmt w:val="decimal"/>
      <w:start w:val="4"/>
    </w:lvl>
  </w:abstractNum>
  <w:abstractNum w:abstractNumId="165">
    <w:nsid w:val="32794FF7"/>
    <w:multiLevelType w:val="hybridMultilevel"/>
    <w:lvl w:ilvl="0">
      <w:lvlJc w:val="left"/>
      <w:lvlText w:val="%1."/>
      <w:numFmt w:val="decimal"/>
      <w:start w:val="5"/>
    </w:lvl>
    <w:lvl w:ilvl="1">
      <w:lvlJc w:val="left"/>
      <w:lvlText w:val="-"/>
      <w:numFmt w:val="bullet"/>
      <w:start w:val="1"/>
    </w:lvl>
  </w:abstractNum>
  <w:abstractNum w:abstractNumId="166">
    <w:nsid w:val="5454945E"/>
    <w:multiLevelType w:val="hybridMultilevel"/>
    <w:lvl w:ilvl="0">
      <w:lvlJc w:val="left"/>
      <w:lvlText w:val="%1."/>
      <w:numFmt w:val="decimal"/>
      <w:start w:val="6"/>
    </w:lvl>
    <w:lvl w:ilvl="1">
      <w:lvlJc w:val="left"/>
      <w:lvlText w:val="-"/>
      <w:numFmt w:val="bullet"/>
      <w:start w:val="1"/>
    </w:lvl>
  </w:abstractNum>
  <w:abstractNum w:abstractNumId="167">
    <w:nsid w:val="4DEFDFA0"/>
    <w:multiLevelType w:val="hybridMultilevel"/>
    <w:lvl w:ilvl="0">
      <w:lvlJc w:val="left"/>
      <w:lvlText w:val="%1."/>
      <w:numFmt w:val="decimal"/>
      <w:start w:val="1"/>
    </w:lvl>
    <w:lvl w:ilvl="1">
      <w:lvlJc w:val="left"/>
      <w:lvlText w:val="(%2)"/>
      <w:numFmt w:val="lowerLetter"/>
      <w:start w:val="1"/>
    </w:lvl>
  </w:abstractNum>
  <w:abstractNum w:abstractNumId="168">
    <w:nsid w:val="2123D5F2"/>
    <w:multiLevelType w:val="hybridMultilevel"/>
    <w:lvl w:ilvl="0">
      <w:lvlJc w:val="left"/>
      <w:lvlText w:val="%1."/>
      <w:numFmt w:val="decimal"/>
      <w:start w:val="1"/>
    </w:lvl>
    <w:lvl w:ilvl="1">
      <w:lvlJc w:val="left"/>
      <w:lvlText w:val="(%2)"/>
      <w:numFmt w:val="lowerLetter"/>
      <w:start w:val="1"/>
    </w:lvl>
  </w:abstractNum>
  <w:abstractNum w:abstractNumId="169">
    <w:nsid w:val="135B8110"/>
    <w:multiLevelType w:val="hybridMultilevel"/>
    <w:lvl w:ilvl="0">
      <w:lvlJc w:val="left"/>
      <w:lvlText w:val="%1."/>
      <w:numFmt w:val="decimal"/>
      <w:start w:val="1"/>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2019-12-11T15:14:47Z</dcterms:created>
  <dcterms:modified xsi:type="dcterms:W3CDTF">2019-12-11T15:14:47Z</dcterms:modified>
</cp:coreProperties>
</file>