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June 2019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color w:val="auto"/>
        </w:rPr>
        <w:t>On June 17, 2019, the Registrant announced the Expansion of its Leading-Edge High Voltage Low RDSON Power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June 17,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tabs>
          <w:tab w:leader="none" w:pos="9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6936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574675"/>
                    </a:xfrm>
                    <a:prstGeom prst="rect">
                      <a:avLst/>
                    </a:prstGeom>
                    <a:noFill/>
                  </pic:spPr>
                </pic:pic>
              </a:graphicData>
            </a:graphic>
          </wp:anchor>
        </w:drawing>
        <w:t>NEWS ANNOUNCEMENT</w:t>
      </w:r>
      <w:r>
        <w:rPr>
          <w:sz w:val="20"/>
          <w:szCs w:val="20"/>
          <w:color w:val="auto"/>
        </w:rPr>
        <w:tab/>
      </w:r>
      <w:r>
        <w:rPr>
          <w:rFonts w:ascii="Arial" w:cs="Arial" w:eastAsia="Arial" w:hAnsi="Arial"/>
          <w:sz w:val="18"/>
          <w:szCs w:val="18"/>
          <w:b w:val="1"/>
          <w:b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TowerJazz Expands its Leading-Edge High Voltage Low RDSON Power Platform</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Enabling applications with a voltage range of up to 140V</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Addressing the fast-growing demand for higher voltage power management ICs in the consumer, industrial,</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computer and automotive markets</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June 17,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the release of 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leading edge 140V</w:t>
      </w:r>
      <w:r>
        <w:rPr>
          <w:rFonts w:ascii="Arial" w:cs="Arial" w:eastAsia="Arial" w:hAnsi="Arial"/>
          <w:sz w:val="18"/>
          <w:szCs w:val="18"/>
          <w:b w:val="1"/>
          <w:bCs w:val="1"/>
          <w:color w:val="auto"/>
        </w:rPr>
        <w:t xml:space="preserve"> </w:t>
      </w:r>
      <w:r>
        <w:rPr>
          <w:rFonts w:ascii="Arial" w:cs="Arial" w:eastAsia="Arial" w:hAnsi="Arial"/>
          <w:sz w:val="18"/>
          <w:szCs w:val="18"/>
          <w:color w:val="auto"/>
        </w:rPr>
        <w:t>low</w:t>
      </w:r>
      <w:r>
        <w:rPr>
          <w:rFonts w:ascii="Arial" w:cs="Arial" w:eastAsia="Arial" w:hAnsi="Arial"/>
          <w:sz w:val="18"/>
          <w:szCs w:val="18"/>
          <w:b w:val="1"/>
          <w:bCs w:val="1"/>
          <w:color w:val="auto"/>
        </w:rPr>
        <w:t xml:space="preserve"> </w:t>
      </w:r>
      <w:r>
        <w:rPr>
          <w:rFonts w:ascii="Arial" w:cs="Arial" w:eastAsia="Arial" w:hAnsi="Arial"/>
          <w:sz w:val="18"/>
          <w:szCs w:val="18"/>
          <w:color w:val="auto"/>
        </w:rPr>
        <w:t>Rdson power platform, providing significant high power efficiency at high voltages. This advanced offering expands the Company’s 90V technology platform, specifically designed to address the increasing demand for cost-competitive, higher voltage integrated power management solutions for the consumer, industrial, computer, and automotive markets.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excited to announce the availability of our unique 140V RESURF low Rdson platform, targeted toward the expanding 48V ecosystem, serving multitude of market segments with numerous strategic customers already in early design stages, planning to ramp up to mass production in 2020,” said Shimon Greenberg, Vice President of Power Management &amp; Mixed-Signal/CMOS Business Unit, TowerJazz.</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TowerJazz’s 140V RESURF (Reduced Surface Field) technology is based on its mature high volume 0.18um power management platform and provides significant competitive features such as low-side and high-side low Rdson LDMOS, bootstrap diodes and floating capabilities, all with up to 140V breakdown voltages. With low layer count and use of bulk wafers, this platform is highly cost-effective, and therefore ideally suited for gate drivers, motor drivers, DC-DC converters and battery management ICs used for consumer and industrial products such as drones, robots, power and garden tools.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 this advanced platform expansion, we are particularly excited to serve the rapidly growing </w:t>
      </w:r>
      <w:r>
        <w:rPr>
          <w:rFonts w:ascii="Arial" w:cs="Arial" w:eastAsia="Arial" w:hAnsi="Arial"/>
          <w:sz w:val="18"/>
          <w:szCs w:val="18"/>
          <w:u w:val="single" w:color="auto"/>
          <w:color w:val="auto"/>
        </w:rPr>
        <w:t>automotive</w:t>
      </w:r>
      <w:r>
        <w:rPr>
          <w:rFonts w:ascii="Arial" w:cs="Arial" w:eastAsia="Arial" w:hAnsi="Arial"/>
          <w:sz w:val="18"/>
          <w:szCs w:val="18"/>
          <w:color w:val="auto"/>
        </w:rPr>
        <w:t xml:space="preserve"> electrification market,” said Dr. Amol Kalburge, head of the automotive program, TowerJazz. “We are already in volume production for battery management system for electrified vehicles using our current 140V DrainISO floating process. This new 140V RESURF platform provides all the features needed for our customers to improve even further the power efficiency of several best-in-class products and do so in an even smaller footprint.”</w:t>
      </w:r>
    </w:p>
    <w:p>
      <w:pPr>
        <w:spacing w:after="0" w:line="2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this new platform addresses the 48V DC-DC converters in data centers and high voltage power over Ethernet ICs. It also supports a wide range of automotive applications such as motor controllers and drivers, LED headlights, eFuses and 48V power architecture in hybrid and electric vehicles.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TowerJazz’s advanced power management technology, please visit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For additional information on TowerJazz’s technology offering,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2019-12-01T16:21:14Z</dcterms:created>
  <dcterms:modified xsi:type="dcterms:W3CDTF">2019-12-01T16:21:14Z</dcterms:modified>
</cp:coreProperties>
</file>