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5"/>
          <w:szCs w:val="15"/>
          <w:b w:val="1"/>
          <w:bCs w:val="1"/>
          <w:color w:val="auto"/>
        </w:rPr>
        <w:t xml:space="preserve">As filed with the Securities and Exchange Commission on January 24, 2007 </w:t>
      </w:r>
      <w:r>
        <w:rPr>
          <w:rFonts w:ascii="Arial" w:cs="Arial" w:eastAsia="Arial" w:hAnsi="Arial"/>
          <w:sz w:val="15"/>
          <w:szCs w:val="15"/>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F-3</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100"/>
          </w:cols>
          <w:pgMar w:left="240" w:top="233" w:right="259" w:bottom="0" w:gutter="0" w:footer="0" w:header="0"/>
          <w:type w:val="continuous"/>
        </w:sect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480" w:type="dxa"/>
            <w:vAlign w:val="bottom"/>
          </w:tcPr>
          <w:p>
            <w:pPr>
              <w:jc w:val="center"/>
              <w:ind w:right="212"/>
              <w:spacing w:after="0"/>
              <w:rPr>
                <w:sz w:val="20"/>
                <w:szCs w:val="20"/>
                <w:color w:val="auto"/>
              </w:rPr>
            </w:pPr>
            <w:r>
              <w:rPr>
                <w:rFonts w:ascii="Arial" w:cs="Arial" w:eastAsia="Arial" w:hAnsi="Arial"/>
                <w:sz w:val="18"/>
                <w:szCs w:val="18"/>
                <w:b w:val="1"/>
                <w:bCs w:val="1"/>
                <w:color w:val="auto"/>
                <w:w w:val="95"/>
              </w:rPr>
              <w:t>DAVID H. SCHAPIRO, ESQ</w:t>
            </w:r>
          </w:p>
        </w:tc>
        <w:tc>
          <w:tcPr>
            <w:tcW w:w="5380" w:type="dxa"/>
            <w:vAlign w:val="bottom"/>
          </w:tcPr>
          <w:p>
            <w:pPr>
              <w:jc w:val="center"/>
              <w:ind w:left="315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480" w:type="dxa"/>
            <w:vAlign w:val="bottom"/>
          </w:tcPr>
          <w:p>
            <w:pPr>
              <w:jc w:val="center"/>
              <w:ind w:right="232"/>
              <w:spacing w:after="0"/>
              <w:rPr>
                <w:sz w:val="20"/>
                <w:szCs w:val="20"/>
                <w:color w:val="auto"/>
              </w:rPr>
            </w:pPr>
            <w:r>
              <w:rPr>
                <w:rFonts w:ascii="Arial" w:cs="Arial" w:eastAsia="Arial" w:hAnsi="Arial"/>
                <w:sz w:val="18"/>
                <w:szCs w:val="18"/>
                <w:b w:val="1"/>
                <w:bCs w:val="1"/>
                <w:color w:val="auto"/>
                <w:w w:val="98"/>
              </w:rPr>
              <w:t>ARI FRIED, ESQ</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89"/>
              </w:rPr>
              <w:t>Eilenberg, Krause &amp; Paul LLP</w:t>
            </w:r>
          </w:p>
        </w:tc>
      </w:tr>
      <w:tr>
        <w:trPr>
          <w:trHeight w:val="255"/>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93"/>
              </w:rPr>
              <w:t>Yigal Arnon &amp; Co.</w:t>
            </w:r>
          </w:p>
        </w:tc>
        <w:tc>
          <w:tcPr>
            <w:tcW w:w="5380" w:type="dxa"/>
            <w:vAlign w:val="bottom"/>
          </w:tcPr>
          <w:p>
            <w:pPr>
              <w:jc w:val="center"/>
              <w:ind w:left="315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92"/>
              </w:rPr>
              <w:t>1 Azrieli Center</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480" w:type="dxa"/>
            <w:vAlign w:val="bottom"/>
          </w:tcPr>
          <w:p>
            <w:pPr>
              <w:jc w:val="center"/>
              <w:ind w:right="232"/>
              <w:spacing w:after="0"/>
              <w:rPr>
                <w:sz w:val="20"/>
                <w:szCs w:val="20"/>
                <w:color w:val="auto"/>
              </w:rPr>
            </w:pPr>
            <w:r>
              <w:rPr>
                <w:rFonts w:ascii="Arial" w:cs="Arial" w:eastAsia="Arial" w:hAnsi="Arial"/>
                <w:sz w:val="18"/>
                <w:szCs w:val="18"/>
                <w:color w:val="auto"/>
                <w:w w:val="90"/>
              </w:rPr>
              <w:t>Tel Aviv, 67021 Israel</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88"/>
              </w:rPr>
              <w:t>Tel: 212-986-9700</w:t>
            </w:r>
          </w:p>
        </w:tc>
      </w:tr>
      <w:tr>
        <w:trPr>
          <w:trHeight w:val="222"/>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89"/>
              </w:rPr>
              <w:t>Tel: 972-3-608-7856</w:t>
            </w:r>
          </w:p>
        </w:tc>
        <w:tc>
          <w:tcPr>
            <w:tcW w:w="538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95" w:lineRule="exact"/>
        <w:rPr>
          <w:sz w:val="24"/>
          <w:szCs w:val="24"/>
          <w:color w:val="auto"/>
        </w:rPr>
      </w:pPr>
    </w:p>
    <w:tbl>
      <w:tblPr>
        <w:tblLayout w:type="fixed"/>
        <w:tblInd w:w="140" w:type="dxa"/>
        <w:tblCellMar>
          <w:top w:w="0" w:type="dxa"/>
          <w:left w:w="0" w:type="dxa"/>
          <w:bottom w:w="0" w:type="dxa"/>
          <w:right w:w="0" w:type="dxa"/>
        </w:tblCellMar>
      </w:tblPr>
      <w:tr>
        <w:trPr>
          <w:trHeight w:val="161"/>
        </w:trPr>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Class of</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49"/>
        </w:trPr>
        <w:tc>
          <w:tcPr>
            <w:tcW w:w="5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 Price Per</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95"/>
        </w:trPr>
        <w:tc>
          <w:tcPr>
            <w:tcW w:w="5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Ordinary Shares, par</w:t>
            </w:r>
          </w:p>
        </w:tc>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value NIS 1.00 per share (1)</w:t>
            </w:r>
          </w:p>
        </w:tc>
        <w:tc>
          <w:tcPr>
            <w:tcW w:w="3080" w:type="dxa"/>
            <w:vAlign w:val="bottom"/>
          </w:tcPr>
          <w:p>
            <w:pPr>
              <w:jc w:val="right"/>
              <w:ind w:right="52"/>
              <w:spacing w:after="0"/>
              <w:rPr>
                <w:sz w:val="20"/>
                <w:szCs w:val="20"/>
                <w:color w:val="auto"/>
              </w:rPr>
            </w:pPr>
            <w:r>
              <w:rPr>
                <w:rFonts w:ascii="Arial" w:cs="Arial" w:eastAsia="Arial" w:hAnsi="Arial"/>
                <w:sz w:val="18"/>
                <w:szCs w:val="18"/>
                <w:color w:val="auto"/>
              </w:rPr>
              <w:t>117,763,158</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1.80(2)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w w:val="97"/>
              </w:rPr>
              <w:t>211,973,684</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22,681</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22,681</w:t>
            </w:r>
          </w:p>
        </w:tc>
      </w:tr>
    </w:tbl>
    <w:p>
      <w:pPr>
        <w:sectPr>
          <w:pgSz w:w="11900" w:h="16838" w:orient="portrait"/>
          <w:cols w:equalWidth="0" w:num="1">
            <w:col w:w="11400"/>
          </w:cols>
          <w:pgMar w:left="240" w:top="233" w:right="259" w:bottom="0" w:gutter="0" w:footer="0" w:header="0"/>
          <w:type w:val="continuous"/>
        </w:sectPr>
      </w:pPr>
    </w:p>
    <w:bookmarkStart w:id="1" w:name="page2"/>
    <w:bookmarkEnd w:id="1"/>
    <w:p>
      <w:pPr>
        <w:ind w:left="1160" w:right="100" w:hanging="571"/>
        <w:spacing w:after="0" w:line="256"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Registrant’s ordinary shares issuable upon conversion of the $179,000,000 principal amount of equity equivalent convertible capital notes calculated at a conversion price of $1.52 per share. Pursuant to Rule 416 of the Securities Act of 1933, this registration statement also includes an indeterminate number of shares that may be issued upon conversion of the equity equivalent convertible capital notes under the terms thereof.</w:t>
      </w:r>
    </w:p>
    <w:p>
      <w:pPr>
        <w:spacing w:after="0" w:line="224" w:lineRule="exact"/>
        <w:rPr>
          <w:rFonts w:ascii="Arial" w:cs="Arial" w:eastAsia="Arial" w:hAnsi="Arial"/>
          <w:sz w:val="18"/>
          <w:szCs w:val="18"/>
          <w:color w:val="auto"/>
        </w:rPr>
      </w:pPr>
    </w:p>
    <w:p>
      <w:pPr>
        <w:ind w:left="1160" w:right="48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of 1933 on the basis of the average of the high and low prices, as reported on the Nasdaq Global Market on January 18, 2007.</w:t>
      </w: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SUBJECT TO COMPLETION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DATED January __, 2007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20580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117,763,158 Ordinary Shares</w:t>
      </w:r>
    </w:p>
    <w:p>
      <w:pPr>
        <w:spacing w:after="0" w:line="219"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This prospectus relates to the resale, from time to time, by the selling securityholders named in this prospectus of up to 117,763,158 ordinary shares issuable upon conversion of equity equivalent convertible capital notes and the offering by the company of these ordinary shares to persons to whom the capital notes and ordinary shares may be sold or otherwise transferred by the selling securityholders.</w:t>
      </w:r>
    </w:p>
    <w:p>
      <w:pPr>
        <w:spacing w:after="0" w:line="194" w:lineRule="exact"/>
        <w:rPr>
          <w:sz w:val="20"/>
          <w:szCs w:val="20"/>
          <w:color w:val="auto"/>
        </w:rPr>
      </w:pPr>
    </w:p>
    <w:p>
      <w:pPr>
        <w:jc w:val="both"/>
        <w:ind w:firstLine="348"/>
        <w:spacing w:after="0" w:line="305" w:lineRule="auto"/>
        <w:rPr>
          <w:sz w:val="20"/>
          <w:szCs w:val="20"/>
          <w:color w:val="auto"/>
        </w:rPr>
      </w:pPr>
      <w:r>
        <w:rPr>
          <w:rFonts w:ascii="Arial" w:cs="Arial" w:eastAsia="Arial" w:hAnsi="Arial"/>
          <w:sz w:val="15"/>
          <w:szCs w:val="15"/>
          <w:color w:val="auto"/>
        </w:rPr>
        <w:t>The selling securityholders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w:t>
      </w:r>
    </w:p>
    <w:p>
      <w:pPr>
        <w:ind w:right="100" w:firstLine="8"/>
        <w:spacing w:after="0" w:line="261" w:lineRule="auto"/>
        <w:tabs>
          <w:tab w:leader="none" w:pos="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market prices prevailing at the time of sale, at prices related to such prevailing market prices, or at negotiated prices; or (iv) or any other means described in the section entitled “Plan of Distribution.”</w:t>
      </w:r>
    </w:p>
    <w:p>
      <w:pPr>
        <w:spacing w:after="0" w:line="19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ordinary shares are listed on the NASDAQ Global Market under the symbol “TSEM” and on the Tel Aviv Stock Exchange in Israel under the symbol “TSEM.” On January 23, 2007, the last reported sale price of our ordinary shares on the NASDAQ Global Market was $1.93 per share and on the Tel Aviv Stock Exchange was NIS 8.21 per share.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2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January 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19"/>
                <w:szCs w:val="19"/>
                <w:color w:val="auto"/>
              </w:rPr>
            </w:pPr>
          </w:p>
        </w:tc>
      </w:tr>
      <w:tr>
        <w:trPr>
          <w:trHeight w:val="434"/>
        </w:trPr>
        <w:tc>
          <w:tcPr>
            <w:tcW w:w="3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TOWER SEMICONDUCTOR LTD.</w:t>
              </w:r>
            </w:hyperlink>
          </w:p>
        </w:tc>
        <w:tc>
          <w:tcPr>
            <w:tcW w:w="664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2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RISK FACTORS</w:t>
              </w:r>
            </w:hyperlink>
          </w:p>
        </w:tc>
        <w:tc>
          <w:tcPr>
            <w:tcW w:w="8660" w:type="dxa"/>
            <w:vAlign w:val="bottom"/>
            <w:gridSpan w:val="13"/>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88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SPECIAL NOTE ON FORWARD-LOOKING STATEMENTS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CAPITALIZATION</w:t>
              </w:r>
            </w:hyperlink>
          </w:p>
        </w:tc>
        <w:tc>
          <w:tcPr>
            <w:tcW w:w="2980" w:type="dxa"/>
            <w:vAlign w:val="bottom"/>
            <w:tcBorders>
              <w:top w:val="single" w:sz="8" w:color="0000EE"/>
            </w:tcBorders>
            <w:gridSpan w:val="7"/>
          </w:tcPr>
          <w:p>
            <w:pPr>
              <w:spacing w:after="0"/>
              <w:rPr>
                <w:sz w:val="19"/>
                <w:szCs w:val="19"/>
                <w:color w:val="auto"/>
              </w:rPr>
            </w:pPr>
          </w:p>
        </w:tc>
        <w:tc>
          <w:tcPr>
            <w:tcW w:w="5460" w:type="dxa"/>
            <w:vAlign w:val="bottom"/>
            <w:gridSpan w:val="4"/>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USE OF PROCEEDS</w:t>
              </w:r>
            </w:hyperlink>
          </w:p>
        </w:tc>
        <w:tc>
          <w:tcPr>
            <w:tcW w:w="8320" w:type="dxa"/>
            <w:vAlign w:val="bottom"/>
            <w:gridSpan w:val="9"/>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988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988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SELLING SECURITYHOLDERS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988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DESCRIPTION OF SHARE CAPITAL</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49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FOREIGN EXCHANGE CONTROLS AND OTHER LIMITATIONS</w:t>
              </w:r>
            </w:hyperlink>
          </w:p>
        </w:tc>
        <w:tc>
          <w:tcPr>
            <w:tcW w:w="4940" w:type="dxa"/>
            <w:vAlign w:val="bottom"/>
            <w:gridSpan w:val="3"/>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TAXATION</w:t>
              </w:r>
            </w:hyperlink>
          </w:p>
        </w:tc>
        <w:tc>
          <w:tcPr>
            <w:tcW w:w="9000" w:type="dxa"/>
            <w:vAlign w:val="bottom"/>
            <w:gridSpan w:val="14"/>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1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DIVIDEND POLICY</w:t>
              </w:r>
            </w:hyperlink>
          </w:p>
        </w:tc>
        <w:tc>
          <w:tcPr>
            <w:tcW w:w="8340" w:type="dxa"/>
            <w:vAlign w:val="bottom"/>
            <w:gridSpan w:val="10"/>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988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9"/>
                <w:szCs w:val="19"/>
                <w:color w:val="auto"/>
              </w:rPr>
            </w:pPr>
          </w:p>
        </w:tc>
        <w:tc>
          <w:tcPr>
            <w:tcW w:w="8460" w:type="dxa"/>
            <w:vAlign w:val="bottom"/>
            <w:gridSpan w:val="12"/>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88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ENFORCEABILITY OF CIVIL LIABILITIES AND AGENT FOR SERVICE OF PROCESS IN THE UNITED STATES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580" w:type="dxa"/>
            <w:vAlign w:val="bottom"/>
            <w:tcBorders>
              <w:top w:val="single" w:sz="8" w:color="0000EE"/>
            </w:tcBorders>
            <w:gridSpan w:val="15"/>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WHERE YOU CAN FIND MORE INFORMATION; INCORPORATION OF INFORMATION BY REFERENCE</w:t>
              </w:r>
            </w:hyperlink>
          </w:p>
        </w:tc>
        <w:tc>
          <w:tcPr>
            <w:tcW w:w="1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131" w:right="299" w:bottom="157"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TOWER SEMICONDUCTOR LTD.</w:t>
      </w:r>
    </w:p>
    <w:p>
      <w:pPr>
        <w:spacing w:after="0" w:line="299"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December 31, 2006, Fab 1 is able to achieve capacity levels of approximately 16,000 wafers per month.</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December 31, 2006 was approximately 17,000 wafers per month. Depending on the process technology and product mix, when fully ramped-up we estimate that Fab 2 will be able to achieve capacity levels of up to approximately 40,000 wafers per month.</w:t>
      </w:r>
    </w:p>
    <w:p>
      <w:pPr>
        <w:spacing w:after="0" w:line="17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raise significant funds, or obtain Investment Center approval for our expansion plan, we may have to cease our operations.</w:t>
      </w:r>
    </w:p>
    <w:p>
      <w:pPr>
        <w:spacing w:after="0" w:line="25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we do not raise significant funds or obtain approval for our expansion plan filed with the Investment Center followed by the timely receipt of grants under the expansion plan (see “Risk Factors” – “If the Investment Center will not approve our request for a new expansion program, we would be required to seek alternative financing sources to complete the ramp-up of Fab 2, which may not be available...”), we do not expect to have adequate liquidity to meet our short-term activities and liabilities during the next three to five month period and may have to cease our operations.</w:t>
      </w:r>
    </w:p>
    <w:p>
      <w:pPr>
        <w:spacing w:after="0" w:line="16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Fab 2 production capacity as of December 31, 2006 was approximately 17,000 200-mm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further ramp-up Fab 2 from approximately 24,000 wafers per month, we currently estimate we would need to raise approximately $150 million and we will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ectPr>
          <w:pgSz w:w="11900" w:h="16838" w:orient="portrait"/>
          <w:cols w:equalWidth="0" w:num="1">
            <w:col w:w="11420"/>
          </w:cols>
          <w:pgMar w:left="240" w:top="125" w:right="2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 w:name="page4"/>
    <w:bookmarkEnd w:id="3"/>
    <w:p>
      <w:pPr>
        <w:ind w:right="40"/>
        <w:spacing w:after="0" w:line="301" w:lineRule="auto"/>
        <w:rPr>
          <w:sz w:val="20"/>
          <w:szCs w:val="20"/>
          <w:color w:val="auto"/>
        </w:rPr>
      </w:pPr>
      <w:r>
        <w:rPr>
          <w:rFonts w:ascii="Arial" w:cs="Arial" w:eastAsia="Arial" w:hAnsi="Arial"/>
          <w:sz w:val="16"/>
          <w:szCs w:val="16"/>
          <w:b w:val="1"/>
          <w:bCs w:val="1"/>
          <w:color w:val="auto"/>
        </w:rPr>
        <w:t>If the Investment Center will not approve our request for a new expansion program, we would be required to seek alternative financing sources to meet our short-term liabilities and activities and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63"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December 31, 2006, we received approximately $163 million in grants from the Investment Center.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November 30, 2006, we have invested approximately $150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meet our short-term liabilities and activities and to complete the ramp-up of Fab 2, which may not be available and which may result in our having to cease our operations.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cease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There is no assurance that our future operations will increase or that we will succeed in raising the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ectPr>
          <w:pgSz w:w="11900" w:h="16838" w:orient="portrait"/>
          <w:cols w:equalWidth="0" w:num="1">
            <w:col w:w="11420"/>
          </w:cols>
          <w:pgMar w:left="240" w:top="125" w:right="239" w:bottom="0" w:gutter="0" w:footer="0" w:header="0"/>
        </w:sectPr>
      </w:pPr>
    </w:p>
    <w:bookmarkStart w:id="4" w:name="page5"/>
    <w:bookmarkEnd w:id="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New accounting rules affecting our results.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the three months ended September 30, 2006, approximately 62% of our business was generated by six significant customers that contributed 24%, 9%, 8%, 8%, 7% and 6%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w:t>
      </w:r>
    </w:p>
    <w:p>
      <w:pPr>
        <w:sectPr>
          <w:pgSz w:w="11900" w:h="16838" w:orient="portrait"/>
          <w:cols w:equalWidth="0" w:num="1">
            <w:col w:w="11420"/>
          </w:cols>
          <w:pgMar w:left="240" w:top="131" w:right="239" w:bottom="0" w:gutter="0" w:footer="0" w:header="0"/>
        </w:sectPr>
      </w:pPr>
    </w:p>
    <w:bookmarkStart w:id="5" w:name="page6"/>
    <w:bookmarkEnd w:id="5"/>
    <w:p>
      <w:pPr>
        <w:ind w:right="240"/>
        <w:spacing w:after="0" w:line="268" w:lineRule="auto"/>
        <w:rPr>
          <w:sz w:val="20"/>
          <w:szCs w:val="20"/>
          <w:color w:val="auto"/>
        </w:rPr>
      </w:pPr>
      <w:r>
        <w:rPr>
          <w:rFonts w:ascii="Arial" w:cs="Arial" w:eastAsia="Arial" w:hAnsi="Arial"/>
          <w:sz w:val="18"/>
          <w:szCs w:val="18"/>
          <w:color w:val="auto"/>
        </w:rPr>
        <w:t>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evolving industry standards;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We have a large amount of long-term debt, which could have significant negative consequences. As of December 31, 2006, we had approximately $369 million of bank debt and approximately $100 million of convertible debt. Our current and future indebtedness could have significant negative consequences, including:</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ectPr>
          <w:pgSz w:w="11900" w:h="16838" w:orient="portrait"/>
          <w:cols w:equalWidth="0" w:num="1">
            <w:col w:w="11420"/>
          </w:cols>
          <w:pgMar w:left="240" w:top="131" w:right="239" w:bottom="0" w:gutter="0" w:footer="0" w:header="0"/>
        </w:sectPr>
      </w:pPr>
    </w:p>
    <w:bookmarkStart w:id="6" w:name="page7"/>
    <w:bookmarkEnd w:id="6"/>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and inflation may increase our cost of operations.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ectPr>
          <w:pgSz w:w="11900" w:h="16838" w:orient="portrait"/>
          <w:cols w:equalWidth="0" w:num="1">
            <w:col w:w="11420"/>
          </w:cols>
          <w:pgMar w:left="240" w:top="131" w:right="239" w:bottom="0" w:gutter="0" w:footer="0" w:header="0"/>
        </w:sectPr>
      </w:pPr>
    </w:p>
    <w:bookmarkStart w:id="7" w:name="page8"/>
    <w:bookmarkEnd w:id="7"/>
    <w:p>
      <w:pPr>
        <w:ind w:firstLine="351"/>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74"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As of September 30, 2006, we held 59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Investment Center that we received in connection with Fab 1.</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312"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50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ectPr>
          <w:pgSz w:w="11900" w:h="16838" w:orient="portrait"/>
          <w:cols w:equalWidth="0" w:num="1">
            <w:col w:w="11420"/>
          </w:cols>
          <w:pgMar w:left="240" w:top="131" w:right="239" w:bottom="0" w:gutter="0" w:footer="0" w:header="0"/>
        </w:sectPr>
      </w:pPr>
    </w:p>
    <w:bookmarkStart w:id="8" w:name="page9"/>
    <w:bookmarkEnd w:id="8"/>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31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92" w:lineRule="exact"/>
        <w:rPr>
          <w:sz w:val="20"/>
          <w:szCs w:val="20"/>
          <w:color w:val="auto"/>
        </w:rPr>
      </w:pPr>
    </w:p>
    <w:p>
      <w:pPr>
        <w:ind w:right="40" w:firstLine="341"/>
        <w:spacing w:after="0" w:line="312" w:lineRule="auto"/>
        <w:rPr>
          <w:sz w:val="20"/>
          <w:szCs w:val="20"/>
          <w:color w:val="auto"/>
        </w:rPr>
      </w:pPr>
      <w:r>
        <w:rPr>
          <w:rFonts w:ascii="Arial" w:cs="Arial" w:eastAsia="Arial" w:hAnsi="Arial"/>
          <w:sz w:val="15"/>
          <w:szCs w:val="15"/>
          <w:color w:val="auto"/>
        </w:rPr>
        <w:t>As of December 31, 2006 we have approximately 100.8 million ordinary shares outstanding and have outstanding securities convertible or exercisable into approximately 215 million ordinary shares. In December 2003, we issued to our banks and to one of our shareholders warrants exercisable into 896,596 and 58,906 ordinary shares, respectively, with an exercise price of $6.17. In addition, we issued warrants to our banks exercisable into an aggregate of approximately 8.2 million ordinary shares with an exercise price of $1.21. As of December 31, 2006, up to approximately 64.4 million additional ordinary shares may be issued upon the conversion of our 2002 outstanding convertible debentures, 2005 outstanding convertible debentures, 2006 outstanding convertible debentures and upon exercise of warrants held by some of our major shareholders and others. Additionally, in September 2006, we issued equity equivalent capital notes to our banks and to Israel Corp., which are convertible into 51,973,684 and 65,789,474 of our ordinary shares, respectively (which shares are covered by this prospectus).</w:t>
      </w:r>
    </w:p>
    <w:p>
      <w:pPr>
        <w:spacing w:after="0" w:line="15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addition, as of December 31, 2006, we had outstanding employee and directors options to purchase up to approximately 23.5 million shares at a weighted average exercise price of $1.87.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December 31, 2006, we had issued approximately 3.8 million of our ordinary shares to SanDisk Corporation and approximately 2.6 million ordinary shares to Alliance Semiconductor upon conversion of approximately $10 million of wafer credits. As of December 31, 2006, we expect that approximately up to $6.4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 Subject to shareholder approval, our audit committee and board of directors approved an option plan pursuant to which directors of our Company who are not affiliated with our major shareholders, including our current major wafer partners, and are not our employees will be granted up to 150,000 options under such plan for every three years of service as a director. The options shall vest over a three-year period. In addition, in December 2006, subject to shareholder</w:t>
      </w:r>
    </w:p>
    <w:p>
      <w:pPr>
        <w:sectPr>
          <w:pgSz w:w="11900" w:h="16865" w:orient="portrait"/>
          <w:cols w:equalWidth="0" w:num="1">
            <w:col w:w="11400"/>
          </w:cols>
          <w:pgMar w:left="240" w:top="131" w:right="259" w:bottom="0" w:gutter="0" w:footer="0" w:header="0"/>
        </w:sectPr>
      </w:pPr>
    </w:p>
    <w:bookmarkStart w:id="9" w:name="page10"/>
    <w:bookmarkEnd w:id="9"/>
    <w:p>
      <w:pPr>
        <w:spacing w:after="0" w:line="11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approval, our audit committee and board of directors approved the nomination of Dov Moran as our new Chairman and the grant of approximately 3.16 million options to him, vesting over a four-year period.</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we do not obtain Investment Center approval for an expansion plan, we may need to raise significant funds to meet our short-term activities and liabilities during the next three to five month period (see Risk Factors – “If we do not raise significant funds, or obtain Investment Center approval for our expansion plan, we may have to cease our operations.”). In addition, even if we obtain Investment Center approval for an expansion plan, we will need to raise considerable additional funds from other sources primarily to finance (i) the ramp-up of Fab 2 to exceed capacity of 24,000 wafers per month, should we decide to further increase Fab 2‘s capacity, for which we currently estimate we would need to raise approximately $150 million and (ii) our payments on the long-term loans from our banks and other debt.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Of our approximately 100.8 million outstanding ordinary shares as of December 31, 2006, approximately 57.4 million are freely tradable and held by non-affiliates under U.S. securities laws. In addition, certain of our affiliates (Israel Corp., SanDisk Corporation, Alliance Semiconductor, and Macronix International) hold approximately 43.4 million of our shares, of which approximately 3.3 million are registered for resale and are therefore freely tradable under U.S. securities laws and approximately 35.2 million are currently eligible for sale subject to the time, volume and manner of sale limitations of Rule 144 promulgated under the U.S. Securities Act of 1933, as amended. An additional approximately 2.5 million shares held by Alliance Semiconductor and approximately 2.3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December 31, 2006, up to approximately 27.1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30 million shares issuable upon the conversion and/or exercise of the securities sold in our June 2006 public offering in Israel, and (ii) approximately 5 million shares issuable upon exercise of warrants sold in private placements completed in November 2006 would be freely tradeable in normal trading transactions in the United States. Furthermore, the additional up to approximately 117 million shares issuable upon the conversion of equity equivalent convertible capital notes issued to our banks and Israel Corp. (which shares are covered by this prospectus), would be freely tradeable under U.S. securities laws.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80"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of December 31, 2006, our major wafer partners and Israel Corp. collectively owned approximately 43%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payment of the redemption amount on account of our outstanding debentures is subordinated to our indebtedness to our banks and obligations to secured creditors.</w:t>
      </w:r>
    </w:p>
    <w:p>
      <w:pPr>
        <w:spacing w:after="0" w:line="18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payment of the redemption amount on account of our outstanding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$163 million in grants received under the Investment Center’s “Approved Enterprise” program,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312" w:lineRule="exact"/>
        <w:rPr>
          <w:sz w:val="20"/>
          <w:szCs w:val="20"/>
          <w:color w:val="auto"/>
        </w:rPr>
      </w:pPr>
    </w:p>
    <w:p>
      <w:pPr>
        <w:ind w:right="82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312"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w:t>
      </w:r>
    </w:p>
    <w:p>
      <w:pPr>
        <w:sectPr>
          <w:pgSz w:w="11900" w:h="16948" w:orient="portrait"/>
          <w:cols w:equalWidth="0" w:num="1">
            <w:col w:w="11400"/>
          </w:cols>
          <w:pgMar w:left="240" w:top="131" w:right="259" w:bottom="0" w:gutter="0" w:footer="0" w:header="0"/>
        </w:sectPr>
      </w:pPr>
    </w:p>
    <w:bookmarkStart w:id="10" w:name="page11"/>
    <w:bookmarkEnd w:id="10"/>
    <w:p>
      <w:pPr>
        <w:spacing w:after="0" w:line="287" w:lineRule="auto"/>
        <w:rPr>
          <w:sz w:val="20"/>
          <w:szCs w:val="20"/>
          <w:color w:val="auto"/>
        </w:rPr>
      </w:pPr>
      <w:r>
        <w:rPr>
          <w:rFonts w:ascii="Arial" w:cs="Arial" w:eastAsia="Arial" w:hAnsi="Arial"/>
          <w:sz w:val="16"/>
          <w:szCs w:val="16"/>
          <w:color w:val="auto"/>
        </w:rPr>
        <w:t>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200" w:firstLine="348"/>
        <w:spacing w:after="0" w:line="323" w:lineRule="auto"/>
        <w:rPr>
          <w:sz w:val="20"/>
          <w:szCs w:val="20"/>
          <w:color w:val="auto"/>
        </w:rPr>
      </w:pPr>
      <w:r>
        <w:rPr>
          <w:rFonts w:ascii="Arial" w:cs="Arial" w:eastAsia="Arial" w:hAnsi="Arial"/>
          <w:sz w:val="15"/>
          <w:szCs w:val="15"/>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w:t>
      </w:r>
    </w:p>
    <w:p>
      <w:pPr>
        <w:sectPr>
          <w:pgSz w:w="11900" w:h="16838" w:orient="portrait"/>
          <w:cols w:equalWidth="0" w:num="1">
            <w:col w:w="11420"/>
          </w:cols>
          <w:pgMar w:left="240" w:top="131" w:right="239" w:bottom="0" w:gutter="0" w:footer="0" w:header="0"/>
        </w:sectPr>
      </w:pPr>
    </w:p>
    <w:bookmarkStart w:id="11" w:name="page12"/>
    <w:bookmarkEnd w:id="11"/>
    <w:p>
      <w:pPr>
        <w:ind w:right="200"/>
        <w:spacing w:after="0" w:line="259" w:lineRule="auto"/>
        <w:rPr>
          <w:sz w:val="20"/>
          <w:szCs w:val="20"/>
          <w:color w:val="auto"/>
        </w:rPr>
      </w:pPr>
      <w:r>
        <w:rPr>
          <w:rFonts w:ascii="Arial" w:cs="Arial" w:eastAsia="Arial" w:hAnsi="Arial"/>
          <w:sz w:val="18"/>
          <w:szCs w:val="18"/>
          <w:color w:val="auto"/>
        </w:rPr>
        <w:t>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94"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following table sets forth our long-term debt, convertible debentures and capitalization as of September 30, 2006 on an actual basis. This table does not give pro forma effect to the conversion of the equity equivalent convertible capital notes. This financial data is derived from our unaudited interim consolidated financial statements as of September 30, 2006.</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(US dollars in thousands)</w:t>
            </w:r>
          </w:p>
        </w:tc>
        <w:tc>
          <w:tcPr>
            <w:tcW w:w="0" w:type="dxa"/>
            <w:vAlign w:val="bottom"/>
          </w:tcPr>
          <w:p>
            <w:pPr>
              <w:spacing w:after="0"/>
              <w:rPr>
                <w:sz w:val="1"/>
                <w:szCs w:val="1"/>
                <w:color w:val="auto"/>
              </w:rPr>
            </w:pPr>
          </w:p>
        </w:tc>
      </w:tr>
      <w:tr>
        <w:trPr>
          <w:trHeight w:val="136"/>
        </w:trPr>
        <w:tc>
          <w:tcPr>
            <w:tcW w:w="54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24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355,138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 excluding current</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maturities</w:t>
            </w: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61,657</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Long-term liability in respect of customer</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advances</w:t>
            </w: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Ordinary Shares, NIS 1.00 par value per share;</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800,000,000 authorized shares, 87,423,850</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issued shares* and 86,123,850 outstanding</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shares</w:t>
            </w: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546,824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Capital notes</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176,401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component of convertible debentures and</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cumulative stock based compensation</w:t>
            </w: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(608,989)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1,300,000 shares</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149,302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713,211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1,300,000 treasury shares.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December 31, 2006:</w:t>
      </w:r>
    </w:p>
    <w:p>
      <w:pPr>
        <w:spacing w:after="0" w:line="225"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14,628,917 shares that we issued since September 30, 2006;</w:t>
      </w:r>
    </w:p>
    <w:p>
      <w:pPr>
        <w:spacing w:after="0" w:line="252" w:lineRule="exact"/>
        <w:rPr>
          <w:rFonts w:ascii="Arial" w:cs="Arial" w:eastAsia="Arial" w:hAnsi="Arial"/>
          <w:sz w:val="18"/>
          <w:szCs w:val="18"/>
          <w:color w:val="auto"/>
        </w:rPr>
      </w:pPr>
    </w:p>
    <w:p>
      <w:pPr>
        <w:ind w:left="1160" w:right="16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10.8 million ordinary shares issuable upon exercise of options granted to employees and directors at a weighted average exercise price of $2.24;</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12,714,656 ordinary shares issuable upon the exercise of options granted to our Chief Executive Officer at a weighted average exercise price of $1.56;</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 to 2,022,801 ordinary shares issuable upon conversion of unsecured, subordinated convertible debentures, net, that we issued in January 2002, which are convertible through December 31, 2008;</w:t>
      </w:r>
    </w:p>
    <w:p>
      <w:pPr>
        <w:spacing w:after="0" w:line="212" w:lineRule="exact"/>
        <w:rPr>
          <w:rFonts w:ascii="Arial" w:cs="Arial" w:eastAsia="Arial" w:hAnsi="Arial"/>
          <w:sz w:val="18"/>
          <w:szCs w:val="18"/>
          <w:color w:val="auto"/>
        </w:rPr>
      </w:pPr>
    </w:p>
    <w:p>
      <w:pPr>
        <w:ind w:left="1160" w:right="8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896,596 ordinary shares issuable upon the exercise of warrants issued to our banks in connection with our credit facility with an exercise price of $6.17 per share exercisable until September 2011;</w:t>
      </w:r>
    </w:p>
    <w:p>
      <w:pPr>
        <w:spacing w:after="0" w:line="212"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60" w:hanging="571"/>
        <w:spacing w:after="0" w:line="268"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the warrants we issued to our banks with an exercise price of $1.21 in connection with the July 2005 amendment to our facility agreement exercisable until September 2011;</w:t>
      </w:r>
    </w:p>
    <w:p>
      <w:pPr>
        <w:sectPr>
          <w:pgSz w:w="11900" w:h="16838" w:orient="portrait"/>
          <w:cols w:equalWidth="0" w:num="1">
            <w:col w:w="11420"/>
          </w:cols>
          <w:pgMar w:left="240" w:top="131" w:right="239" w:bottom="0" w:gutter="0" w:footer="0" w:header="0"/>
        </w:sectPr>
      </w:pPr>
    </w:p>
    <w:bookmarkStart w:id="12" w:name="page13"/>
    <w:bookmarkEnd w:id="12"/>
    <w:p>
      <w:pPr>
        <w:ind w:left="1160" w:right="5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27,055,956 ordinary shares issuable upon conversion of our debentures convertible until December 2011, pursuant to the prospectus dated December 15, 2005.</w:t>
      </w:r>
    </w:p>
    <w:p>
      <w:pPr>
        <w:spacing w:after="0" w:line="212" w:lineRule="exact"/>
        <w:rPr>
          <w:rFonts w:ascii="Arial" w:cs="Arial" w:eastAsia="Arial" w:hAnsi="Arial"/>
          <w:sz w:val="18"/>
          <w:szCs w:val="18"/>
          <w:color w:val="auto"/>
        </w:rPr>
      </w:pPr>
    </w:p>
    <w:p>
      <w:pPr>
        <w:ind w:left="1160" w:right="1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117,763,158 ordinary shares (which shares are covered by this prospectus)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the warrants issued in our June 2006 public offering in Israel with an exercise price of NIS 7.40 and which expire in June 2009;</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the warrants sold in our private placements completed in November 2006;</w:t>
      </w:r>
    </w:p>
    <w:p>
      <w:pPr>
        <w:spacing w:after="0" w:line="252" w:lineRule="exact"/>
        <w:rPr>
          <w:rFonts w:ascii="Arial" w:cs="Arial" w:eastAsia="Arial" w:hAnsi="Arial"/>
          <w:sz w:val="18"/>
          <w:szCs w:val="18"/>
          <w:color w:val="auto"/>
        </w:rPr>
      </w:pPr>
    </w:p>
    <w:p>
      <w:pPr>
        <w:ind w:left="1160" w:right="2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24,235,714 ordinary shares issuable upon conversion of our debentures convertible until December 13, 2011, issued pursuant to our June 2006 public offering in Israel; and</w:t>
      </w:r>
    </w:p>
    <w:p>
      <w:pPr>
        <w:spacing w:after="0" w:line="212" w:lineRule="exact"/>
        <w:rPr>
          <w:rFonts w:ascii="Arial" w:cs="Arial" w:eastAsia="Arial" w:hAnsi="Arial"/>
          <w:sz w:val="18"/>
          <w:szCs w:val="18"/>
          <w:color w:val="auto"/>
        </w:rPr>
      </w:pPr>
    </w:p>
    <w:p>
      <w:pPr>
        <w:ind w:left="1160" w:right="82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400,000 ordinary shares issuable upon the exercise of warrants issued to our Fab 2 contractor with an exercise price of $7.50 per share exercisable until February 2007.</w:t>
      </w:r>
    </w:p>
    <w:p>
      <w:pPr>
        <w:spacing w:after="0" w:line="200" w:lineRule="exact"/>
        <w:rPr>
          <w:sz w:val="20"/>
          <w:szCs w:val="20"/>
          <w:color w:val="auto"/>
        </w:rPr>
      </w:pPr>
    </w:p>
    <w:p>
      <w:pPr>
        <w:spacing w:after="0" w:line="229"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$6.4 million in wafer prepayment credits (as of December 31, 2006) which we have issued to our major wafer partners; (ii) ordinary shares issuable upon conversion of securities we may be required to issue in connection with a rights offering and outside investor provisions agreed to in the November 2003 amendment to our facility agreement; and (iii) ordinary shares issuable to our banks in January 2011 as a result of the reduction of the interest rate applicable to the quarterly actual interest payments on our outstanding loans. In addition, this information does not take into account: (i) the grant, pursuant to an option plan that is subject to shareholder approval, of 150,000 options, for every three years of service, to each of our directors who are not affiliated with our major shareholders or who are not our employees; (ii) the grant, subject to shareholder approval, of approximately 3.16 million options to Mr. Dov Moran who has been nominated by our board of directors to serve as our new Chairman of the Board; and (iii) anti-dilution options that may be granted to our Chief Executive Officer.</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not receive any of the proceeds from the sale, by the selling security holders, of the ordinary shares issuable upon conversion of the capital notes. We will not receive any proceeds from the conversion of the capital notes by the selling securityholders.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relates to the offer and sale of ordinary shares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Nasdaq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18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9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selling securityholders and any broker-dealers that act in connection with the sale of the securities offered hereby might be deemed to be “underwriters” within the meaning of Section 2(11) of the Securities Act, and any commissions received by such broker-dealers and any profit on the resale of the securities offered hereby sold by them while acting as principals might be deemed to be underwriting discounts or commissions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ectPr>
          <w:pgSz w:w="11900" w:h="16838" w:orient="portrait"/>
          <w:cols w:equalWidth="0" w:num="1">
            <w:col w:w="11420"/>
          </w:cols>
          <w:pgMar w:left="240" w:top="374" w:right="239" w:bottom="38" w:gutter="0" w:footer="0" w:header="0"/>
        </w:sectPr>
      </w:pPr>
    </w:p>
    <w:bookmarkStart w:id="13" w:name="page14"/>
    <w:bookmarkEnd w:id="13"/>
    <w:p>
      <w:pPr>
        <w:spacing w:after="0" w:line="57" w:lineRule="exact"/>
        <w:rPr>
          <w:sz w:val="20"/>
          <w:szCs w:val="20"/>
          <w:color w:val="auto"/>
        </w:rPr>
      </w:pPr>
    </w:p>
    <w:p>
      <w:pPr>
        <w:ind w:right="780" w:firstLine="351"/>
        <w:spacing w:after="0" w:line="306" w:lineRule="auto"/>
        <w:rPr>
          <w:sz w:val="20"/>
          <w:szCs w:val="20"/>
          <w:color w:val="auto"/>
        </w:rPr>
      </w:pPr>
      <w:r>
        <w:rPr>
          <w:rFonts w:ascii="Arial" w:cs="Arial" w:eastAsia="Arial" w:hAnsi="Arial"/>
          <w:sz w:val="16"/>
          <w:szCs w:val="16"/>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Subject to the limitations on the transfer of their shares (see “Selling Securityholders” below), the selling securityholders also may resell all or a portion of the securities offered hereby in open market transactions in reliance upon Rule 144 under the Securities Act, provided they meet the criteria and conform to the requirements of Rule 144.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name of the selling securityholder and of the participating broker-dealer(s);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number and type of securities involved;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initial price at which such securities were sold;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commissions paid or discounts or concessions allowed to such broker-dealer(s), where applicable;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such broker-dealer(s) did not conduct any investigation to verify the information set out or incorporated by reference in this prospectus;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other facts material to the transaction.</w:t>
      </w:r>
    </w:p>
    <w:p>
      <w:pPr>
        <w:spacing w:after="0" w:line="200" w:lineRule="exact"/>
        <w:rPr>
          <w:sz w:val="20"/>
          <w:szCs w:val="20"/>
          <w:color w:val="auto"/>
        </w:rPr>
      </w:pPr>
    </w:p>
    <w:p>
      <w:pPr>
        <w:spacing w:after="0" w:line="26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9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9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9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33,681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9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covered by this prospectus were issued to the selling securityholders pursuant to the following transactions.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September 2006, we closed definitive agreements with our lender banks, Bank Hapoalim B.M. and Bank Leumi Le-Israel B.M., and Israel Corp., one of our major shareholders, pursuant to which: (i) $158 million of long-term debt was converted by our banks into equity equivalent convertible capital notes, convertible into 51,973,684 ordinary shares; and (ii) $100 million was invested by Israel Corp. in consideration for an equity equivalent convertible capital note, convertible into 65,789,474 ordinary shares. Israel Corp. and our lender banks may use this prospectus to resell, in the aggregate, up to 117,763,158 ordinary shares issuable upon conversion of capital notes.</w:t>
      </w:r>
    </w:p>
    <w:p>
      <w:pPr>
        <w:spacing w:after="0" w:line="19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Information concerning the material relationships between us and the selling securityholders can be found in our reports incorporated herein by reference into this prospectus, particularly Item 4. “Information on the Company – A. History and Development of the Company – Recent Developments”, Item 5. “Operating and Financial Review and Prospects – B. Liquidity and Capital Resources – Fab 2 Agreements” and Item 7. “Major Shareholders and Related Party Transactions – Major Shareholders” of our annual report on Form 20-F for the year ended December 31, 2005, filed on July 13, 2006, and in notes 1C and 3B to the interim financial statements attached as Exhibit 99.1 to our report on Form 6-K filed on November 7, 2006.</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Nothing in this Registration Statement shall be construed as an admission that any selling securityholder is the beneficial owner of any of our securities, other than the securities held directly by such party, nor that any selling securityholder or other persons or entities constitute a “group”, for purposes of Section 13(d) of the Exchange Act and the rules promulgated thereunder.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otherwise noted below none of the selling securityholders are broker-dealers or affiliates of 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31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331470"/>
                    </a:xfrm>
                    <a:prstGeom prst="rect">
                      <a:avLst/>
                    </a:prstGeom>
                    <a:noFill/>
                  </pic:spPr>
                </pic:pic>
              </a:graphicData>
            </a:graphic>
          </wp:anchor>
        </w:drawing>
      </w:r>
    </w:p>
    <w:p>
      <w:pPr>
        <w:spacing w:after="0" w:line="250"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Names and Addresses</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Securities Being Offered</w:t>
            </w:r>
          </w:p>
        </w:tc>
        <w:tc>
          <w:tcPr>
            <w:tcW w:w="280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Securities Beneficially</w:t>
            </w:r>
          </w:p>
        </w:tc>
        <w:tc>
          <w:tcPr>
            <w:tcW w:w="2800" w:type="dxa"/>
            <w:vAlign w:val="bottom"/>
          </w:tcPr>
          <w:p>
            <w:pPr>
              <w:jc w:val="center"/>
              <w:ind w:left="392"/>
              <w:spacing w:after="0"/>
              <w:rPr>
                <w:sz w:val="20"/>
                <w:szCs w:val="20"/>
                <w:color w:val="auto"/>
              </w:rPr>
            </w:pPr>
            <w:r>
              <w:rPr>
                <w:rFonts w:ascii="Arial" w:cs="Arial" w:eastAsia="Arial" w:hAnsi="Arial"/>
                <w:sz w:val="18"/>
                <w:szCs w:val="18"/>
                <w:b w:val="1"/>
                <w:bCs w:val="1"/>
                <w:color w:val="auto"/>
                <w:w w:val="87"/>
              </w:rPr>
              <w:t>Securities Beneficially Owned</w:t>
            </w:r>
          </w:p>
        </w:tc>
      </w:tr>
      <w:tr>
        <w:trPr>
          <w:trHeight w:val="235"/>
        </w:trPr>
        <w:tc>
          <w:tcPr>
            <w:tcW w:w="164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Owned Prior to Offering /</w:t>
            </w:r>
          </w:p>
        </w:tc>
        <w:tc>
          <w:tcPr>
            <w:tcW w:w="2800" w:type="dxa"/>
            <w:vAlign w:val="bottom"/>
          </w:tcPr>
          <w:p>
            <w:pPr>
              <w:jc w:val="center"/>
              <w:ind w:left="412"/>
              <w:spacing w:after="0"/>
              <w:rPr>
                <w:sz w:val="20"/>
                <w:szCs w:val="20"/>
                <w:color w:val="auto"/>
              </w:rPr>
            </w:pPr>
            <w:r>
              <w:rPr>
                <w:rFonts w:ascii="Arial" w:cs="Arial" w:eastAsia="Arial" w:hAnsi="Arial"/>
                <w:sz w:val="18"/>
                <w:szCs w:val="18"/>
                <w:b w:val="1"/>
                <w:bCs w:val="1"/>
                <w:color w:val="auto"/>
                <w:w w:val="89"/>
              </w:rPr>
              <w:t>Upon Completion of Offering /</w:t>
            </w:r>
          </w:p>
        </w:tc>
      </w:tr>
    </w:tbl>
    <w:p>
      <w:pPr>
        <w:sectPr>
          <w:pgSz w:w="11900" w:h="16895" w:orient="portrait"/>
          <w:cols w:equalWidth="0" w:num="1">
            <w:col w:w="11420"/>
          </w:cols>
          <w:pgMar w:left="240" w:top="13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5"/>
              </w:rPr>
              <w:t>Percentage of Class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1</w:t>
            </w:r>
          </w:p>
        </w:tc>
        <w:tc>
          <w:tcPr>
            <w:tcW w:w="360" w:type="dxa"/>
            <w:vAlign w:val="bottom"/>
          </w:tcPr>
          <w:p>
            <w:pPr>
              <w:spacing w:after="0"/>
              <w:rPr>
                <w:sz w:val="19"/>
                <w:szCs w:val="19"/>
                <w:color w:val="auto"/>
              </w:rPr>
            </w:pPr>
          </w:p>
        </w:tc>
        <w:tc>
          <w:tcPr>
            <w:tcW w:w="1260" w:type="dxa"/>
            <w:vAlign w:val="bottom"/>
            <w:vMerge w:val="restart"/>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Percentage of Class</w:t>
            </w:r>
          </w:p>
        </w:tc>
        <w:tc>
          <w:tcPr>
            <w:tcW w:w="9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Borders>
              <w:bottom w:val="single" w:sz="8" w:color="auto"/>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400" w:type="dxa"/>
            <w:vAlign w:val="bottom"/>
            <w:gridSpan w:val="2"/>
          </w:tcPr>
          <w:p>
            <w:pPr>
              <w:ind w:left="60"/>
              <w:spacing w:after="0" w:line="288" w:lineRule="exact"/>
              <w:rPr>
                <w:sz w:val="20"/>
                <w:szCs w:val="20"/>
                <w:color w:val="auto"/>
              </w:rPr>
            </w:pPr>
            <w:r>
              <w:rPr>
                <w:rFonts w:ascii="Arial" w:cs="Arial" w:eastAsia="Arial" w:hAnsi="Arial"/>
                <w:sz w:val="18"/>
                <w:szCs w:val="18"/>
                <w:color w:val="auto"/>
              </w:rPr>
              <w:t xml:space="preserve">Israel Corporation Ltd. </w:t>
            </w:r>
            <w:r>
              <w:rPr>
                <w:rFonts w:ascii="Arial" w:cs="Arial" w:eastAsia="Arial" w:hAnsi="Arial"/>
                <w:sz w:val="29"/>
                <w:szCs w:val="29"/>
                <w:color w:val="auto"/>
                <w:vertAlign w:val="superscript"/>
              </w:rPr>
              <w:t>6,8</w:t>
            </w:r>
          </w:p>
        </w:tc>
        <w:tc>
          <w:tcPr>
            <w:tcW w:w="2360" w:type="dxa"/>
            <w:vAlign w:val="bottom"/>
          </w:tcPr>
          <w:p>
            <w:pPr>
              <w:ind w:left="500"/>
              <w:spacing w:after="0" w:line="288" w:lineRule="exact"/>
              <w:rPr>
                <w:sz w:val="20"/>
                <w:szCs w:val="20"/>
                <w:color w:val="auto"/>
              </w:rPr>
            </w:pPr>
            <w:r>
              <w:rPr>
                <w:rFonts w:ascii="Arial" w:cs="Arial" w:eastAsia="Arial" w:hAnsi="Arial"/>
                <w:sz w:val="18"/>
                <w:szCs w:val="18"/>
                <w:color w:val="auto"/>
              </w:rPr>
              <w:t xml:space="preserve">65,789,474 Shares </w:t>
            </w:r>
            <w:r>
              <w:rPr>
                <w:rFonts w:ascii="Arial" w:cs="Arial" w:eastAsia="Arial" w:hAnsi="Arial"/>
                <w:sz w:val="29"/>
                <w:szCs w:val="29"/>
                <w:color w:val="auto"/>
                <w:vertAlign w:val="superscript"/>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98,290,707</w:t>
            </w:r>
          </w:p>
        </w:tc>
        <w:tc>
          <w:tcPr>
            <w:tcW w:w="1700" w:type="dxa"/>
            <w:vAlign w:val="bottom"/>
            <w:gridSpan w:val="3"/>
          </w:tcPr>
          <w:p>
            <w:pPr>
              <w:ind w:left="20"/>
              <w:spacing w:after="0" w:line="288"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53.19%</w:t>
            </w:r>
          </w:p>
        </w:tc>
        <w:tc>
          <w:tcPr>
            <w:tcW w:w="3700" w:type="dxa"/>
            <w:vAlign w:val="bottom"/>
            <w:gridSpan w:val="4"/>
          </w:tcPr>
          <w:p>
            <w:pPr>
              <w:ind w:left="340"/>
              <w:spacing w:after="0"/>
              <w:rPr>
                <w:sz w:val="20"/>
                <w:szCs w:val="20"/>
                <w:color w:val="auto"/>
              </w:rPr>
            </w:pPr>
            <w:r>
              <w:rPr>
                <w:rFonts w:ascii="Arial" w:cs="Arial" w:eastAsia="Arial" w:hAnsi="Arial"/>
                <w:sz w:val="18"/>
                <w:szCs w:val="18"/>
                <w:color w:val="auto"/>
              </w:rPr>
              <w:t>32,501,233 Shares / 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23 Arania Street</w:t>
            </w: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Millenium Tower</w:t>
            </w: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Tel-Aviv, Israel 61204</w:t>
            </w:r>
          </w:p>
        </w:tc>
        <w:tc>
          <w:tcPr>
            <w:tcW w:w="2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400" w:type="dxa"/>
            <w:vAlign w:val="bottom"/>
            <w:gridSpan w:val="2"/>
          </w:tcPr>
          <w:p>
            <w:pPr>
              <w:ind w:left="60"/>
              <w:spacing w:after="0" w:line="288" w:lineRule="exact"/>
              <w:rPr>
                <w:sz w:val="20"/>
                <w:szCs w:val="20"/>
                <w:color w:val="auto"/>
              </w:rPr>
            </w:pPr>
            <w:r>
              <w:rPr>
                <w:rFonts w:ascii="Arial" w:cs="Arial" w:eastAsia="Arial" w:hAnsi="Arial"/>
                <w:sz w:val="18"/>
                <w:szCs w:val="18"/>
                <w:color w:val="auto"/>
              </w:rPr>
              <w:t xml:space="preserve">Bank Hapoalim </w:t>
            </w:r>
            <w:r>
              <w:rPr>
                <w:rFonts w:ascii="Arial" w:cs="Arial" w:eastAsia="Arial" w:hAnsi="Arial"/>
                <w:sz w:val="29"/>
                <w:szCs w:val="29"/>
                <w:color w:val="auto"/>
                <w:vertAlign w:val="superscript"/>
              </w:rPr>
              <w:t>7, 8</w:t>
            </w:r>
          </w:p>
        </w:tc>
        <w:tc>
          <w:tcPr>
            <w:tcW w:w="2360" w:type="dxa"/>
            <w:vAlign w:val="bottom"/>
          </w:tcPr>
          <w:p>
            <w:pPr>
              <w:ind w:left="500"/>
              <w:spacing w:after="0" w:line="288" w:lineRule="exact"/>
              <w:rPr>
                <w:sz w:val="20"/>
                <w:szCs w:val="20"/>
                <w:color w:val="auto"/>
              </w:rPr>
            </w:pPr>
            <w:r>
              <w:rPr>
                <w:rFonts w:ascii="Arial" w:cs="Arial" w:eastAsia="Arial" w:hAnsi="Arial"/>
                <w:sz w:val="18"/>
                <w:szCs w:val="18"/>
                <w:color w:val="auto"/>
              </w:rPr>
              <w:t xml:space="preserve">25,986,842 Shares </w:t>
            </w:r>
            <w:r>
              <w:rPr>
                <w:rFonts w:ascii="Arial" w:cs="Arial" w:eastAsia="Arial" w:hAnsi="Arial"/>
                <w:sz w:val="29"/>
                <w:szCs w:val="29"/>
                <w:color w:val="auto"/>
                <w:vertAlign w:val="superscript"/>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30,567,372</w:t>
            </w:r>
          </w:p>
        </w:tc>
        <w:tc>
          <w:tcPr>
            <w:tcW w:w="1700" w:type="dxa"/>
            <w:vAlign w:val="bottom"/>
            <w:gridSpan w:val="3"/>
          </w:tcPr>
          <w:p>
            <w:pPr>
              <w:ind w:left="20"/>
              <w:spacing w:after="0" w:line="288"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4</w:t>
            </w:r>
            <w:r>
              <w:rPr>
                <w:rFonts w:ascii="Arial" w:cs="Arial" w:eastAsia="Arial" w:hAnsi="Arial"/>
                <w:sz w:val="18"/>
                <w:szCs w:val="18"/>
                <w:color w:val="auto"/>
              </w:rPr>
              <w:t>/ 23.28%</w:t>
            </w:r>
          </w:p>
        </w:tc>
        <w:tc>
          <w:tcPr>
            <w:tcW w:w="3700" w:type="dxa"/>
            <w:vAlign w:val="bottom"/>
            <w:gridSpan w:val="4"/>
          </w:tcPr>
          <w:p>
            <w:pPr>
              <w:ind w:left="340"/>
              <w:spacing w:after="0"/>
              <w:rPr>
                <w:sz w:val="20"/>
                <w:szCs w:val="20"/>
                <w:color w:val="auto"/>
              </w:rPr>
            </w:pPr>
            <w:r>
              <w:rPr>
                <w:rFonts w:ascii="Arial" w:cs="Arial" w:eastAsia="Arial" w:hAnsi="Arial"/>
                <w:sz w:val="18"/>
                <w:szCs w:val="18"/>
                <w:color w:val="auto"/>
              </w:rPr>
              <w:t>4,580,530 Shares /4.35 %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Zion Building</w:t>
            </w: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45 Rothschild Boulevard</w:t>
            </w: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Tel-Aviv, Israel</w:t>
            </w:r>
          </w:p>
        </w:tc>
        <w:tc>
          <w:tcPr>
            <w:tcW w:w="2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400" w:type="dxa"/>
            <w:vAlign w:val="bottom"/>
            <w:gridSpan w:val="2"/>
          </w:tcPr>
          <w:p>
            <w:pPr>
              <w:ind w:left="60"/>
              <w:spacing w:after="0" w:line="288" w:lineRule="exact"/>
              <w:rPr>
                <w:sz w:val="20"/>
                <w:szCs w:val="20"/>
                <w:color w:val="auto"/>
              </w:rPr>
            </w:pPr>
            <w:r>
              <w:rPr>
                <w:rFonts w:ascii="Arial" w:cs="Arial" w:eastAsia="Arial" w:hAnsi="Arial"/>
                <w:sz w:val="18"/>
                <w:szCs w:val="18"/>
                <w:color w:val="auto"/>
              </w:rPr>
              <w:t xml:space="preserve">Bank Leumi </w:t>
            </w:r>
            <w:r>
              <w:rPr>
                <w:rFonts w:ascii="Arial" w:cs="Arial" w:eastAsia="Arial" w:hAnsi="Arial"/>
                <w:sz w:val="29"/>
                <w:szCs w:val="29"/>
                <w:color w:val="auto"/>
                <w:vertAlign w:val="superscript"/>
              </w:rPr>
              <w:t>7, 8</w:t>
            </w:r>
          </w:p>
        </w:tc>
        <w:tc>
          <w:tcPr>
            <w:tcW w:w="2360" w:type="dxa"/>
            <w:vAlign w:val="bottom"/>
          </w:tcPr>
          <w:p>
            <w:pPr>
              <w:ind w:left="500"/>
              <w:spacing w:after="0" w:line="288" w:lineRule="exact"/>
              <w:rPr>
                <w:sz w:val="20"/>
                <w:szCs w:val="20"/>
                <w:color w:val="auto"/>
              </w:rPr>
            </w:pPr>
            <w:r>
              <w:rPr>
                <w:rFonts w:ascii="Arial" w:cs="Arial" w:eastAsia="Arial" w:hAnsi="Arial"/>
                <w:sz w:val="18"/>
                <w:szCs w:val="18"/>
                <w:color w:val="auto"/>
              </w:rPr>
              <w:t xml:space="preserve">25,986,842 Shares </w:t>
            </w:r>
            <w:r>
              <w:rPr>
                <w:rFonts w:ascii="Arial" w:cs="Arial" w:eastAsia="Arial" w:hAnsi="Arial"/>
                <w:sz w:val="29"/>
                <w:szCs w:val="29"/>
                <w:color w:val="auto"/>
                <w:vertAlign w:val="superscript"/>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30,567,372</w:t>
            </w:r>
          </w:p>
        </w:tc>
        <w:tc>
          <w:tcPr>
            <w:tcW w:w="1700" w:type="dxa"/>
            <w:vAlign w:val="bottom"/>
            <w:gridSpan w:val="3"/>
          </w:tcPr>
          <w:p>
            <w:pPr>
              <w:ind w:left="20"/>
              <w:spacing w:after="0" w:line="288"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5</w:t>
            </w:r>
            <w:r>
              <w:rPr>
                <w:rFonts w:ascii="Arial" w:cs="Arial" w:eastAsia="Arial" w:hAnsi="Arial"/>
                <w:sz w:val="18"/>
                <w:szCs w:val="18"/>
                <w:color w:val="auto"/>
              </w:rPr>
              <w:t>/ 23.28%</w:t>
            </w:r>
          </w:p>
        </w:tc>
        <w:tc>
          <w:tcPr>
            <w:tcW w:w="3700" w:type="dxa"/>
            <w:vAlign w:val="bottom"/>
            <w:gridSpan w:val="4"/>
          </w:tcPr>
          <w:p>
            <w:pPr>
              <w:ind w:left="340"/>
              <w:spacing w:after="0"/>
              <w:rPr>
                <w:sz w:val="20"/>
                <w:szCs w:val="20"/>
                <w:color w:val="auto"/>
              </w:rPr>
            </w:pPr>
            <w:r>
              <w:rPr>
                <w:rFonts w:ascii="Arial" w:cs="Arial" w:eastAsia="Arial" w:hAnsi="Arial"/>
                <w:sz w:val="18"/>
                <w:szCs w:val="18"/>
                <w:color w:val="auto"/>
              </w:rPr>
              <w:t>4,580,530 Shares / 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34 Yehuda Halevi Street</w:t>
            </w: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Tel-Aviv, Israel</w:t>
            </w:r>
          </w:p>
        </w:tc>
        <w:tc>
          <w:tcPr>
            <w:tcW w:w="2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-2228850</wp:posOffset>
            </wp:positionV>
            <wp:extent cx="42545" cy="2011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545" cy="201104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-2228850</wp:posOffset>
            </wp:positionV>
            <wp:extent cx="42545" cy="2002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45" cy="20021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-2228850</wp:posOffset>
            </wp:positionV>
            <wp:extent cx="42545" cy="2002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45" cy="200215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-2228850</wp:posOffset>
            </wp:positionV>
            <wp:extent cx="42545" cy="2011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45" cy="201104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-2228850</wp:posOffset>
            </wp:positionV>
            <wp:extent cx="42545" cy="2002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545" cy="2002155"/>
                    </a:xfrm>
                    <a:prstGeom prst="rect">
                      <a:avLst/>
                    </a:prstGeom>
                    <a:noFill/>
                  </pic:spPr>
                </pic:pic>
              </a:graphicData>
            </a:graphic>
          </wp:anchor>
        </w:drawing>
      </w:r>
    </w:p>
    <w:p>
      <w:pPr>
        <w:spacing w:after="0" w:line="323" w:lineRule="exact"/>
        <w:rPr>
          <w:sz w:val="20"/>
          <w:szCs w:val="20"/>
          <w:color w:val="auto"/>
        </w:rPr>
      </w:pPr>
    </w:p>
    <w:p>
      <w:pPr>
        <w:ind w:left="1160" w:right="80" w:hanging="571"/>
        <w:spacing w:after="0" w:line="194" w:lineRule="auto"/>
        <w:tabs>
          <w:tab w:leader="none" w:pos="116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Beneficial ownership is calculated as of December 31, 2006 in accordance with General Instruction F. to Form 20-F and is based on 100,752,767 ordinary shares outstanding.</w:t>
      </w:r>
    </w:p>
    <w:p>
      <w:pPr>
        <w:ind w:left="1160" w:hanging="571"/>
        <w:spacing w:after="0" w:line="181" w:lineRule="auto"/>
        <w:tabs>
          <w:tab w:leader="none" w:pos="116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To be issued upon conversion of equity equivalent convertible capital notes at a price of $1.52 aggregate principal amount per share.</w:t>
      </w:r>
    </w:p>
    <w:p>
      <w:pPr>
        <w:ind w:left="1160" w:hanging="571"/>
        <w:spacing w:after="0" w:line="181" w:lineRule="auto"/>
        <w:tabs>
          <w:tab w:leader="none" w:pos="116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Includes 58,906 ordinary shares issuable upon exercise of warrants and 18,181,823 ordinary shares issuable upon conversion of debentures.</w:t>
      </w:r>
    </w:p>
    <w:p>
      <w:pPr>
        <w:ind w:left="1160" w:hanging="571"/>
        <w:spacing w:after="0" w:line="180" w:lineRule="auto"/>
        <w:tabs>
          <w:tab w:leader="none" w:pos="116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Includes 4,132,232 ordinary shares issuable upon exercise of selling securityholder’s warrants and 448,298 ordinary shares issuable upon</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exercise of warrants issued to Tarshish Hahzakot Vehashkaot Hapoalim Ltd., a subsidiary of selling securityholder.</w:t>
      </w:r>
    </w:p>
    <w:p>
      <w:pPr>
        <w:ind w:left="1160" w:hanging="571"/>
        <w:spacing w:after="0" w:line="181" w:lineRule="auto"/>
        <w:tabs>
          <w:tab w:leader="none" w:pos="116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Includes 4,580,530 ordinary shares issuable upon exercise of selling securityholder’s warrants.</w:t>
      </w:r>
    </w:p>
    <w:p>
      <w:pPr>
        <w:ind w:left="1160" w:hanging="571"/>
        <w:spacing w:after="0" w:line="181" w:lineRule="auto"/>
        <w:tabs>
          <w:tab w:leader="none" w:pos="116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Under a shareholders agreement described below, SanDisk Corporation, Israel Corporation, Alliance Semiconductor Ltd. and Macronix</w:t>
      </w:r>
    </w:p>
    <w:p>
      <w:pPr>
        <w:spacing w:after="0" w:line="210" w:lineRule="exact"/>
        <w:rPr>
          <w:sz w:val="20"/>
          <w:szCs w:val="20"/>
          <w:color w:val="auto"/>
        </w:rPr>
      </w:pPr>
    </w:p>
    <w:p>
      <w:pPr>
        <w:ind w:left="1160" w:right="120" w:hanging="571"/>
        <w:spacing w:after="0" w:line="217" w:lineRule="auto"/>
        <w:tabs>
          <w:tab w:leader="none" w:pos="116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securities at the time it purchased the securities.</w:t>
      </w:r>
    </w:p>
    <w:p>
      <w:pPr>
        <w:ind w:left="1160" w:hanging="571"/>
        <w:spacing w:after="0" w:line="180" w:lineRule="auto"/>
        <w:tabs>
          <w:tab w:leader="none" w:pos="116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This selling securityholder is a public company registered with the Israel Securities Authority.</w:t>
      </w:r>
    </w:p>
    <w:p>
      <w:pPr>
        <w:spacing w:after="0" w:line="200" w:lineRule="exact"/>
        <w:rPr>
          <w:sz w:val="20"/>
          <w:szCs w:val="20"/>
          <w:color w:val="auto"/>
        </w:rPr>
      </w:pPr>
    </w:p>
    <w:p>
      <w:pPr>
        <w:spacing w:after="0" w:line="25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Israel Corp. to serve as Chairman of the Board, unless agreed to otherwise,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31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ectPr>
          <w:pgSz w:w="11900" w:h="16838" w:orient="portrait"/>
          <w:cols w:equalWidth="0" w:num="1">
            <w:col w:w="11420"/>
          </w:cols>
          <w:pgMar w:left="240" w:top="88" w:right="239" w:bottom="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As of December 31, 2006, 100,752,767 of our ordinary shares were outstanding. The above numbers of outstanding ordinary shares do not include 1.3 million treasury shares held by us through a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Israeli Capital Gains Tax</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January 1, 2006 an amendment to the Israeli tax regime became effective (the “2006 Tax Reform”). The 2006 Tax Reform significantly changed the tax rates applicable to income derived from shares.</w:t>
      </w:r>
    </w:p>
    <w:p>
      <w:pPr>
        <w:spacing w:after="0" w:line="186"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2"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ectPr>
          <w:pgSz w:w="11900" w:h="16838" w:orient="portrait"/>
          <w:cols w:equalWidth="0" w:num="1">
            <w:col w:w="11400"/>
          </w:cols>
          <w:pgMar w:left="240" w:top="131" w:right="259" w:bottom="0" w:gutter="0" w:footer="0" w:header="0"/>
        </w:sectPr>
      </w:pPr>
    </w:p>
    <w:bookmarkStart w:id="16" w:name="page17"/>
    <w:bookmarkEnd w:id="16"/>
    <w:p>
      <w:pPr>
        <w:ind w:right="60" w:firstLine="351"/>
        <w:spacing w:after="0" w:line="268"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Israeli Tax on Dividend Income</w:t>
      </w:r>
    </w:p>
    <w:p>
      <w:pPr>
        <w:spacing w:after="0" w:line="225"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PFIC Rules</w:t>
      </w:r>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ectPr>
          <w:pgSz w:w="11900" w:h="16838" w:orient="portrait"/>
          <w:cols w:equalWidth="0" w:num="1">
            <w:col w:w="11400"/>
          </w:cols>
          <w:pgMar w:left="240" w:top="131" w:right="25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99"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9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audited consolidated financial statements incorporated in this prospectus by reference from the company’s Annual Report on Form 20-F for the year ended December 31, 2005 have been audited by Brightman Almagor &amp; Co., a member firm of Deloitte Touche Tohmatsu, an independent registered public accounting firm, as stated in its report, which is incorporated herein by reference (which report expressed an unqualified opinion and includes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 It may be difficult to enforce a U.S. judgment against us, our officers and directors and some of the experts named in this prospectus or to assert U.S. securities law claims in Israel.”</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2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2005, filed on July 13, 2006, to the extent the information in that report has not been updated or superseded by this prospectus;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3 (filed on July 26, 2006).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2 (filed on September 12,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3 (filed on September 13,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5 (filed on September 25, 2006).</w:t>
      </w:r>
    </w:p>
    <w:p>
      <w:pPr>
        <w:sectPr>
          <w:pgSz w:w="11900" w:h="16838" w:orient="portrait"/>
          <w:cols w:equalWidth="0" w:num="1">
            <w:col w:w="11420"/>
          </w:cols>
          <w:pgMar w:left="240" w:top="125" w:right="239" w:bottom="0" w:gutter="0" w:footer="0" w:header="0"/>
        </w:sectPr>
      </w:pPr>
    </w:p>
    <w:bookmarkStart w:id="18" w:name="page19"/>
    <w:bookmarkEnd w:id="18"/>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2006 No. 1 (filed on October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5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8 (filed on November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4 (filed on December 28, 2006).</w:t>
      </w:r>
    </w:p>
    <w:p>
      <w:pPr>
        <w:spacing w:after="0" w:line="252" w:lineRule="exact"/>
        <w:rPr>
          <w:sz w:val="20"/>
          <w:szCs w:val="20"/>
          <w:color w:val="auto"/>
        </w:rPr>
      </w:pPr>
    </w:p>
    <w:p>
      <w:pPr>
        <w:ind w:left="1720" w:right="2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294005</wp:posOffset>
            </wp:positionV>
            <wp:extent cx="2058035" cy="677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117,763,158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144780</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200025</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ectPr>
          <w:pgSz w:w="11900" w:h="16838" w:orient="portrait"/>
          <w:cols w:equalWidth="0" w:num="1">
            <w:col w:w="11360"/>
          </w:cols>
          <w:pgMar w:left="240" w:top="374" w:right="299" w:bottom="3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January __, 2007</w:t>
      </w:r>
    </w:p>
    <w:p>
      <w:pPr>
        <w:sectPr>
          <w:pgSz w:w="11900" w:h="16838" w:orient="portrait"/>
          <w:cols w:equalWidth="0" w:num="1">
            <w:col w:w="11360"/>
          </w:cols>
          <w:pgMar w:left="240" w:top="374" w:right="299" w:bottom="34" w:gutter="0" w:footer="0" w:header="0"/>
          <w:type w:val="continuous"/>
        </w:sectPr>
      </w:pPr>
    </w:p>
    <w:bookmarkStart w:id="19" w:name="page20"/>
    <w:bookmarkEnd w:id="19"/>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jc w:val="both"/>
        <w:ind w:left="580" w:right="80" w:hanging="572"/>
        <w:spacing w:after="0" w:line="25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60" w:hanging="571"/>
        <w:spacing w:after="0" w:line="259" w:lineRule="auto"/>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160" w:hanging="571"/>
        <w:spacing w:after="0" w:line="298" w:lineRule="auto"/>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160" w:right="20" w:hanging="571"/>
        <w:spacing w:after="0" w:line="291" w:lineRule="auto"/>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220" w:hanging="571"/>
        <w:spacing w:after="0" w:line="306"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8" w:lineRule="exact"/>
        <w:rPr>
          <w:sz w:val="20"/>
          <w:szCs w:val="20"/>
          <w:color w:val="auto"/>
        </w:rPr>
      </w:pPr>
    </w:p>
    <w:p>
      <w:pPr>
        <w:ind w:left="1160" w:hanging="571"/>
        <w:spacing w:after="0"/>
        <w:tabs>
          <w:tab w:leader="none" w:pos="11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a breach of his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780" w:hanging="571"/>
        <w:spacing w:after="0" w:line="203" w:lineRule="auto"/>
        <w:tabs>
          <w:tab w:leader="none" w:pos="11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149"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an act or omission done with the intent to unlawfully realize personal gain; or</w:t>
      </w:r>
    </w:p>
    <w:p>
      <w:pPr>
        <w:spacing w:after="0" w:line="148"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w:t>
      </w:r>
    </w:p>
    <w:p>
      <w:pPr>
        <w:spacing w:after="0" w:line="200" w:lineRule="exact"/>
        <w:rPr>
          <w:sz w:val="20"/>
          <w:szCs w:val="20"/>
          <w:color w:val="auto"/>
        </w:rPr>
      </w:pPr>
    </w:p>
    <w:p>
      <w:pPr>
        <w:spacing w:after="0" w:line="253"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w:t>
      </w:r>
    </w:p>
    <w:p>
      <w:pPr>
        <w:sectPr>
          <w:pgSz w:w="11900" w:h="16858" w:orient="portrait"/>
          <w:cols w:equalWidth="0" w:num="1">
            <w:col w:w="11420"/>
          </w:cols>
          <w:pgMar w:left="240" w:top="131"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responsibility without regard to such person’s title.</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Arial" w:cs="Arial" w:eastAsia="Arial" w:hAnsi="Arial"/>
                <w:sz w:val="18"/>
                <w:szCs w:val="18"/>
                <w:color w:val="auto"/>
              </w:rPr>
              <w:t>2</w:t>
            </w: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19"/>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6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102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Numbers</w:t>
            </w:r>
          </w:p>
        </w:tc>
        <w:tc>
          <w:tcPr>
            <w:tcW w:w="1004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 of Document</w:t>
            </w: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71"/>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number exhibit filed with the Registrant’s Registration Statement on Form F-1, File No. 333-0126909). Pursuant to approvals by shareholders,</w:t>
            </w:r>
          </w:p>
        </w:tc>
      </w:tr>
      <w:tr>
        <w:trPr>
          <w:trHeight w:val="222"/>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 of Attorney (set forth on signature page)</w:t>
            </w:r>
          </w:p>
        </w:tc>
      </w:tr>
      <w:tr>
        <w:trPr>
          <w:trHeight w:val="675"/>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gridSpan w:val="2"/>
          </w:tcPr>
          <w:p>
            <w:pPr>
              <w:ind w:left="4300"/>
              <w:spacing w:after="0"/>
              <w:rPr>
                <w:sz w:val="20"/>
                <w:szCs w:val="20"/>
                <w:color w:val="auto"/>
              </w:rPr>
            </w:pPr>
            <w:r>
              <w:rPr>
                <w:rFonts w:ascii="Arial" w:cs="Arial" w:eastAsia="Arial" w:hAnsi="Arial"/>
                <w:sz w:val="18"/>
                <w:szCs w:val="18"/>
                <w:color w:val="auto"/>
              </w:rPr>
              <w:t>3</w:t>
            </w: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19"/>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10.</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UNDERTAKINGS</w:t>
            </w:r>
          </w:p>
        </w:tc>
      </w:tr>
    </w:tbl>
    <w:p>
      <w:pPr>
        <w:spacing w:after="0" w:line="200" w:lineRule="exact"/>
        <w:rPr>
          <w:sz w:val="20"/>
          <w:szCs w:val="20"/>
          <w:color w:val="auto"/>
        </w:rPr>
      </w:pPr>
    </w:p>
    <w:p>
      <w:pPr>
        <w:spacing w:after="0" w:line="253" w:lineRule="exact"/>
        <w:rPr>
          <w:sz w:val="20"/>
          <w:szCs w:val="20"/>
          <w:color w:val="auto"/>
        </w:rPr>
      </w:pPr>
    </w:p>
    <w:p>
      <w:pPr>
        <w:ind w:left="720" w:hanging="53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60" w:firstLine="184"/>
        <w:spacing w:after="0" w:line="291" w:lineRule="auto"/>
        <w:tabs>
          <w:tab w:leader="none" w:pos="13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420" w:firstLine="184"/>
        <w:spacing w:after="0" w:line="268" w:lineRule="auto"/>
        <w:tabs>
          <w:tab w:leader="none" w:pos="13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right="240" w:firstLine="184"/>
        <w:spacing w:after="0" w:line="259" w:lineRule="auto"/>
        <w:tabs>
          <w:tab w:leader="none" w:pos="7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314" w:lineRule="auto"/>
        <w:tabs>
          <w:tab w:leader="none" w:pos="731"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5"/>
          <w:szCs w:val="15"/>
          <w:i w:val="1"/>
          <w:iCs w:val="1"/>
          <w:color w:val="auto"/>
        </w:rPr>
        <w:t>provided</w:t>
      </w:r>
      <w:r>
        <w:rPr>
          <w:rFonts w:ascii="Arial" w:cs="Arial" w:eastAsia="Arial" w:hAnsi="Arial"/>
          <w:sz w:val="15"/>
          <w:szCs w:val="15"/>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w:t>
      </w:r>
    </w:p>
    <w:p>
      <w:pPr>
        <w:sectPr>
          <w:pgSz w:w="11900" w:h="16838" w:orient="portrait"/>
          <w:cols w:equalWidth="0" w:num="1">
            <w:col w:w="11420"/>
          </w:cols>
          <w:pgMar w:left="240" w:top="131" w:right="239" w:bottom="0" w:gutter="0" w:footer="0" w:header="0"/>
        </w:sectPr>
      </w:pPr>
    </w:p>
    <w:bookmarkStart w:id="21" w:name="page22"/>
    <w:bookmarkEnd w:id="21"/>
    <w:p>
      <w:pPr>
        <w:ind w:right="160"/>
        <w:spacing w:after="0" w:line="268" w:lineRule="auto"/>
        <w:rPr>
          <w:sz w:val="20"/>
          <w:szCs w:val="20"/>
          <w:color w:val="auto"/>
        </w:rPr>
      </w:pPr>
      <w:r>
        <w:rPr>
          <w:rFonts w:ascii="Arial" w:cs="Arial" w:eastAsia="Arial" w:hAnsi="Arial"/>
          <w:sz w:val="18"/>
          <w:szCs w:val="18"/>
          <w:color w:val="auto"/>
        </w:rPr>
        <w:t>periodic reports filed with or furnished to the Commission by the Registrant pursuant to Section 13 or Section 15(d) of the Securities Exchange Act of 1934 that are incorporated by reference in the Form F-3.</w:t>
      </w:r>
    </w:p>
    <w:p>
      <w:pPr>
        <w:spacing w:after="0" w:line="186" w:lineRule="exact"/>
        <w:rPr>
          <w:sz w:val="20"/>
          <w:szCs w:val="20"/>
          <w:color w:val="auto"/>
        </w:rPr>
      </w:pPr>
    </w:p>
    <w:p>
      <w:pPr>
        <w:ind w:left="5680" w:right="3960" w:hanging="5496"/>
        <w:spacing w:after="0" w:line="519" w:lineRule="auto"/>
        <w:tabs>
          <w:tab w:leader="none" w:pos="7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4</w:t>
      </w:r>
    </w:p>
    <w:p>
      <w:pPr>
        <w:spacing w:after="0" w:line="90" w:lineRule="exact"/>
        <w:rPr>
          <w:rFonts w:ascii="Arial" w:cs="Arial" w:eastAsia="Arial" w:hAnsi="Arial"/>
          <w:sz w:val="18"/>
          <w:szCs w:val="18"/>
          <w:color w:val="auto"/>
        </w:rPr>
      </w:pPr>
    </w:p>
    <w:p>
      <w:pPr>
        <w:ind w:left="1160" w:hanging="571"/>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52" w:lineRule="exact"/>
        <w:rPr>
          <w:rFonts w:ascii="Arial" w:cs="Arial" w:eastAsia="Arial" w:hAnsi="Arial"/>
          <w:sz w:val="18"/>
          <w:szCs w:val="18"/>
          <w:color w:val="auto"/>
        </w:rPr>
      </w:pPr>
    </w:p>
    <w:p>
      <w:pPr>
        <w:ind w:left="1720" w:right="220" w:hanging="564"/>
        <w:spacing w:after="0" w:line="268" w:lineRule="auto"/>
        <w:tabs>
          <w:tab w:leader="none" w:pos="17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1720" w:hanging="564"/>
        <w:spacing w:after="0" w:line="286" w:lineRule="auto"/>
        <w:tabs>
          <w:tab w:leader="none" w:pos="1720" w:val="left"/>
        </w:tabs>
        <w:numPr>
          <w:ilvl w:val="2"/>
          <w:numId w:val="3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5" w:lineRule="exact"/>
        <w:rPr>
          <w:rFonts w:ascii="Arial" w:cs="Arial" w:eastAsia="Arial" w:hAnsi="Arial"/>
          <w:sz w:val="16"/>
          <w:szCs w:val="16"/>
          <w:color w:val="auto"/>
        </w:rPr>
      </w:pPr>
    </w:p>
    <w:p>
      <w:pPr>
        <w:ind w:left="1160" w:right="200" w:hanging="571"/>
        <w:spacing w:after="0" w:line="290" w:lineRule="auto"/>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right="320" w:firstLine="184"/>
        <w:spacing w:after="0" w:line="323" w:lineRule="auto"/>
        <w:tabs>
          <w:tab w:leader="none" w:pos="731"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-4462145</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160" w:right="840" w:hanging="571"/>
        <w:spacing w:after="0" w:line="268"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160" w:right="280" w:hanging="571"/>
        <w:spacing w:after="0" w:line="268"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40" w:firstLine="184"/>
        <w:spacing w:after="0" w:line="255" w:lineRule="auto"/>
        <w:tabs>
          <w:tab w:leader="none" w:pos="7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140" w:firstLine="184"/>
        <w:spacing w:after="0" w:line="290" w:lineRule="auto"/>
        <w:tabs>
          <w:tab w:leader="none" w:pos="72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w:t>
      </w:r>
    </w:p>
    <w:p>
      <w:pPr>
        <w:sectPr>
          <w:pgSz w:w="11900" w:h="16838" w:orient="portrait"/>
          <w:cols w:equalWidth="0" w:num="1">
            <w:col w:w="11420"/>
          </w:cols>
          <w:pgMar w:left="240" w:top="13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authorized, in the City of Migdal Haemek, Israel, on January 24, 2007.</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KNOW ALL MEN BY THESE PRESENTS, each director and officer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this registration statement on Form F-3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780" w:type="dxa"/>
            <w:vAlign w:val="bottom"/>
            <w:gridSpan w:val="2"/>
          </w:tcPr>
          <w:p>
            <w:pPr>
              <w:spacing w:after="0"/>
              <w:rPr>
                <w:sz w:val="20"/>
                <w:szCs w:val="20"/>
                <w:color w:val="auto"/>
              </w:rPr>
            </w:pPr>
            <w:r>
              <w:rPr>
                <w:rFonts w:ascii="Arial" w:cs="Arial" w:eastAsia="Arial" w:hAnsi="Arial"/>
                <w:sz w:val="18"/>
                <w:szCs w:val="18"/>
                <w:color w:val="auto"/>
              </w:rPr>
              <w:t>/s/ Dov Moran</w:t>
            </w: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Vice President of Finance and Acting Chief</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Udi Hillman</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Udi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780" w:type="dxa"/>
            <w:vAlign w:val="bottom"/>
            <w:gridSpan w:val="2"/>
          </w:tcPr>
          <w:p>
            <w:pPr>
              <w:spacing w:after="0"/>
              <w:rPr>
                <w:sz w:val="20"/>
                <w:szCs w:val="20"/>
                <w:color w:val="auto"/>
              </w:rPr>
            </w:pPr>
            <w:r>
              <w:rPr>
                <w:rFonts w:ascii="Arial" w:cs="Arial" w:eastAsia="Arial" w:hAnsi="Arial"/>
                <w:sz w:val="18"/>
                <w:szCs w:val="18"/>
                <w:color w:val="auto"/>
              </w:rPr>
              <w:t>/s/ Yossi Rosen</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Miin Wu</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Melvin Keating</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Kalman Kaufman</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Hans Rohrer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January 24, 2007</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AUTHORIZED REPRESENTATIVE IN THE UNITED STATES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 Inc.</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By: /s/ Russell C. Ellwanger</w:t>
            </w:r>
          </w:p>
        </w:tc>
        <w:tc>
          <w:tcPr>
            <w:tcW w:w="3980" w:type="dxa"/>
            <w:vAlign w:val="bottom"/>
          </w:tcPr>
          <w:p>
            <w:pPr>
              <w:ind w:left="220"/>
              <w:spacing w:after="0"/>
              <w:rPr>
                <w:sz w:val="20"/>
                <w:szCs w:val="20"/>
                <w:color w:val="auto"/>
              </w:rPr>
            </w:pPr>
            <w:r>
              <w:rPr>
                <w:rFonts w:ascii="Arial" w:cs="Arial" w:eastAsia="Arial" w:hAnsi="Arial"/>
                <w:sz w:val="18"/>
                <w:szCs w:val="18"/>
                <w:color w:val="auto"/>
              </w:rPr>
              <w:t>January 24, 2007</w:t>
            </w: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18"/>
                <w:szCs w:val="18"/>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Russell C. Ellwanger</w:t>
            </w:r>
          </w:p>
        </w:tc>
        <w:tc>
          <w:tcPr>
            <w:tcW w:w="3980" w:type="dxa"/>
            <w:vAlign w:val="bottom"/>
          </w:tcPr>
          <w:p>
            <w:pPr>
              <w:spacing w:after="0"/>
              <w:rPr>
                <w:sz w:val="18"/>
                <w:szCs w:val="18"/>
                <w:color w:val="auto"/>
              </w:rPr>
            </w:pPr>
          </w:p>
        </w:tc>
      </w:tr>
      <w:tr>
        <w:trPr>
          <w:trHeight w:val="222"/>
        </w:trPr>
        <w:tc>
          <w:tcPr>
            <w:tcW w:w="744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c>
          <w:tcPr>
            <w:tcW w:w="3980" w:type="dxa"/>
            <w:vAlign w:val="bottom"/>
          </w:tcPr>
          <w:p>
            <w:pPr>
              <w:spacing w:after="0"/>
              <w:rPr>
                <w:sz w:val="19"/>
                <w:szCs w:val="19"/>
                <w:color w:val="auto"/>
              </w:rPr>
            </w:pPr>
          </w:p>
        </w:tc>
      </w:tr>
      <w:tr>
        <w:trPr>
          <w:trHeight w:val="675"/>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gridSpan w:val="2"/>
          </w:tcPr>
          <w:p>
            <w:pPr>
              <w:ind w:left="4300"/>
              <w:spacing w:after="0"/>
              <w:rPr>
                <w:sz w:val="20"/>
                <w:szCs w:val="20"/>
                <w:color w:val="auto"/>
              </w:rPr>
            </w:pPr>
            <w:r>
              <w:rPr>
                <w:rFonts w:ascii="Arial" w:cs="Arial" w:eastAsia="Arial" w:hAnsi="Arial"/>
                <w:sz w:val="18"/>
                <w:szCs w:val="18"/>
                <w:color w:val="auto"/>
              </w:rPr>
              <w:t>8</w:t>
            </w:r>
          </w:p>
        </w:tc>
        <w:tc>
          <w:tcPr>
            <w:tcW w:w="3980" w:type="dxa"/>
            <w:vAlign w:val="bottom"/>
          </w:tcPr>
          <w:p>
            <w:pPr>
              <w:spacing w:after="0"/>
              <w:rPr>
                <w:sz w:val="24"/>
                <w:szCs w:val="24"/>
                <w:color w:val="auto"/>
              </w:rPr>
            </w:pP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41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r>
      <w:tr>
        <w:trPr>
          <w:trHeight w:val="307"/>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102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Numbers</w:t>
            </w:r>
          </w:p>
        </w:tc>
        <w:tc>
          <w:tcPr>
            <w:tcW w:w="60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 of Document</w:t>
            </w:r>
          </w:p>
        </w:tc>
        <w:tc>
          <w:tcPr>
            <w:tcW w:w="398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471"/>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8"/>
              </w:rPr>
              <w:t>number exhibit filed with the Registrant’s Registration Statement on Form F-1, File No. 333-0126909). Pursuant to approvals by shareholders,</w:t>
            </w:r>
          </w:p>
        </w:tc>
      </w:tr>
      <w:tr>
        <w:trPr>
          <w:trHeight w:val="222"/>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3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c>
          <w:tcPr>
            <w:tcW w:w="3980" w:type="dxa"/>
            <w:vAlign w:val="bottom"/>
          </w:tcPr>
          <w:p>
            <w:pPr>
              <w:spacing w:after="0"/>
              <w:rPr>
                <w:sz w:val="24"/>
                <w:szCs w:val="24"/>
                <w:color w:val="auto"/>
              </w:rPr>
            </w:pP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w w:val="94"/>
              </w:rPr>
              <w:t>Consent of Yigal Arnon &amp; Co. (contained in their opinion constituting Exhibit 5.1)</w:t>
            </w:r>
          </w:p>
        </w:tc>
        <w:tc>
          <w:tcPr>
            <w:tcW w:w="3980" w:type="dxa"/>
            <w:vAlign w:val="bottom"/>
          </w:tcPr>
          <w:p>
            <w:pPr>
              <w:spacing w:after="0"/>
              <w:rPr>
                <w:sz w:val="24"/>
                <w:szCs w:val="24"/>
                <w:color w:val="auto"/>
              </w:rPr>
            </w:pP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c>
          <w:tcPr>
            <w:tcW w:w="3980" w:type="dxa"/>
            <w:vAlign w:val="bottom"/>
          </w:tcPr>
          <w:p>
            <w:pPr>
              <w:spacing w:after="0"/>
              <w:rPr>
                <w:sz w:val="24"/>
                <w:szCs w:val="24"/>
                <w:color w:val="auto"/>
              </w:rPr>
            </w:pP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Power of Attorney (set forth on signature page)</w:t>
            </w:r>
          </w:p>
        </w:tc>
        <w:tc>
          <w:tcPr>
            <w:tcW w:w="3980" w:type="dxa"/>
            <w:vAlign w:val="bottom"/>
          </w:tcPr>
          <w:p>
            <w:pPr>
              <w:spacing w:after="0"/>
              <w:rPr>
                <w:sz w:val="24"/>
                <w:szCs w:val="24"/>
                <w:color w:val="auto"/>
              </w:rPr>
            </w:pPr>
          </w:p>
        </w:tc>
      </w:tr>
      <w:tr>
        <w:trPr>
          <w:trHeight w:val="675"/>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gridSpan w:val="2"/>
          </w:tcPr>
          <w:p>
            <w:pPr>
              <w:ind w:left="4300"/>
              <w:spacing w:after="0"/>
              <w:rPr>
                <w:sz w:val="20"/>
                <w:szCs w:val="20"/>
                <w:color w:val="auto"/>
              </w:rPr>
            </w:pPr>
            <w:r>
              <w:rPr>
                <w:rFonts w:ascii="Arial" w:cs="Arial" w:eastAsia="Arial" w:hAnsi="Arial"/>
                <w:sz w:val="18"/>
                <w:szCs w:val="18"/>
                <w:color w:val="auto"/>
              </w:rPr>
              <w:t>9</w:t>
            </w:r>
          </w:p>
        </w:tc>
        <w:tc>
          <w:tcPr>
            <w:tcW w:w="3980" w:type="dxa"/>
            <w:vAlign w:val="bottom"/>
          </w:tcPr>
          <w:p>
            <w:pPr>
              <w:spacing w:after="0"/>
              <w:rPr>
                <w:sz w:val="24"/>
                <w:szCs w:val="24"/>
                <w:color w:val="auto"/>
              </w:rPr>
            </w:pP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41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5998845</wp:posOffset>
            </wp:positionV>
            <wp:extent cx="72675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YIGAL ARNON &amp;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ADVOCATES AND NOTARY</w:t>
      </w:r>
    </w:p>
    <w:p>
      <w:pPr>
        <w:spacing w:after="0" w:line="205" w:lineRule="exact"/>
        <w:rPr>
          <w:sz w:val="20"/>
          <w:szCs w:val="20"/>
          <w:color w:val="auto"/>
        </w:rPr>
      </w:pPr>
    </w:p>
    <w:p>
      <w:pPr>
        <w:jc w:val="center"/>
        <w:ind w:right="-19"/>
        <w:spacing w:after="0"/>
        <w:tabs>
          <w:tab w:leader="none" w:pos="300" w:val="left"/>
        </w:tabs>
        <w:rPr>
          <w:sz w:val="20"/>
          <w:szCs w:val="20"/>
          <w:color w:val="auto"/>
        </w:rPr>
      </w:pPr>
      <w:r>
        <w:rPr>
          <w:rFonts w:ascii="Arial" w:cs="Arial" w:eastAsia="Arial" w:hAnsi="Arial"/>
          <w:sz w:val="18"/>
          <w:szCs w:val="18"/>
          <w:b w:val="1"/>
          <w:bCs w:val="1"/>
          <w:color w:val="auto"/>
        </w:rPr>
        <w:t>Tel Aviv</w:t>
      </w:r>
      <w:r>
        <w:rPr>
          <w:sz w:val="20"/>
          <w:szCs w:val="20"/>
          <w:color w:val="auto"/>
        </w:rPr>
        <w:tab/>
      </w:r>
      <w:r>
        <w:rPr>
          <w:rFonts w:ascii="Arial" w:cs="Arial" w:eastAsia="Arial" w:hAnsi="Arial"/>
          <w:sz w:val="15"/>
          <w:szCs w:val="15"/>
          <w:color w:val="auto"/>
        </w:rPr>
        <w:t>January 24, 2007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Direct Dial:</w:t>
            </w:r>
          </w:p>
        </w:tc>
        <w:tc>
          <w:tcPr>
            <w:tcW w:w="2100" w:type="dxa"/>
            <w:vAlign w:val="bottom"/>
          </w:tcPr>
          <w:p>
            <w:pPr>
              <w:ind w:left="740"/>
              <w:spacing w:after="0"/>
              <w:rPr>
                <w:sz w:val="20"/>
                <w:szCs w:val="20"/>
                <w:color w:val="auto"/>
              </w:rPr>
            </w:pPr>
            <w:r>
              <w:rPr>
                <w:rFonts w:ascii="Arial" w:cs="Arial" w:eastAsia="Arial" w:hAnsi="Arial"/>
                <w:sz w:val="18"/>
                <w:szCs w:val="18"/>
                <w:color w:val="auto"/>
              </w:rPr>
              <w:t>972-608-7856</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Direct Fax:</w:t>
            </w:r>
          </w:p>
        </w:tc>
        <w:tc>
          <w:tcPr>
            <w:tcW w:w="2100" w:type="dxa"/>
            <w:vAlign w:val="bottom"/>
          </w:tcPr>
          <w:p>
            <w:pPr>
              <w:ind w:left="740"/>
              <w:spacing w:after="0"/>
              <w:rPr>
                <w:sz w:val="20"/>
                <w:szCs w:val="20"/>
                <w:color w:val="auto"/>
              </w:rPr>
            </w:pPr>
            <w:r>
              <w:rPr>
                <w:rFonts w:ascii="Arial" w:cs="Arial" w:eastAsia="Arial" w:hAnsi="Arial"/>
                <w:sz w:val="18"/>
                <w:szCs w:val="18"/>
                <w:color w:val="auto"/>
              </w:rPr>
              <w:t>972-608-7714</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E-mail:</w:t>
            </w:r>
          </w:p>
        </w:tc>
        <w:tc>
          <w:tcPr>
            <w:tcW w:w="2100" w:type="dxa"/>
            <w:vAlign w:val="bottom"/>
          </w:tcPr>
          <w:p>
            <w:pPr>
              <w:ind w:left="740"/>
              <w:spacing w:after="0"/>
              <w:rPr>
                <w:sz w:val="20"/>
                <w:szCs w:val="20"/>
                <w:color w:val="auto"/>
              </w:rPr>
            </w:pPr>
            <w:r>
              <w:rPr>
                <w:rFonts w:ascii="Arial" w:cs="Arial" w:eastAsia="Arial" w:hAnsi="Arial"/>
                <w:sz w:val="18"/>
                <w:szCs w:val="18"/>
                <w:color w:val="auto"/>
                <w:w w:val="87"/>
              </w:rPr>
              <w:t>davids@arnon.co.il</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 and Madam:</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acted as Israeli counsel to Tower Semiconductor Ltd. (the "Company"), a corporation organized under the laws of the State of Israel. As such, we have participated in the preparation of the Company's registration statement on Form F-3 (the "Registration Statement") relating to the registration, under the United States Securities Act of 1933, as amended, of the offering for resale of up to 117,763,158 ordinary shares of the Company (the "Shares"), par value 1.00 NIS each, by certain selling security holders, which are issuable upon conversion of equity equivalent convertible capital notes (the "Capital Notes").</w:t>
      </w:r>
    </w:p>
    <w:p>
      <w:pPr>
        <w:spacing w:after="0" w:line="16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counsel to the Company in Israel, we have examined such corporate records, documents, agreements and such matters of law, as we have considered necessary or appropriate for the purpose of rendering this opinion. Upon the basis of such examination, we advise you that in our opinion the Shares, if and when issued upon conversion of the Capital Notes in accordance with the terms and conditions of the Capital Notes, will be duly authorized, legally issued, fully paid and nonassesable.</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are members of the Israel Bar, and the opinions expressed herein are limited to questions arising under the laws of the State of Israel, and we disclaim any opinion whatsoever with respect to matters governed by the laws of any other jurisdiction.</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consent to the reference to this firm under the caption "Legal Matters" in the Registration Statement, and we consent to the filing of this opinion as an exhibit to the Registration Statement.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4824730</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3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 dated February 1, 2006, relating to the financial statements of Tower Semiconductor Ltd. appearing in the Annual Report on Form 20-F of Tower Semiconductor Ltd. for the year ended December 31, 2005, and to the reference to us under the heading “Experts” in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lowerRoman"/>
      <w:start w:val="3"/>
    </w:lvl>
  </w:abstractNum>
  <w:abstractNum w:abstractNumId="2">
    <w:nsid w:val="62BBD95A"/>
    <w:multiLevelType w:val="hybridMultilevel"/>
    <w:lvl w:ilvl="0">
      <w:lvlJc w:val="left"/>
      <w:lvlText w:val="\emdash "/>
      <w:numFmt w:val="bullet"/>
      <w:start w:val="1"/>
    </w:lvl>
  </w:abstractNum>
  <w:abstractNum w:abstractNumId="3">
    <w:nsid w:val="436C6125"/>
    <w:multiLevelType w:val="hybridMultilevel"/>
    <w:lvl w:ilvl="0">
      <w:lvlJc w:val="left"/>
      <w:lvlText w:val="\emdash "/>
      <w:numFmt w:val="bullet"/>
      <w:start w:val="1"/>
    </w:lvl>
  </w:abstractNum>
  <w:abstractNum w:abstractNumId="4">
    <w:nsid w:val="628C895D"/>
    <w:multiLevelType w:val="hybridMultilevel"/>
    <w:lvl w:ilvl="0">
      <w:lvlJc w:val="left"/>
      <w:lvlText w:val="\emdash "/>
      <w:numFmt w:val="bullet"/>
      <w:start w:val="1"/>
    </w:lvl>
  </w:abstractNum>
  <w:abstractNum w:abstractNumId="5">
    <w:nsid w:val="333AB105"/>
    <w:multiLevelType w:val="hybridMultilevel"/>
    <w:lvl w:ilvl="0">
      <w:lvlJc w:val="left"/>
      <w:lvlText w:val="\emdash "/>
      <w:numFmt w:val="bullet"/>
      <w:start w:val="1"/>
    </w:lvl>
  </w:abstractNum>
  <w:abstractNum w:abstractNumId="6">
    <w:nsid w:val="721DA317"/>
    <w:multiLevelType w:val="hybridMultilevel"/>
    <w:lvl w:ilvl="0">
      <w:lvlJc w:val="left"/>
      <w:lvlText w:val="\emdash "/>
      <w:numFmt w:val="bullet"/>
      <w:start w:val="1"/>
    </w:lvl>
  </w:abstractNum>
  <w:abstractNum w:abstractNumId="7">
    <w:nsid w:val="2443A858"/>
    <w:multiLevelType w:val="hybridMultilevel"/>
    <w:lvl w:ilvl="0">
      <w:lvlJc w:val="left"/>
      <w:lvlText w:val="\emdash "/>
      <w:numFmt w:val="bullet"/>
      <w:start w:val="1"/>
    </w:lvl>
  </w:abstractNum>
  <w:abstractNum w:abstractNumId="8">
    <w:nsid w:val="2D1D5AE9"/>
    <w:multiLevelType w:val="hybridMultilevel"/>
    <w:lvl w:ilvl="0">
      <w:lvlJc w:val="left"/>
      <w:lvlText w:val="\emdash "/>
      <w:numFmt w:val="bullet"/>
      <w:start w:val="1"/>
    </w:lvl>
  </w:abstractNum>
  <w:abstractNum w:abstractNumId="9">
    <w:nsid w:val="6763845E"/>
    <w:multiLevelType w:val="hybridMultilevel"/>
    <w:lvl w:ilvl="0">
      <w:lvlJc w:val="left"/>
      <w:lvlText w:val="\emdash "/>
      <w:numFmt w:val="bullet"/>
      <w:start w:val="1"/>
    </w:lvl>
  </w:abstractNum>
  <w:abstractNum w:abstractNumId="10">
    <w:nsid w:val="75A2A8D4"/>
    <w:multiLevelType w:val="hybridMultilevel"/>
    <w:lvl w:ilvl="0">
      <w:lvlJc w:val="left"/>
      <w:lvlText w:val="\emdash "/>
      <w:numFmt w:val="bullet"/>
      <w:start w:val="1"/>
    </w:lvl>
  </w:abstractNum>
  <w:abstractNum w:abstractNumId="11">
    <w:nsid w:val="8EDBDAB"/>
    <w:multiLevelType w:val="hybridMultilevel"/>
    <w:lvl w:ilvl="0">
      <w:lvlJc w:val="left"/>
      <w:lvlText w:val="\emdash "/>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1)"/>
      <w:numFmt w:val="lowerRoman"/>
      <w:start w:val="7"/>
    </w:lvl>
  </w:abstractNum>
  <w:abstractNum w:abstractNumId="15">
    <w:nsid w:val="189A769B"/>
    <w:multiLevelType w:val="hybridMultilevel"/>
    <w:lvl w:ilvl="0">
      <w:lvlJc w:val="left"/>
      <w:lvlText w:val="(%1)"/>
      <w:numFmt w:val="lowerRoman"/>
      <w:start w:val="8"/>
    </w:lvl>
  </w:abstractNum>
  <w:abstractNum w:abstractNumId="16">
    <w:nsid w:val="54E49EB4"/>
    <w:multiLevelType w:val="hybridMultilevel"/>
    <w:lvl w:ilvl="0">
      <w:lvlJc w:val="left"/>
      <w:lvlText w:val="\emdash "/>
      <w:numFmt w:val="bullet"/>
      <w:start w:val="1"/>
    </w:lvl>
  </w:abstractNum>
  <w:abstractNum w:abstractNumId="17">
    <w:nsid w:val="71F32454"/>
    <w:multiLevelType w:val="hybridMultilevel"/>
    <w:lvl w:ilvl="0">
      <w:lvlJc w:val="left"/>
      <w:lvlText w:val="1"/>
      <w:numFmt w:val="bullet"/>
      <w:start w:val="1"/>
    </w:lvl>
  </w:abstractNum>
  <w:abstractNum w:abstractNumId="18">
    <w:nsid w:val="2CA88611"/>
    <w:multiLevelType w:val="hybridMultilevel"/>
    <w:lvl w:ilvl="0">
      <w:lvlJc w:val="left"/>
      <w:lvlText w:val="2"/>
      <w:numFmt w:val="bullet"/>
      <w:start w:val="1"/>
    </w:lvl>
  </w:abstractNum>
  <w:abstractNum w:abstractNumId="19">
    <w:nsid w:val="836C40E"/>
    <w:multiLevelType w:val="hybridMultilevel"/>
    <w:lvl w:ilvl="0">
      <w:lvlJc w:val="left"/>
      <w:lvlText w:val="3"/>
      <w:numFmt w:val="bullet"/>
      <w:start w:val="1"/>
    </w:lvl>
  </w:abstractNum>
  <w:abstractNum w:abstractNumId="20">
    <w:nsid w:val="2901D82"/>
    <w:multiLevelType w:val="hybridMultilevel"/>
    <w:lvl w:ilvl="0">
      <w:lvlJc w:val="left"/>
      <w:lvlText w:val="4"/>
      <w:numFmt w:val="bullet"/>
      <w:start w:val="1"/>
    </w:lvl>
  </w:abstractNum>
  <w:abstractNum w:abstractNumId="21">
    <w:nsid w:val="3A95F874"/>
    <w:multiLevelType w:val="hybridMultilevel"/>
    <w:lvl w:ilvl="0">
      <w:lvlJc w:val="left"/>
      <w:lvlText w:val="5"/>
      <w:numFmt w:val="bullet"/>
      <w:start w:val="1"/>
    </w:lvl>
  </w:abstractNum>
  <w:abstractNum w:abstractNumId="22">
    <w:nsid w:val="8138641"/>
    <w:multiLevelType w:val="hybridMultilevel"/>
    <w:lvl w:ilvl="0">
      <w:lvlJc w:val="left"/>
      <w:lvlText w:val="6"/>
      <w:numFmt w:val="bullet"/>
      <w:start w:val="1"/>
    </w:lvl>
  </w:abstractNum>
  <w:abstractNum w:abstractNumId="23">
    <w:nsid w:val="1E7FF521"/>
    <w:multiLevelType w:val="hybridMultilevel"/>
    <w:lvl w:ilvl="0">
      <w:lvlJc w:val="left"/>
      <w:lvlText w:val="7"/>
      <w:numFmt w:val="bullet"/>
      <w:start w:val="1"/>
    </w:lvl>
  </w:abstractNum>
  <w:abstractNum w:abstractNumId="24">
    <w:nsid w:val="7C3DBD3D"/>
    <w:multiLevelType w:val="hybridMultilevel"/>
    <w:lvl w:ilvl="0">
      <w:lvlJc w:val="left"/>
      <w:lvlText w:val="8"/>
      <w:numFmt w:val="bullet"/>
      <w:start w:val="1"/>
    </w:lvl>
  </w:abstractNum>
  <w:abstractNum w:abstractNumId="25">
    <w:nsid w:val="737B8DDC"/>
    <w:multiLevelType w:val="hybridMultilevel"/>
    <w:lvl w:ilvl="0">
      <w:lvlJc w:val="left"/>
      <w:lvlText w:val="\emdash "/>
      <w:numFmt w:val="bullet"/>
      <w:start w:val="1"/>
    </w:lvl>
  </w:abstractNum>
  <w:abstractNum w:abstractNumId="26">
    <w:nsid w:val="6CEAF087"/>
    <w:multiLevelType w:val="hybridMultilevel"/>
    <w:lvl w:ilvl="0">
      <w:lvlJc w:val="left"/>
      <w:lvlText w:val="\emdash "/>
      <w:numFmt w:val="bullet"/>
      <w:start w:val="1"/>
    </w:lvl>
  </w:abstractNum>
  <w:abstractNum w:abstractNumId="27">
    <w:nsid w:val="22221A70"/>
    <w:multiLevelType w:val="hybridMultilevel"/>
    <w:lvl w:ilvl="0">
      <w:lvlJc w:val="left"/>
      <w:lvlText w:val="\emdash "/>
      <w:numFmt w:val="bullet"/>
      <w:start w:val="1"/>
    </w:lvl>
  </w:abstractNum>
  <w:abstractNum w:abstractNumId="28">
    <w:nsid w:val="4516DDE9"/>
    <w:multiLevelType w:val="hybridMultilevel"/>
    <w:lvl w:ilvl="0">
      <w:lvlJc w:val="left"/>
      <w:lvlText w:val="%1."/>
      <w:numFmt w:val="decimal"/>
      <w:start w:val="1"/>
    </w:lvl>
    <w:lvl w:ilvl="1">
      <w:lvlJc w:val="left"/>
      <w:lvlText w:val="(%2)"/>
      <w:numFmt w:val="lowerLetter"/>
      <w:start w:val="1"/>
    </w:lvl>
  </w:abstractNum>
  <w:abstractNum w:abstractNumId="29">
    <w:nsid w:val="3006C83E"/>
    <w:multiLevelType w:val="hybridMultilevel"/>
    <w:lvl w:ilvl="0">
      <w:lvlJc w:val="left"/>
      <w:lvlText w:val="%1."/>
      <w:numFmt w:val="lowerRoman"/>
      <w:start w:val="1"/>
    </w:lvl>
  </w:abstractNum>
  <w:abstractNum w:abstractNumId="30">
    <w:nsid w:val="614FD4A1"/>
    <w:multiLevelType w:val="hybridMultilevel"/>
    <w:lvl w:ilvl="0">
      <w:lvlJc w:val="left"/>
      <w:lvlText w:val="š"/>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Roman"/>
      <w:start w:val="1"/>
    </w:lvl>
  </w:abstractNum>
  <w:abstractNum w:abstractNumId="33">
    <w:nsid w:val="440BADFC"/>
    <w:multiLevelType w:val="hybridMultilevel"/>
    <w:lvl w:ilvl="0">
      <w:lvlJc w:val="left"/>
      <w:lvlText w:val="(%1)"/>
      <w:numFmt w:val="decimal"/>
      <w:start w:val="2"/>
    </w:lvl>
  </w:abstractNum>
  <w:abstractNum w:abstractNumId="34">
    <w:nsid w:val="5072367"/>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35">
    <w:nsid w:val="3804823E"/>
    <w:multiLevelType w:val="hybridMultilevel"/>
    <w:lvl w:ilvl="0">
      <w:lvlJc w:val="left"/>
      <w:lvlText w:val="%1"/>
      <w:numFmt w:val="lowerLetter"/>
      <w:start w:val="1"/>
    </w:lvl>
    <w:lvl w:ilvl="1">
      <w:lvlJc w:val="left"/>
      <w:lvlText w:val="%2."/>
      <w:numFmt w:val="lowerRoman"/>
      <w:start w:val="1"/>
    </w:lvl>
  </w:abstractNum>
  <w:abstractNum w:abstractNumId="36">
    <w:nsid w:val="77465F0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2019-12-11T22:59:34Z</dcterms:created>
  <dcterms:modified xsi:type="dcterms:W3CDTF">2019-12-11T22:59:34Z</dcterms:modified>
</cp:coreProperties>
</file>