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the month of May 2008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On May 20, 2008, the Registrant announced its financial results for the three months ended March 31, 2008 and on May 21, 2008 issued unaudited condensed interim consolidated financial statements as of March 31, 2008 and for the three months period then ended. Attached hereto are the following exhibits:</w:t>
      </w:r>
    </w:p>
    <w:p>
      <w:pPr>
        <w:spacing w:after="0" w:line="182" w:lineRule="exact"/>
        <w:rPr>
          <w:sz w:val="24"/>
          <w:szCs w:val="24"/>
          <w:color w:val="auto"/>
        </w:rPr>
      </w:pPr>
    </w:p>
    <w:p>
      <w:pPr>
        <w:ind w:left="2120" w:right="1879" w:hanging="1579"/>
        <w:spacing w:after="0" w:line="236" w:lineRule="auto"/>
        <w:tabs>
          <w:tab w:leader="none" w:pos="210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8"/>
          <w:szCs w:val="18"/>
          <w:color w:val="auto"/>
        </w:rPr>
        <w:t>Registrant's unaudited condensed interim consolidated financial statements as of March 31, 2008 and for the three months period then ended.</w:t>
      </w:r>
    </w:p>
    <w:p>
      <w:pPr>
        <w:spacing w:after="0" w:line="209" w:lineRule="exact"/>
        <w:rPr>
          <w:sz w:val="24"/>
          <w:szCs w:val="24"/>
          <w:color w:val="auto"/>
        </w:rPr>
      </w:pPr>
    </w:p>
    <w:p>
      <w:pPr>
        <w:ind w:left="2120" w:right="1879" w:hanging="1579"/>
        <w:spacing w:after="0" w:line="235" w:lineRule="auto"/>
        <w:tabs>
          <w:tab w:leader="none" w:pos="2100" w:val="left"/>
        </w:tabs>
        <w:rPr>
          <w:sz w:val="20"/>
          <w:szCs w:val="20"/>
          <w:color w:val="auto"/>
        </w:rPr>
      </w:pPr>
      <w:r>
        <w:rPr>
          <w:rFonts w:ascii="Courier New" w:cs="Courier New" w:eastAsia="Courier New" w:hAnsi="Courier New"/>
          <w:sz w:val="18"/>
          <w:szCs w:val="18"/>
          <w:color w:val="auto"/>
        </w:rPr>
        <w:t>Exhibit 99.2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Form 6-K, including all exhibits hereto, is hereby incorporated by reference into (1) all effective registration statements filed by us under the Securities Act of 1933 and (2) Registration Statement No. 333-140174 and Registration No. 333-141640 on Form F-3.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21,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240" w:space="720"/>
            <w:col w:w="5259"/>
          </w:cols>
          <w:pgMar w:left="240" w:top="919"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TOWER SEMICONDUCTOR LTD. AND SUBSIDIARY</w:t>
      </w:r>
    </w:p>
    <w:p>
      <w:pPr>
        <w:ind w:left="2860"/>
        <w:spacing w:after="0" w:line="238" w:lineRule="auto"/>
        <w:rPr>
          <w:sz w:val="20"/>
          <w:szCs w:val="20"/>
          <w:color w:val="auto"/>
        </w:rPr>
      </w:pPr>
      <w:r>
        <w:rPr>
          <w:rFonts w:ascii="Courier New" w:cs="Courier New" w:eastAsia="Courier New" w:hAnsi="Courier New"/>
          <w:sz w:val="18"/>
          <w:szCs w:val="18"/>
          <w:color w:val="auto"/>
        </w:rPr>
        <w:t>UNAUDITED CONDENSED INTERIM</w:t>
      </w:r>
    </w:p>
    <w:p>
      <w:pPr>
        <w:ind w:left="2540"/>
        <w:spacing w:after="0"/>
        <w:rPr>
          <w:sz w:val="20"/>
          <w:szCs w:val="20"/>
          <w:color w:val="auto"/>
        </w:rPr>
      </w:pPr>
      <w:r>
        <w:rPr>
          <w:rFonts w:ascii="Courier New" w:cs="Courier New" w:eastAsia="Courier New" w:hAnsi="Courier New"/>
          <w:sz w:val="18"/>
          <w:szCs w:val="18"/>
          <w:color w:val="auto"/>
        </w:rPr>
        <w:t>CONSOLIDATED FINANCIAL STATEMENTS</w:t>
      </w:r>
    </w:p>
    <w:p>
      <w:pPr>
        <w:ind w:left="3160"/>
        <w:spacing w:after="0" w:line="237" w:lineRule="auto"/>
        <w:rPr>
          <w:sz w:val="20"/>
          <w:szCs w:val="20"/>
          <w:color w:val="auto"/>
        </w:rPr>
      </w:pPr>
      <w:r>
        <w:rPr>
          <w:rFonts w:ascii="Courier New" w:cs="Courier New" w:eastAsia="Courier New" w:hAnsi="Courier New"/>
          <w:sz w:val="18"/>
          <w:szCs w:val="18"/>
          <w:color w:val="auto"/>
        </w:rPr>
        <w:t>AS OF MARCH 31,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20"/>
              <w:spacing w:after="0"/>
              <w:rPr>
                <w:sz w:val="20"/>
                <w:szCs w:val="20"/>
                <w:color w:val="auto"/>
              </w:rPr>
            </w:pPr>
            <w:r>
              <w:rPr>
                <w:rFonts w:ascii="Courier New" w:cs="Courier New" w:eastAsia="Courier New" w:hAnsi="Courier New"/>
                <w:sz w:val="18"/>
                <w:szCs w:val="18"/>
                <w:color w:val="auto"/>
              </w:rPr>
              <w:t>TOWER SEMICONDUCTOR LTD. AND SUBSIDIARY</w:t>
            </w:r>
          </w:p>
        </w:tc>
        <w:tc>
          <w:tcPr>
            <w:tcW w:w="1160" w:type="dxa"/>
            <w:vAlign w:val="bottom"/>
          </w:tcPr>
          <w:p>
            <w:pPr>
              <w:spacing w:after="0"/>
              <w:rPr>
                <w:sz w:val="17"/>
                <w:szCs w:val="17"/>
                <w:color w:val="auto"/>
              </w:rPr>
            </w:pPr>
          </w:p>
        </w:tc>
      </w:tr>
      <w:tr>
        <w:trPr>
          <w:trHeight w:val="405"/>
        </w:trPr>
        <w:tc>
          <w:tcPr>
            <w:tcW w:w="7060" w:type="dxa"/>
            <w:vAlign w:val="bottom"/>
          </w:tcPr>
          <w:p>
            <w:pPr>
              <w:ind w:left="2320"/>
              <w:spacing w:after="0"/>
              <w:rPr>
                <w:sz w:val="20"/>
                <w:szCs w:val="20"/>
                <w:color w:val="auto"/>
              </w:rPr>
            </w:pPr>
            <w:r>
              <w:rPr>
                <w:rFonts w:ascii="Courier New" w:cs="Courier New" w:eastAsia="Courier New" w:hAnsi="Courier New"/>
                <w:sz w:val="18"/>
                <w:szCs w:val="18"/>
                <w:color w:val="auto"/>
              </w:rPr>
              <w:t>INDEX TO UNAUDITED CONDENSED INTERIM</w:t>
            </w:r>
          </w:p>
        </w:tc>
        <w:tc>
          <w:tcPr>
            <w:tcW w:w="1160" w:type="dxa"/>
            <w:vAlign w:val="bottom"/>
          </w:tcPr>
          <w:p>
            <w:pPr>
              <w:spacing w:after="0"/>
              <w:rPr>
                <w:sz w:val="24"/>
                <w:szCs w:val="24"/>
                <w:color w:val="auto"/>
              </w:rPr>
            </w:pPr>
          </w:p>
        </w:tc>
      </w:tr>
      <w:tr>
        <w:trPr>
          <w:trHeight w:val="203"/>
        </w:trPr>
        <w:tc>
          <w:tcPr>
            <w:tcW w:w="706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CONSOLIDATED FINANCIAL STATEMENTS</w:t>
            </w:r>
          </w:p>
        </w:tc>
        <w:tc>
          <w:tcPr>
            <w:tcW w:w="1160" w:type="dxa"/>
            <w:vAlign w:val="bottom"/>
          </w:tcPr>
          <w:p>
            <w:pPr>
              <w:spacing w:after="0"/>
              <w:rPr>
                <w:sz w:val="17"/>
                <w:szCs w:val="17"/>
                <w:color w:val="auto"/>
              </w:rPr>
            </w:pPr>
          </w:p>
        </w:tc>
      </w:tr>
      <w:tr>
        <w:trPr>
          <w:trHeight w:val="203"/>
        </w:trPr>
        <w:tc>
          <w:tcPr>
            <w:tcW w:w="706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AS OF MARCH 31, 2008</w:t>
            </w:r>
          </w:p>
        </w:tc>
        <w:tc>
          <w:tcPr>
            <w:tcW w:w="1160" w:type="dxa"/>
            <w:vAlign w:val="bottom"/>
          </w:tcPr>
          <w:p>
            <w:pPr>
              <w:spacing w:after="0"/>
              <w:rPr>
                <w:sz w:val="17"/>
                <w:szCs w:val="17"/>
                <w:color w:val="auto"/>
              </w:rPr>
            </w:pPr>
          </w:p>
        </w:tc>
      </w:tr>
      <w:tr>
        <w:trPr>
          <w:trHeight w:val="405"/>
        </w:trPr>
        <w:tc>
          <w:tcPr>
            <w:tcW w:w="7060" w:type="dxa"/>
            <w:vAlign w:val="bottom"/>
          </w:tcPr>
          <w:p>
            <w:pPr>
              <w:spacing w:after="0"/>
              <w:rPr>
                <w:sz w:val="24"/>
                <w:szCs w:val="24"/>
                <w:color w:val="auto"/>
              </w:rPr>
            </w:pPr>
          </w:p>
        </w:tc>
        <w:tc>
          <w:tcPr>
            <w:tcW w:w="1160" w:type="dxa"/>
            <w:vAlign w:val="bottom"/>
          </w:tcPr>
          <w:p>
            <w:pPr>
              <w:ind w:left="74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7060" w:type="dxa"/>
            <w:vAlign w:val="bottom"/>
          </w:tcPr>
          <w:p>
            <w:pPr>
              <w:spacing w:after="0"/>
              <w:rPr>
                <w:sz w:val="17"/>
                <w:szCs w:val="17"/>
                <w:color w:val="auto"/>
              </w:rPr>
            </w:pPr>
          </w:p>
        </w:tc>
        <w:tc>
          <w:tcPr>
            <w:tcW w:w="1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BALANCE SHEETS</w:t>
            </w:r>
          </w:p>
        </w:tc>
        <w:tc>
          <w:tcPr>
            <w:tcW w:w="116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2"/>
              </w:rPr>
              <w:t>1</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STATEMENTS OF OPERATIONS</w:t>
            </w:r>
          </w:p>
        </w:tc>
        <w:tc>
          <w:tcPr>
            <w:tcW w:w="116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2"/>
              </w:rPr>
              <w:t>2</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STATEMENTS OF CASH FLOWS</w:t>
            </w:r>
          </w:p>
        </w:tc>
        <w:tc>
          <w:tcPr>
            <w:tcW w:w="116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2"/>
              </w:rPr>
              <w:t>3</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NOTES TO FINANCIAL STATEMENTS</w:t>
            </w:r>
          </w:p>
        </w:tc>
        <w:tc>
          <w:tcPr>
            <w:tcW w:w="1160" w:type="dxa"/>
            <w:vAlign w:val="bottom"/>
          </w:tcPr>
          <w:p>
            <w:pPr>
              <w:jc w:val="center"/>
              <w:ind w:left="752"/>
              <w:spacing w:after="0"/>
              <w:rPr>
                <w:sz w:val="20"/>
                <w:szCs w:val="20"/>
                <w:color w:val="auto"/>
              </w:rPr>
            </w:pPr>
            <w:r>
              <w:rPr>
                <w:rFonts w:ascii="Courier New" w:cs="Courier New" w:eastAsia="Courier New" w:hAnsi="Courier New"/>
                <w:sz w:val="18"/>
                <w:szCs w:val="18"/>
                <w:color w:val="auto"/>
                <w:w w:val="98"/>
              </w:rPr>
              <w:t>4-9</w:t>
            </w:r>
          </w:p>
        </w:tc>
      </w:tr>
    </w:tbl>
    <w:p>
      <w:pPr>
        <w:sectPr>
          <w:pgSz w:w="11900" w:h="16838" w:orient="portrait"/>
          <w:cols w:equalWidth="0" w:num="1">
            <w:col w:w="10219"/>
          </w:cols>
          <w:pgMar w:left="240" w:top="339"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tbl>
      <w:tblPr>
        <w:tblLayout w:type="fixed"/>
        <w:tblInd w:w="0" w:type="dxa"/>
        <w:tblCellMar>
          <w:top w:w="0" w:type="dxa"/>
          <w:left w:w="0" w:type="dxa"/>
          <w:bottom w:w="0" w:type="dxa"/>
          <w:right w:w="0" w:type="dxa"/>
        </w:tblCellMar>
      </w:tblPr>
      <w:tr>
        <w:trPr>
          <w:trHeight w:val="203"/>
        </w:trPr>
        <w:tc>
          <w:tcPr>
            <w:tcW w:w="6060" w:type="dxa"/>
            <w:vAlign w:val="bottom"/>
          </w:tcPr>
          <w:p>
            <w:pPr>
              <w:ind w:left="3060"/>
              <w:spacing w:after="0"/>
              <w:rPr>
                <w:sz w:val="20"/>
                <w:szCs w:val="20"/>
                <w:color w:val="auto"/>
              </w:rPr>
            </w:pPr>
            <w:r>
              <w:rPr>
                <w:rFonts w:ascii="Courier New" w:cs="Courier New" w:eastAsia="Courier New" w:hAnsi="Courier New"/>
                <w:sz w:val="18"/>
                <w:szCs w:val="18"/>
                <w:color w:val="auto"/>
              </w:rPr>
              <w:t>(dollars in thousands)</w:t>
            </w: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0"/>
        </w:trPr>
        <w:tc>
          <w:tcPr>
            <w:tcW w:w="6060" w:type="dxa"/>
            <w:vAlign w:val="bottom"/>
          </w:tcPr>
          <w:p>
            <w:pPr>
              <w:spacing w:after="0"/>
              <w:rPr>
                <w:sz w:val="24"/>
                <w:szCs w:val="24"/>
                <w:color w:val="auto"/>
              </w:rPr>
            </w:pPr>
          </w:p>
        </w:tc>
        <w:tc>
          <w:tcPr>
            <w:tcW w:w="15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9"/>
              </w:rPr>
              <w:t>AS OF</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6060" w:type="dxa"/>
            <w:vAlign w:val="bottom"/>
          </w:tcPr>
          <w:p>
            <w:pPr>
              <w:spacing w:after="0"/>
              <w:rPr>
                <w:sz w:val="17"/>
                <w:szCs w:val="17"/>
                <w:color w:val="auto"/>
              </w:rPr>
            </w:pP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MARCH 31,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2008</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54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3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A S S E T 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CURRENT ASSETS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$ 32,374</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$ 44,536</w:t>
            </w: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TRADE ACCOUNTS RECEIVABLE:</w:t>
            </w: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0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RELATED PARTIES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10,494</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12,823</w:t>
            </w:r>
          </w:p>
        </w:tc>
      </w:tr>
      <w:tr>
        <w:trPr>
          <w:trHeight w:val="203"/>
        </w:trPr>
        <w:tc>
          <w:tcPr>
            <w:tcW w:w="60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OTHERS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31,691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32,154</w:t>
            </w: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 RECEIVABLES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4,748</w:t>
            </w: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INVENTORIES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34,398</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27,806</w:t>
            </w: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1,580</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114,109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123,647</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LONG-TERM INVESTMENTS</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14,984</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15,093</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PROPERTY AND EQUIPMENT, NET</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520,518</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502,287</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INTANGIBLE ASSETS, NET</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31,855</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34,711</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OTHER ASSETS , NET</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10,652</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11,044</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ind w:left="1380"/>
              <w:spacing w:after="0"/>
              <w:rPr>
                <w:sz w:val="20"/>
                <w:szCs w:val="20"/>
                <w:color w:val="auto"/>
              </w:rPr>
            </w:pPr>
            <w:r>
              <w:rPr>
                <w:rFonts w:ascii="Courier New" w:cs="Courier New" w:eastAsia="Courier New" w:hAnsi="Courier New"/>
                <w:sz w:val="18"/>
                <w:szCs w:val="18"/>
                <w:color w:val="auto"/>
              </w:rPr>
              <w:t>TOTAL ASSETS</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$692,118</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$686,782</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CURRENT LIABILITIES</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CURRENT MATURITIES OF CONVERTIBLE DEBENTURES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8,426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7,887</w:t>
            </w: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55,988</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49,025</w:t>
            </w: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DEFERRED REVENUE</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9,935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17,926</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20,024</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92,275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76,936</w:t>
            </w: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LONG-TERM DEBT FROM BANKS (*)</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390,210</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379,314</w:t>
            </w: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DEBENTURES (**)</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116,618</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117,460</w:t>
            </w: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LONG-TERM CUSTOMERS' ADVANCES</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16,059</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27,983</w:t>
            </w: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OTHER LONG-TERM LIABILITIES</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59,793</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40,380</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674,955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642,073</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ind w:left="420"/>
              <w:spacing w:after="0"/>
              <w:rPr>
                <w:sz w:val="20"/>
                <w:szCs w:val="20"/>
                <w:color w:val="auto"/>
              </w:rPr>
            </w:pPr>
            <w:r>
              <w:rPr>
                <w:rFonts w:ascii="Courier New" w:cs="Courier New" w:eastAsia="Courier New" w:hAnsi="Courier New"/>
                <w:sz w:val="18"/>
                <w:szCs w:val="18"/>
                <w:color w:val="auto"/>
              </w:rPr>
              <w:t>SHAREHOLDERS' EQUITY</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17,163</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44,709</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ind w:left="1380"/>
              <w:spacing w:after="0"/>
              <w:rPr>
                <w:sz w:val="20"/>
                <w:szCs w:val="20"/>
                <w:color w:val="auto"/>
              </w:rPr>
            </w:pPr>
            <w:r>
              <w:rPr>
                <w:rFonts w:ascii="Courier New" w:cs="Courier New" w:eastAsia="Courier New" w:hAnsi="Courier New"/>
                <w:sz w:val="18"/>
                <w:szCs w:val="18"/>
                <w:color w:val="auto"/>
              </w:rPr>
              <w:t>TOTAL LIABILITIES AND SHAREHOLDERS' EQUITY</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$692,118</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$686,782</w:t>
            </w:r>
          </w:p>
        </w:tc>
      </w:tr>
      <w:tr>
        <w:trPr>
          <w:trHeight w:val="203"/>
        </w:trPr>
        <w:tc>
          <w:tcPr>
            <w:tcW w:w="606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WHICH $360,210 AND $365,563 AT FAIR VALUE AS OF MARCH 31, 2008 AND DECEMBER 31, 2007, RESPECTIVELY.</w:t>
      </w:r>
    </w:p>
    <w:p>
      <w:pPr>
        <w:spacing w:after="0" w:line="208" w:lineRule="exact"/>
        <w:rPr>
          <w:sz w:val="20"/>
          <w:szCs w:val="20"/>
          <w:color w:val="auto"/>
        </w:rPr>
      </w:pPr>
    </w:p>
    <w:p>
      <w:pPr>
        <w:ind w:right="2619" w:firstLine="8"/>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WHICH $27,326 AND $28,484 AT FAIR VALUE AS OF MARCH 31, 2008 AND DECEMBER 31, 2007, RESPECTIVELY</w:t>
      </w:r>
    </w:p>
    <w:p>
      <w:pPr>
        <w:sectPr>
          <w:pgSz w:w="11900" w:h="16838" w:orient="portrait"/>
          <w:cols w:equalWidth="0" w:num="1">
            <w:col w:w="10219"/>
          </w:cols>
          <w:pgMar w:left="240" w:top="91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- 1 -</w:t>
      </w:r>
    </w:p>
    <w:p>
      <w:pPr>
        <w:sectPr>
          <w:pgSz w:w="11900" w:h="16838" w:orient="portrait"/>
          <w:cols w:equalWidth="0" w:num="1">
            <w:col w:w="10219"/>
          </w:cols>
          <w:pgMar w:left="240" w:top="344" w:right="1440" w:bottom="1440" w:gutter="0" w:footer="0" w:header="0"/>
          <w:type w:val="continuous"/>
        </w:sectPr>
      </w:pPr>
    </w:p>
    <w:bookmarkStart w:id="5" w:name="page6"/>
    <w:bookmarkEnd w:id="5"/>
    <w:p>
      <w:pPr>
        <w:jc w:val="center"/>
        <w:ind w:right="167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jc w:val="center"/>
        <w:ind w:right="1779"/>
        <w:spacing w:after="0"/>
        <w:rPr>
          <w:sz w:val="20"/>
          <w:szCs w:val="20"/>
          <w:color w:val="auto"/>
        </w:rPr>
      </w:pPr>
      <w:r>
        <w:rPr>
          <w:rFonts w:ascii="Courier New" w:cs="Courier New" w:eastAsia="Courier New" w:hAnsi="Courier New"/>
          <w:sz w:val="18"/>
          <w:szCs w:val="18"/>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THREE MONTHS</w:t>
            </w:r>
          </w:p>
        </w:tc>
        <w:tc>
          <w:tcPr>
            <w:tcW w:w="1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ENDED</w:t>
            </w:r>
          </w:p>
        </w:tc>
        <w:tc>
          <w:tcPr>
            <w:tcW w:w="15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6"/>
              </w:rPr>
              <w:t>YEAR ENDED</w:t>
            </w:r>
          </w:p>
        </w:tc>
      </w:tr>
      <w:tr>
        <w:trPr>
          <w:trHeight w:val="203"/>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100" w:type="dxa"/>
            <w:vAlign w:val="bottom"/>
          </w:tcPr>
          <w:p>
            <w:pPr>
              <w:spacing w:after="0"/>
              <w:rPr>
                <w:sz w:val="17"/>
                <w:szCs w:val="17"/>
                <w:color w:val="auto"/>
              </w:rPr>
            </w:pPr>
          </w:p>
        </w:tc>
        <w:tc>
          <w:tcPr>
            <w:tcW w:w="154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4740" w:type="dxa"/>
            <w:vAlign w:val="bottom"/>
          </w:tcPr>
          <w:p>
            <w:pPr>
              <w:spacing w:after="0"/>
              <w:rPr>
                <w:sz w:val="17"/>
                <w:szCs w:val="17"/>
                <w:color w:val="auto"/>
              </w:rPr>
            </w:pPr>
          </w:p>
        </w:tc>
        <w:tc>
          <w:tcPr>
            <w:tcW w:w="19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1"/>
              </w:rPr>
              <w:t>-------------------------</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2"/>
              </w:rPr>
              <w:t>2008</w:t>
            </w:r>
          </w:p>
        </w:tc>
        <w:tc>
          <w:tcPr>
            <w:tcW w:w="2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2007</w:t>
            </w:r>
          </w:p>
        </w:tc>
        <w:tc>
          <w:tcPr>
            <w:tcW w:w="154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2007</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332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57,607</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55,604</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$ 230,853</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54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68,255</w:t>
            </w:r>
          </w:p>
        </w:tc>
        <w:tc>
          <w:tcPr>
            <w:tcW w:w="26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71,519</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284,771</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860"/>
              <w:spacing w:after="0"/>
              <w:rPr>
                <w:sz w:val="20"/>
                <w:szCs w:val="20"/>
                <w:color w:val="auto"/>
              </w:rPr>
            </w:pPr>
            <w:r>
              <w:rPr>
                <w:rFonts w:ascii="Courier New" w:cs="Courier New" w:eastAsia="Courier New" w:hAnsi="Courier New"/>
                <w:sz w:val="18"/>
                <w:szCs w:val="18"/>
                <w:color w:val="auto"/>
              </w:rPr>
              <w:t>GROSS LOSS</w:t>
            </w:r>
          </w:p>
        </w:tc>
        <w:tc>
          <w:tcPr>
            <w:tcW w:w="54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4"/>
              </w:rPr>
              <w:t>(10,648)</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(15,915)</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(53,918)</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4740" w:type="dxa"/>
            <w:vAlign w:val="bottom"/>
          </w:tcPr>
          <w:p>
            <w:pPr>
              <w:ind w:left="540"/>
              <w:spacing w:after="0"/>
              <w:rPr>
                <w:sz w:val="20"/>
                <w:szCs w:val="20"/>
                <w:color w:val="auto"/>
              </w:rPr>
            </w:pPr>
            <w:r>
              <w:rPr>
                <w:rFonts w:ascii="Courier New" w:cs="Courier New" w:eastAsia="Courier New" w:hAnsi="Courier New"/>
                <w:sz w:val="18"/>
                <w:szCs w:val="18"/>
                <w:color w:val="auto"/>
              </w:rPr>
              <w:t>RESEARCH AND DEVELOPMENT</w:t>
            </w:r>
          </w:p>
        </w:tc>
        <w:tc>
          <w:tcPr>
            <w:tcW w:w="54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2,976</w:t>
            </w:r>
          </w:p>
        </w:tc>
        <w:tc>
          <w:tcPr>
            <w:tcW w:w="26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3,609</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13,790</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MARKETING, GENERAL AND ADMINISTRATIVE</w:t>
            </w:r>
          </w:p>
        </w:tc>
        <w:tc>
          <w:tcPr>
            <w:tcW w:w="54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7,768</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8,077</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31,604</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10,744</w:t>
            </w:r>
          </w:p>
        </w:tc>
        <w:tc>
          <w:tcPr>
            <w:tcW w:w="26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11,686</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45,394</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860"/>
              <w:spacing w:after="0"/>
              <w:rPr>
                <w:sz w:val="20"/>
                <w:szCs w:val="20"/>
                <w:color w:val="auto"/>
              </w:rPr>
            </w:pPr>
            <w:r>
              <w:rPr>
                <w:rFonts w:ascii="Courier New" w:cs="Courier New" w:eastAsia="Courier New" w:hAnsi="Courier New"/>
                <w:sz w:val="18"/>
                <w:szCs w:val="18"/>
                <w:color w:val="auto"/>
              </w:rPr>
              <w:t>OPERATING LOSS</w:t>
            </w:r>
          </w:p>
        </w:tc>
        <w:tc>
          <w:tcPr>
            <w:tcW w:w="54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4"/>
              </w:rPr>
              <w:t>(21,392)</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(27,601)</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(99,312)</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FINANCING EXPENSE, NET</w:t>
            </w:r>
          </w:p>
        </w:tc>
        <w:tc>
          <w:tcPr>
            <w:tcW w:w="54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(7,800)</w:t>
            </w:r>
          </w:p>
        </w:tc>
        <w:tc>
          <w:tcPr>
            <w:tcW w:w="2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(12,710)</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(34,976)</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OTHER INCOME (EXPENSE), NET</w:t>
            </w:r>
          </w:p>
        </w:tc>
        <w:tc>
          <w:tcPr>
            <w:tcW w:w="54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(428)</w:t>
            </w:r>
          </w:p>
        </w:tc>
        <w:tc>
          <w:tcPr>
            <w:tcW w:w="26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69</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92</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1480"/>
              <w:spacing w:after="0"/>
              <w:rPr>
                <w:sz w:val="20"/>
                <w:szCs w:val="20"/>
                <w:color w:val="auto"/>
              </w:rPr>
            </w:pPr>
            <w:r>
              <w:rPr>
                <w:rFonts w:ascii="Courier New" w:cs="Courier New" w:eastAsia="Courier New" w:hAnsi="Courier New"/>
                <w:sz w:val="18"/>
                <w:szCs w:val="18"/>
                <w:color w:val="auto"/>
              </w:rPr>
              <w:t>LOSS FOR THE PERIOD</w:t>
            </w:r>
          </w:p>
        </w:tc>
        <w:tc>
          <w:tcPr>
            <w:tcW w:w="19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 (29,620)</w:t>
            </w: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9"/>
              </w:rPr>
              <w:t>$ (40,242)</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$(134,196)</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BASIC LOSS PER ORDINARY SHARE</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4740" w:type="dxa"/>
            <w:vAlign w:val="bottom"/>
          </w:tcPr>
          <w:p>
            <w:pPr>
              <w:ind w:left="540"/>
              <w:spacing w:after="0"/>
              <w:rPr>
                <w:sz w:val="20"/>
                <w:szCs w:val="20"/>
                <w:color w:val="auto"/>
              </w:rPr>
            </w:pPr>
            <w:r>
              <w:rPr>
                <w:rFonts w:ascii="Courier New" w:cs="Courier New" w:eastAsia="Courier New" w:hAnsi="Courier New"/>
                <w:sz w:val="18"/>
                <w:szCs w:val="18"/>
                <w:color w:val="auto"/>
              </w:rPr>
              <w:t>LOSS PER SHARE</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(0.24)</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(0.38)</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(1.13)</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540"/>
              <w:spacing w:after="0"/>
              <w:rPr>
                <w:sz w:val="20"/>
                <w:szCs w:val="20"/>
                <w:color w:val="auto"/>
              </w:rPr>
            </w:pPr>
            <w:r>
              <w:rPr>
                <w:rFonts w:ascii="Courier New" w:cs="Courier New" w:eastAsia="Courier New" w:hAnsi="Courier New"/>
                <w:sz w:val="18"/>
                <w:szCs w:val="18"/>
                <w:color w:val="auto"/>
              </w:rPr>
              <w:t>WEIGHTED AVERAGE NUMBER OF ORDINARY</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SHARES OUTSTANDING - IN THOUSANDS</w:t>
            </w:r>
          </w:p>
        </w:tc>
        <w:tc>
          <w:tcPr>
            <w:tcW w:w="54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124,228</w:t>
            </w:r>
          </w:p>
        </w:tc>
        <w:tc>
          <w:tcPr>
            <w:tcW w:w="2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105,060</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118,857</w:t>
            </w:r>
          </w:p>
        </w:tc>
      </w:tr>
      <w:tr>
        <w:trPr>
          <w:trHeight w:val="203"/>
        </w:trPr>
        <w:tc>
          <w:tcPr>
            <w:tcW w:w="4740" w:type="dxa"/>
            <w:vAlign w:val="bottom"/>
          </w:tcPr>
          <w:p>
            <w:pPr>
              <w:spacing w:after="0"/>
              <w:rPr>
                <w:sz w:val="17"/>
                <w:szCs w:val="17"/>
                <w:color w:val="auto"/>
              </w:rPr>
            </w:pPr>
          </w:p>
        </w:tc>
        <w:tc>
          <w:tcPr>
            <w:tcW w:w="19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919" w:right="1440" w:bottom="1440" w:gutter="0" w:footer="0" w:header="0"/>
        </w:sectPr>
      </w:pPr>
    </w:p>
    <w:bookmarkStart w:id="6" w:name="page7"/>
    <w:bookmarkEnd w:id="6"/>
    <w:p>
      <w:pPr>
        <w:jc w:val="center"/>
        <w:ind w:right="2960"/>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2960"/>
        <w:spacing w:after="0" w:line="238" w:lineRule="auto"/>
        <w:rPr>
          <w:sz w:val="20"/>
          <w:szCs w:val="20"/>
          <w:color w:val="auto"/>
        </w:rPr>
      </w:pPr>
      <w:r>
        <w:rPr>
          <w:rFonts w:ascii="Courier New" w:cs="Courier New" w:eastAsia="Courier New" w:hAnsi="Courier New"/>
          <w:sz w:val="18"/>
          <w:szCs w:val="18"/>
          <w:color w:val="auto"/>
        </w:rPr>
        <w:t>CONSOLIDATED STATEMENTS OF CASH FLOWS</w:t>
      </w:r>
    </w:p>
    <w:tbl>
      <w:tblPr>
        <w:tblLayout w:type="fixed"/>
        <w:tblInd w:w="0" w:type="dxa"/>
        <w:tblCellMar>
          <w:top w:w="0" w:type="dxa"/>
          <w:left w:w="0" w:type="dxa"/>
          <w:bottom w:w="0" w:type="dxa"/>
          <w:right w:w="0" w:type="dxa"/>
        </w:tblCellMar>
      </w:tblPr>
      <w:tr>
        <w:trPr>
          <w:trHeight w:val="203"/>
        </w:trPr>
        <w:tc>
          <w:tcPr>
            <w:tcW w:w="8640" w:type="dxa"/>
            <w:vAlign w:val="bottom"/>
          </w:tcPr>
          <w:p>
            <w:pPr>
              <w:ind w:left="3060"/>
              <w:spacing w:after="0"/>
              <w:rPr>
                <w:sz w:val="20"/>
                <w:szCs w:val="20"/>
                <w:color w:val="auto"/>
              </w:rPr>
            </w:pPr>
            <w:r>
              <w:rPr>
                <w:rFonts w:ascii="Courier New" w:cs="Courier New" w:eastAsia="Courier New" w:hAnsi="Courier New"/>
                <w:sz w:val="18"/>
                <w:szCs w:val="18"/>
                <w:color w:val="auto"/>
              </w:rPr>
              <w:t>(dollars in thousands)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810"/>
        </w:trPr>
        <w:tc>
          <w:tcPr>
            <w:tcW w:w="8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8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860" w:type="dxa"/>
            <w:vAlign w:val="bottom"/>
          </w:tcPr>
          <w:p>
            <w:pPr>
              <w:spacing w:after="0"/>
              <w:rPr>
                <w:sz w:val="17"/>
                <w:szCs w:val="17"/>
                <w:color w:val="auto"/>
              </w:rPr>
            </w:pPr>
          </w:p>
        </w:tc>
      </w:tr>
      <w:tr>
        <w:trPr>
          <w:trHeight w:val="203"/>
        </w:trPr>
        <w:tc>
          <w:tcPr>
            <w:tcW w:w="8640" w:type="dxa"/>
            <w:vAlign w:val="bottom"/>
          </w:tcPr>
          <w:p>
            <w:pPr>
              <w:spacing w:after="0"/>
              <w:rPr>
                <w:sz w:val="17"/>
                <w:szCs w:val="17"/>
                <w:color w:val="auto"/>
              </w:rPr>
            </w:pPr>
          </w:p>
        </w:tc>
        <w:tc>
          <w:tcPr>
            <w:tcW w:w="28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2008</w:t>
            </w:r>
          </w:p>
        </w:tc>
        <w:tc>
          <w:tcPr>
            <w:tcW w:w="42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8640" w:type="dxa"/>
            <w:vAlign w:val="bottom"/>
          </w:tcPr>
          <w:p>
            <w:pPr>
              <w:spacing w:after="0"/>
              <w:rPr>
                <w:sz w:val="17"/>
                <w:szCs w:val="17"/>
                <w:color w:val="auto"/>
              </w:rPr>
            </w:pPr>
          </w:p>
        </w:tc>
        <w:tc>
          <w:tcPr>
            <w:tcW w:w="28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40" w:type="dxa"/>
            <w:vAlign w:val="bottom"/>
          </w:tcPr>
          <w:p>
            <w:pPr>
              <w:spacing w:after="0"/>
              <w:rPr>
                <w:sz w:val="20"/>
                <w:szCs w:val="20"/>
                <w:color w:val="auto"/>
              </w:rPr>
            </w:pPr>
            <w:r>
              <w:rPr>
                <w:rFonts w:ascii="Courier New" w:cs="Courier New" w:eastAsia="Courier New" w:hAnsi="Courier New"/>
                <w:sz w:val="18"/>
                <w:szCs w:val="18"/>
                <w:color w:val="auto"/>
              </w:rPr>
              <w:t>CASH FLOWS - OPERATING ACTIVITIES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8640" w:type="dxa"/>
            <w:vAlign w:val="bottom"/>
          </w:tcPr>
          <w:p>
            <w:pPr>
              <w:ind w:left="420"/>
              <w:spacing w:after="0"/>
              <w:rPr>
                <w:sz w:val="20"/>
                <w:szCs w:val="20"/>
                <w:color w:val="auto"/>
              </w:rPr>
            </w:pPr>
            <w:r>
              <w:rPr>
                <w:rFonts w:ascii="Courier New" w:cs="Courier New" w:eastAsia="Courier New" w:hAnsi="Courier New"/>
                <w:sz w:val="18"/>
                <w:szCs w:val="18"/>
                <w:color w:val="auto"/>
              </w:rPr>
              <w:t>LOSS FOR THE PERIOD</w:t>
            </w:r>
          </w:p>
        </w:tc>
        <w:tc>
          <w:tcPr>
            <w:tcW w:w="15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$(29,620)</w:t>
            </w:r>
          </w:p>
        </w:tc>
        <w:tc>
          <w:tcPr>
            <w:tcW w:w="1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$(40,242)</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LOSS FOR THE PERIOD</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NET CASH PROVIDED BY OPERATING ACTIVITIES: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INCOME AND EXPENSE ITEMS NOT INVOLVING CASH FLOWS: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35,421</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43,585</w:t>
            </w: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EFFECT OF INDEXATION, TRANSLATION AND FAIR VALUE MEASUREMENT ON DEBT</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(742)</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2,461</w:t>
            </w: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OTHER EXPENSE (INCOME), NET</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428</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8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DECREASE (INCREASE) IN TRADE ACCOUNTS RECEIVABLE</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2,792</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(4,629)</w:t>
            </w: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DECREASE IN OTHER RECEIVABLES AND OTHER CURRENT ASSETS</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1,170</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455</w:t>
            </w: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(7,127)</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(3,484)</w:t>
            </w: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INCREASE IN TRADE ACCOUNTS PAYABLE</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4,201</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9,191</w:t>
            </w: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DECREASE IN OTHER CURRENT LIABILITIES</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(2,505)</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(1,259)</w:t>
            </w: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INCREASE (DECREASE) IN OTHER LONG-TERM LIABILITIES</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(150)</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3,868</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6,077</w:t>
            </w:r>
          </w:p>
        </w:tc>
      </w:tr>
      <w:tr>
        <w:trPr>
          <w:trHeight w:val="203"/>
        </w:trPr>
        <w:tc>
          <w:tcPr>
            <w:tcW w:w="86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DECREASE IN LONG-TERM CUSTOMERS' ADVANCES, NET</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(183)</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3,685</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5,549</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40" w:type="dxa"/>
            <w:vAlign w:val="bottom"/>
          </w:tcPr>
          <w:p>
            <w:pPr>
              <w:spacing w:after="0"/>
              <w:rPr>
                <w:sz w:val="20"/>
                <w:szCs w:val="20"/>
                <w:color w:val="auto"/>
              </w:rPr>
            </w:pPr>
            <w:r>
              <w:rPr>
                <w:rFonts w:ascii="Courier New" w:cs="Courier New" w:eastAsia="Courier New" w:hAnsi="Courier New"/>
                <w:sz w:val="18"/>
                <w:szCs w:val="18"/>
                <w:color w:val="auto"/>
              </w:rPr>
              <w:t>CASH FLOWS - INVESTING ACTIVITIES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8640" w:type="dxa"/>
            <w:vAlign w:val="bottom"/>
          </w:tcPr>
          <w:p>
            <w:pPr>
              <w:ind w:left="420"/>
              <w:spacing w:after="0"/>
              <w:rPr>
                <w:sz w:val="20"/>
                <w:szCs w:val="20"/>
                <w:color w:val="auto"/>
              </w:rPr>
            </w:pPr>
            <w:r>
              <w:rPr>
                <w:rFonts w:ascii="Courier New" w:cs="Courier New" w:eastAsia="Courier New" w:hAnsi="Courier New"/>
                <w:sz w:val="18"/>
                <w:szCs w:val="18"/>
                <w:color w:val="auto"/>
              </w:rPr>
              <w:t>INVESTMENTS IN PROPERTY AND EQUIPMENT</w:t>
            </w:r>
          </w:p>
        </w:tc>
        <w:tc>
          <w:tcPr>
            <w:tcW w:w="42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(41,087)</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(23,836)</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RELATED TO SALE AND DISPOSAL OF PROPERTY AND EQUIPMENT</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INVESTMENTS IN OTHER ASSETS AND INTANGIBLE ASSETS</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SHORT-TERM INTEREST-BEARING DEPOSITS</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(3,770)</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(41,108)</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(28,448)</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40" w:type="dxa"/>
            <w:vAlign w:val="bottom"/>
          </w:tcPr>
          <w:p>
            <w:pPr>
              <w:spacing w:after="0"/>
              <w:rPr>
                <w:sz w:val="20"/>
                <w:szCs w:val="20"/>
                <w:color w:val="auto"/>
              </w:rPr>
            </w:pPr>
            <w:r>
              <w:rPr>
                <w:rFonts w:ascii="Courier New" w:cs="Courier New" w:eastAsia="Courier New" w:hAnsi="Courier New"/>
                <w:sz w:val="18"/>
                <w:szCs w:val="18"/>
                <w:color w:val="auto"/>
              </w:rPr>
              <w:t>CASH FLOWS - FINANCING ACTIVITIES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8640" w:type="dxa"/>
            <w:vAlign w:val="bottom"/>
          </w:tcPr>
          <w:p>
            <w:pPr>
              <w:ind w:left="420"/>
              <w:spacing w:after="0"/>
              <w:rPr>
                <w:sz w:val="20"/>
                <w:szCs w:val="20"/>
                <w:color w:val="auto"/>
              </w:rPr>
            </w:pPr>
            <w:r>
              <w:rPr>
                <w:rFonts w:ascii="Courier New" w:cs="Courier New" w:eastAsia="Courier New" w:hAnsi="Courier New"/>
                <w:sz w:val="18"/>
                <w:szCs w:val="18"/>
                <w:color w:val="auto"/>
              </w:rPr>
              <w:t>PROCEEDS FROM ISSUANCE OF DEBENTURES AND WARRANTS, NET</w:t>
            </w:r>
          </w:p>
        </w:tc>
        <w:tc>
          <w:tcPr>
            <w:tcW w:w="4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1,440</w:t>
            </w:r>
          </w:p>
        </w:tc>
        <w:tc>
          <w:tcPr>
            <w:tcW w:w="42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LONG-TERM LOANS</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32,000</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ISSUANCE OF ORDINARY SHARES AND WARRANTS, NET</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28,867</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REPAYMENT OF DEBENTURE</w:t>
            </w:r>
          </w:p>
        </w:tc>
        <w:tc>
          <w:tcPr>
            <w:tcW w:w="4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(8,179)</w:t>
            </w:r>
          </w:p>
        </w:tc>
        <w:tc>
          <w:tcPr>
            <w:tcW w:w="4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(7,088)</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EXERCISE OF SHARE OPTIONS</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25,261</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21,781</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40" w:type="dxa"/>
            <w:vAlign w:val="bottom"/>
          </w:tcPr>
          <w:p>
            <w:pPr>
              <w:ind w:left="860"/>
              <w:spacing w:after="0"/>
              <w:rPr>
                <w:sz w:val="20"/>
                <w:szCs w:val="20"/>
                <w:color w:val="auto"/>
              </w:rPr>
            </w:pPr>
            <w:r>
              <w:rPr>
                <w:rFonts w:ascii="Courier New" w:cs="Courier New" w:eastAsia="Courier New" w:hAnsi="Courier New"/>
                <w:sz w:val="18"/>
                <w:szCs w:val="18"/>
                <w:color w:val="auto"/>
              </w:rPr>
              <w:t>DECREASE IN CASH AND CASH EQUIVALENTS</w:t>
            </w:r>
          </w:p>
        </w:tc>
        <w:tc>
          <w:tcPr>
            <w:tcW w:w="42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(12,162)</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(1,118)</w:t>
            </w:r>
          </w:p>
        </w:tc>
      </w:tr>
      <w:tr>
        <w:trPr>
          <w:trHeight w:val="203"/>
        </w:trPr>
        <w:tc>
          <w:tcPr>
            <w:tcW w:w="8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 BEGINNING OF PERIOD</w:t>
            </w:r>
          </w:p>
        </w:tc>
        <w:tc>
          <w:tcPr>
            <w:tcW w:w="4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44,536</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39,710</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40" w:type="dxa"/>
            <w:vAlign w:val="bottom"/>
          </w:tcPr>
          <w:p>
            <w:pPr>
              <w:ind w:left="860"/>
              <w:spacing w:after="0"/>
              <w:rPr>
                <w:sz w:val="20"/>
                <w:szCs w:val="20"/>
                <w:color w:val="auto"/>
              </w:rPr>
            </w:pPr>
            <w:r>
              <w:rPr>
                <w:rFonts w:ascii="Courier New" w:cs="Courier New" w:eastAsia="Courier New" w:hAnsi="Courier New"/>
                <w:sz w:val="18"/>
                <w:szCs w:val="18"/>
                <w:color w:val="auto"/>
              </w:rPr>
              <w:t>CASH AND CASH EQUIVALENTS - END OF PERIOD</w:t>
            </w:r>
          </w:p>
        </w:tc>
        <w:tc>
          <w:tcPr>
            <w:tcW w:w="1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$ 32,374</w:t>
            </w:r>
          </w:p>
        </w:tc>
        <w:tc>
          <w:tcPr>
            <w:tcW w:w="12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$ 38,592</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640" w:type="dxa"/>
            <w:vAlign w:val="bottom"/>
          </w:tcPr>
          <w:p>
            <w:pPr>
              <w:spacing w:after="0"/>
              <w:rPr>
                <w:sz w:val="20"/>
                <w:szCs w:val="20"/>
                <w:color w:val="auto"/>
              </w:rPr>
            </w:pPr>
            <w:r>
              <w:rPr>
                <w:rFonts w:ascii="Courier New" w:cs="Courier New" w:eastAsia="Courier New" w:hAnsi="Courier New"/>
                <w:sz w:val="18"/>
                <w:szCs w:val="18"/>
                <w:color w:val="auto"/>
              </w:rPr>
              <w:t>NON-CASH ACTIVITIES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8640" w:type="dxa"/>
            <w:vAlign w:val="bottom"/>
          </w:tcPr>
          <w:p>
            <w:pPr>
              <w:ind w:left="420"/>
              <w:spacing w:after="0"/>
              <w:rPr>
                <w:sz w:val="20"/>
                <w:szCs w:val="20"/>
                <w:color w:val="auto"/>
              </w:rPr>
            </w:pPr>
            <w:r>
              <w:rPr>
                <w:rFonts w:ascii="Courier New" w:cs="Courier New" w:eastAsia="Courier New" w:hAnsi="Courier New"/>
                <w:sz w:val="18"/>
                <w:szCs w:val="18"/>
                <w:color w:val="auto"/>
              </w:rPr>
              <w:t>INVESTMENTS IN PROPERTY AND EQUIPMENT</w:t>
            </w:r>
          </w:p>
        </w:tc>
        <w:tc>
          <w:tcPr>
            <w:tcW w:w="15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$ 14,351</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8,743</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CONVERSION OF LONG-TERM CUSTOMERS' ADVANCES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 SHARE CAPITAL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1,666</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CONVERSION OF CONVERTIBLE DEBENTURES TO SHARE CAPITAL</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540</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EFFECT OF THE FACILITY AGREEMENT TO RETAINED EARNINGS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$ 65,207</w:t>
            </w:r>
          </w:p>
        </w:tc>
      </w:tr>
      <w:tr>
        <w:trPr>
          <w:trHeight w:val="203"/>
        </w:trPr>
        <w:tc>
          <w:tcPr>
            <w:tcW w:w="8640" w:type="dxa"/>
            <w:vAlign w:val="bottom"/>
          </w:tcPr>
          <w:p>
            <w:pPr>
              <w:spacing w:after="0"/>
              <w:rPr>
                <w:sz w:val="17"/>
                <w:szCs w:val="17"/>
                <w:color w:val="auto"/>
              </w:rPr>
            </w:pPr>
          </w:p>
        </w:tc>
        <w:tc>
          <w:tcPr>
            <w:tcW w:w="15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RECLASSIFICATION OF BIFURCATED CONVERSION OPTION TO SHAREHOLDERS' EQUITY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$ 28,377</w:t>
            </w:r>
          </w:p>
        </w:tc>
      </w:tr>
    </w:tbl>
    <w:p>
      <w:pPr>
        <w:sectPr>
          <w:pgSz w:w="11900" w:h="16838" w:orient="portrait"/>
          <w:cols w:equalWidth="0" w:num="1">
            <w:col w:w="11500"/>
          </w:cols>
          <w:pgMar w:left="240" w:top="919" w:right="15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16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w w:val="97"/>
              </w:rPr>
              <w:t>SUPPLEMENTAL DISCLOSURE OF CASH</w:t>
            </w:r>
          </w:p>
        </w:tc>
        <w:tc>
          <w:tcPr>
            <w:tcW w:w="3700" w:type="dxa"/>
            <w:vAlign w:val="bottom"/>
            <w:gridSpan w:val="2"/>
          </w:tcPr>
          <w:p>
            <w:pPr>
              <w:jc w:val="right"/>
              <w:ind w:right="1872"/>
              <w:spacing w:after="0"/>
              <w:rPr>
                <w:sz w:val="20"/>
                <w:szCs w:val="20"/>
                <w:color w:val="auto"/>
              </w:rPr>
            </w:pPr>
            <w:r>
              <w:rPr>
                <w:rFonts w:ascii="Courier New" w:cs="Courier New" w:eastAsia="Courier New" w:hAnsi="Courier New"/>
                <w:sz w:val="18"/>
                <w:szCs w:val="18"/>
                <w:color w:val="auto"/>
                <w:w w:val="99"/>
              </w:rPr>
              <w:t>FLOW INFORMATION</w:t>
            </w: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CASH PAID DURING THE PERIOD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INTEREST</w:t>
            </w:r>
          </w:p>
        </w:tc>
        <w:tc>
          <w:tcPr>
            <w:tcW w:w="2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6,956</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7,221</w:t>
            </w:r>
          </w:p>
        </w:tc>
      </w:tr>
      <w:tr>
        <w:trPr>
          <w:trHeight w:val="203"/>
        </w:trPr>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PAID DURING THE PERIOD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 TAXES</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1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SEE NOTES TO CONSOLIDATED FINANCIAL</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STATEMENTS.</w:t>
            </w: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10"/>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jc w:val="right"/>
              <w:ind w:right="2492"/>
              <w:spacing w:after="0"/>
              <w:rPr>
                <w:sz w:val="20"/>
                <w:szCs w:val="20"/>
                <w:color w:val="auto"/>
              </w:rPr>
            </w:pPr>
            <w:r>
              <w:rPr>
                <w:rFonts w:ascii="Courier New" w:cs="Courier New" w:eastAsia="Courier New" w:hAnsi="Courier New"/>
                <w:sz w:val="18"/>
                <w:szCs w:val="18"/>
                <w:color w:val="auto"/>
              </w:rPr>
              <w:t>- 3 -</w:t>
            </w: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380"/>
          </w:cols>
          <w:pgMar w:left="240" w:top="136" w:right="279" w:bottom="1440" w:gutter="0" w:footer="0" w:header="0"/>
        </w:sectPr>
      </w:pPr>
    </w:p>
    <w:bookmarkStart w:id="8" w:name="page9"/>
    <w:bookmarkEnd w:id="8"/>
    <w:p>
      <w:pPr>
        <w:jc w:val="center"/>
        <w:ind w:right="165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NOTES TO UNAUDITED CONDENSED INTERIM CONSOLIDATED</w:t>
      </w:r>
    </w:p>
    <w:p>
      <w:pPr>
        <w:spacing w:after="0" w:line="5" w:lineRule="exact"/>
        <w:rPr>
          <w:sz w:val="20"/>
          <w:szCs w:val="20"/>
          <w:color w:val="auto"/>
        </w:rPr>
      </w:pPr>
    </w:p>
    <w:p>
      <w:pPr>
        <w:ind w:left="1060" w:right="2839" w:firstLine="1053"/>
        <w:spacing w:after="0" w:line="290" w:lineRule="auto"/>
        <w:rPr>
          <w:sz w:val="20"/>
          <w:szCs w:val="20"/>
          <w:color w:val="auto"/>
        </w:rPr>
      </w:pPr>
      <w:r>
        <w:rPr>
          <w:rFonts w:ascii="Courier New" w:cs="Courier New" w:eastAsia="Courier New" w:hAnsi="Courier New"/>
          <w:sz w:val="16"/>
          <w:szCs w:val="16"/>
          <w:color w:val="auto"/>
        </w:rPr>
        <w:t>FINANCIAL STATEMENTS AS OF MARCH 31, 2008 (dollars in thousands, except share data and per share data)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GENERAL</w:t>
      </w:r>
    </w:p>
    <w:p>
      <w:pPr>
        <w:spacing w:after="0" w:line="201"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FOR PRESENTATION</w:t>
      </w:r>
    </w:p>
    <w:p>
      <w:pPr>
        <w:spacing w:after="0" w:line="206" w:lineRule="exact"/>
        <w:rPr>
          <w:rFonts w:ascii="Courier New" w:cs="Courier New" w:eastAsia="Courier New" w:hAnsi="Courier New"/>
          <w:sz w:val="18"/>
          <w:szCs w:val="18"/>
          <w:color w:val="auto"/>
        </w:rPr>
      </w:pPr>
    </w:p>
    <w:p>
      <w:pPr>
        <w:ind w:left="1580" w:right="1779" w:hanging="519"/>
        <w:spacing w:after="0" w:line="270" w:lineRule="auto"/>
        <w:tabs>
          <w:tab w:leader="none" w:pos="15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condensed interim consolidated financial statements as of March 31, 2008 and for the three months then ended ("interim financial statements") of Tower Semiconductor Ltd. and subsidiary ("the Company") should be read in conjunction with the audited consolidated financial statements of the Company as of December 31, 2007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390" w:lineRule="exact"/>
        <w:rPr>
          <w:rFonts w:ascii="Courier New" w:cs="Courier New" w:eastAsia="Courier New" w:hAnsi="Courier New"/>
          <w:sz w:val="16"/>
          <w:szCs w:val="16"/>
          <w:color w:val="auto"/>
        </w:rPr>
      </w:pPr>
    </w:p>
    <w:p>
      <w:pPr>
        <w:ind w:left="1580" w:right="1779" w:hanging="519"/>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interim financial statements are presented in accordance with U.S. generally accepted accounting principles ("US GAAP"). Prior to the 2007 audited consolidated financial statements, the Company prepared its financial statements in accordance with generally accepted accounting principles in Israel ("IL GAAP") and provided reconciliation to US GAAP in the notes to the financial statements.</w:t>
      </w:r>
    </w:p>
    <w:p>
      <w:pPr>
        <w:spacing w:after="0" w:line="205"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RECENTLY ISSUED ACCOUNTING STANDARDS</w:t>
      </w:r>
    </w:p>
    <w:p>
      <w:pPr>
        <w:spacing w:after="0" w:line="206" w:lineRule="exact"/>
        <w:rPr>
          <w:rFonts w:ascii="Courier New" w:cs="Courier New" w:eastAsia="Courier New" w:hAnsi="Courier New"/>
          <w:sz w:val="18"/>
          <w:szCs w:val="18"/>
          <w:color w:val="auto"/>
        </w:rPr>
      </w:pPr>
    </w:p>
    <w:p>
      <w:pPr>
        <w:ind w:left="158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2008, the Financial Accounting Standards Board (the "FASB") issued Statement of Financial Accounting Standards No. 161, Disclosures about Derivative Instruments and Hedging Activities ("SFAS 161"). SFAS 161 changes the disclosure requirements for derivative instruments and hedging activities. The Company will be required to provide enhanced disclosures about (a) how and why derivative instruments are used; (b) how derivative instruments and related hedged items are accounted for under Statement of Financial Accounting Standards No. 133, Accounting for Derivative Instruments and Certain Hedging Activities ("SFAS 133"), and its related interpretations; and (c) how derivative instruments and related hedged items affect the Company's financial position, financial performance, and cash flows. This statement is effective for financial statements issued for fiscal years and interim periods beginning after November 15, 2008. The Company is currently evaluating the additional disclosure requirements of SFAS 161.</w:t>
      </w:r>
    </w:p>
    <w:p>
      <w:pPr>
        <w:spacing w:after="0" w:line="208" w:lineRule="exact"/>
        <w:rPr>
          <w:rFonts w:ascii="Courier New" w:cs="Courier New" w:eastAsia="Courier New" w:hAnsi="Courier New"/>
          <w:sz w:val="18"/>
          <w:szCs w:val="18"/>
          <w:color w:val="auto"/>
        </w:rPr>
      </w:pPr>
    </w:p>
    <w:p>
      <w:pPr>
        <w:ind w:left="1580" w:right="2099" w:hanging="519"/>
        <w:spacing w:after="0" w:line="235"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amounts in prior years' financial statements have been reclassified in order to conform to 2008 presentation.</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ectPr>
          <w:pgSz w:w="11900" w:h="16838" w:orient="portrait"/>
          <w:cols w:equalWidth="0" w:num="1">
            <w:col w:w="10219"/>
          </w:cols>
          <w:pgMar w:left="240" w:top="919" w:right="1440" w:bottom="1440" w:gutter="0" w:footer="0" w:header="0"/>
        </w:sectPr>
      </w:pPr>
    </w:p>
    <w:bookmarkStart w:id="9" w:name="page10"/>
    <w:bookmarkEnd w:id="9"/>
    <w:p>
      <w:pPr>
        <w:jc w:val="center"/>
        <w:ind w:right="165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NOTES TO UNAUDITED CONDENSED INTERIM CONSOLIDATED</w:t>
      </w:r>
    </w:p>
    <w:p>
      <w:pPr>
        <w:spacing w:after="0" w:line="5" w:lineRule="exact"/>
        <w:rPr>
          <w:sz w:val="20"/>
          <w:szCs w:val="20"/>
          <w:color w:val="auto"/>
        </w:rPr>
      </w:pPr>
    </w:p>
    <w:p>
      <w:pPr>
        <w:ind w:left="1060" w:right="2839" w:firstLine="1053"/>
        <w:spacing w:after="0" w:line="290" w:lineRule="auto"/>
        <w:rPr>
          <w:sz w:val="20"/>
          <w:szCs w:val="20"/>
          <w:color w:val="auto"/>
        </w:rPr>
      </w:pPr>
      <w:r>
        <w:rPr>
          <w:rFonts w:ascii="Courier New" w:cs="Courier New" w:eastAsia="Courier New" w:hAnsi="Courier New"/>
          <w:sz w:val="16"/>
          <w:szCs w:val="16"/>
          <w:color w:val="auto"/>
        </w:rPr>
        <w:t>FINANCIAL STATEMENTS AS OF MARCH 31, 2008 (dollars in thousands, except share data and per share data)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GENERAL (CONT.)</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AND OPERATIONS OF NEW FABRICATION FACILITY ("FAB 2")</w:t>
      </w:r>
    </w:p>
    <w:p>
      <w:pPr>
        <w:spacing w:after="0" w:line="206" w:lineRule="exact"/>
        <w:rPr>
          <w:rFonts w:ascii="Courier New" w:cs="Courier New" w:eastAsia="Courier New" w:hAnsi="Courier New"/>
          <w:sz w:val="18"/>
          <w:szCs w:val="18"/>
          <w:color w:val="auto"/>
        </w:rPr>
      </w:pPr>
    </w:p>
    <w:p>
      <w:pPr>
        <w:ind w:left="1060" w:right="1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w:t>
      </w: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200-millimeter wafers. In connection with the establishment, equipping and financing of Fab 2, the Company has entered into several related agreements and other arrangements and has completed several public and private financing transactions. For additional information, see Notes 9B,13A,14C and 14F-M to the 2007 audited consolidated financial statements.</w:t>
      </w:r>
    </w:p>
    <w:p>
      <w:pPr>
        <w:spacing w:after="0" w:line="209"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Fab 2 project is a complex undertaking, which entails substantial risks and uncertainties. For further details concerning the Fab 2 project and related agreements, some of which were amended several times, see Notes 9B and 13A to the 2007 audited consolidated financial statements.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OF THE COMPANY'S ONGOING OPERATIONS</w:t>
      </w:r>
    </w:p>
    <w:p>
      <w:pPr>
        <w:spacing w:after="0" w:line="206" w:lineRule="exact"/>
        <w:rPr>
          <w:rFonts w:ascii="Courier New" w:cs="Courier New" w:eastAsia="Courier New" w:hAnsi="Courier New"/>
          <w:sz w:val="18"/>
          <w:szCs w:val="18"/>
          <w:color w:val="auto"/>
        </w:rPr>
      </w:pPr>
    </w:p>
    <w:p>
      <w:pPr>
        <w:ind w:left="106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recent years, the Company has experienced significant recurring losses, recurring negative cash flows from operating activities and an increasing accumulated deficit. The Company is working in various ways to mitigate its financial difficulties. Since the second half of 2005, the Company has increased its customer base, mainly in Fab 2, modified its organizational structure to better address its customers and its market positioning, increased its sales, recorded ten consecutive quarters of positive EBITDA commencing the fourth quarter of 2005 and six consecutive quarters of positive cash flow from operations commencing the fourth quarter of 2006, reduced its losses, increased its capacity level and utilization rates, raised funds and restructured its bank debt. See also Notes 9B, 13A(4), 14C and 14 I-M to the 2007 audited consolidated financial statements.</w:t>
      </w:r>
    </w:p>
    <w:p>
      <w:pPr>
        <w:spacing w:after="0" w:line="207" w:lineRule="exact"/>
        <w:rPr>
          <w:rFonts w:ascii="Courier New" w:cs="Courier New" w:eastAsia="Courier New" w:hAnsi="Courier New"/>
          <w:sz w:val="18"/>
          <w:szCs w:val="18"/>
          <w:color w:val="auto"/>
        </w:rPr>
      </w:pPr>
    </w:p>
    <w:p>
      <w:pPr>
        <w:ind w:left="10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continues to examine alternatives for additional funding sources in order to fund its Fab2 ramp-up plan.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5 -</w:t>
      </w:r>
    </w:p>
    <w:p>
      <w:pPr>
        <w:sectPr>
          <w:pgSz w:w="11900" w:h="16838" w:orient="portrait"/>
          <w:cols w:equalWidth="0" w:num="1">
            <w:col w:w="10219"/>
          </w:cols>
          <w:pgMar w:left="240" w:top="919" w:right="1440" w:bottom="1440" w:gutter="0" w:footer="0" w:header="0"/>
        </w:sectPr>
      </w:pPr>
    </w:p>
    <w:bookmarkStart w:id="10" w:name="page11"/>
    <w:bookmarkEnd w:id="10"/>
    <w:p>
      <w:pPr>
        <w:jc w:val="center"/>
        <w:ind w:right="165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NOTES TO UNAUDITED CONDENSED INTERIM CONSOLIDATED</w:t>
      </w:r>
    </w:p>
    <w:p>
      <w:pPr>
        <w:spacing w:after="0" w:line="5" w:lineRule="exact"/>
        <w:rPr>
          <w:sz w:val="20"/>
          <w:szCs w:val="20"/>
          <w:color w:val="auto"/>
        </w:rPr>
      </w:pPr>
    </w:p>
    <w:p>
      <w:pPr>
        <w:ind w:left="1060" w:right="2839" w:firstLine="1053"/>
        <w:spacing w:after="0" w:line="290" w:lineRule="auto"/>
        <w:rPr>
          <w:sz w:val="20"/>
          <w:szCs w:val="20"/>
          <w:color w:val="auto"/>
        </w:rPr>
      </w:pPr>
      <w:r>
        <w:rPr>
          <w:rFonts w:ascii="Courier New" w:cs="Courier New" w:eastAsia="Courier New" w:hAnsi="Courier New"/>
          <w:sz w:val="16"/>
          <w:szCs w:val="16"/>
          <w:color w:val="auto"/>
        </w:rPr>
        <w:t>FINANCIAL STATEMENTS AS OF MARCH 31, 2008 (dollars in thousands, except share data and per share data)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INVENTORIES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Inventories consist of the following:</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31,</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19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2008</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19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$12,594</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$12,351</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19,549</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14,964</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2,255</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491</w:t>
            </w:r>
          </w:p>
        </w:tc>
      </w:tr>
      <w:tr>
        <w:trPr>
          <w:trHeight w:val="203"/>
        </w:trPr>
        <w:tc>
          <w:tcPr>
            <w:tcW w:w="19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$34,398</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$27,806</w:t>
            </w:r>
          </w:p>
        </w:tc>
      </w:tr>
      <w:tr>
        <w:trPr>
          <w:trHeight w:val="203"/>
        </w:trPr>
        <w:tc>
          <w:tcPr>
            <w:tcW w:w="190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2099"/>
        <w:spacing w:after="0" w:line="236" w:lineRule="auto"/>
        <w:rPr>
          <w:sz w:val="20"/>
          <w:szCs w:val="20"/>
          <w:color w:val="auto"/>
        </w:rPr>
      </w:pPr>
      <w:r>
        <w:rPr>
          <w:rFonts w:ascii="Courier New" w:cs="Courier New" w:eastAsia="Courier New" w:hAnsi="Courier New"/>
          <w:sz w:val="18"/>
          <w:szCs w:val="18"/>
          <w:color w:val="auto"/>
        </w:rPr>
        <w:t>Work in process and finished goods inventories are presented net of aggregate write downs to net realizable value of $7,218 and $6,497 as of March 31, 2008 and December 31, 2007,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FAIR VALUE MEASUREMENTS</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Company decided to early adopt the provisions of SFAS No. 157 effective January 1, 2007, concurrent with the adoption of FASB 159 "The Fair Value Option for Financial Assets and Financial Liabilities" (SFAS No. 159). In February 2008, the FASB issued FASB Staff Position 157-2 ("FSP 157-2"), which delayed the implementation of SFAS 157 until January 1, 2009 for nonfinancial assets and liabilities that are not required to be measured at fair value on a recurring basis. We early adopted FASB No. 157 as of January 1, 2007 and as such would not be affected by the issuance of this FSP.</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income approach was applied using a present value technique. For Loans</w:t>
      </w:r>
    </w:p>
    <w:p>
      <w:pPr>
        <w:spacing w:after="0" w:line="21" w:lineRule="exact"/>
        <w:rPr>
          <w:sz w:val="20"/>
          <w:szCs w:val="20"/>
          <w:color w:val="auto"/>
        </w:rPr>
      </w:pPr>
    </w:p>
    <w:p>
      <w:pPr>
        <w:ind w:left="540" w:right="1879" w:hanging="5"/>
        <w:spacing w:after="0" w:line="272" w:lineRule="auto"/>
        <w:tabs>
          <w:tab w:leader="none" w:pos="7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cash flows used in that technique reflect the income stream expected to be used to satisfy the obligation over its economic life. For Embedded Derivatives - the Company utilized the Black Scholes Merton formula. For Over the Counter derivatives - the Company used the market approach using quotation from dealer markets. For convertible debentures series E - The market approach was applied using quoted prices for the same debentures.</w:t>
      </w:r>
    </w:p>
    <w:p>
      <w:pPr>
        <w:spacing w:after="0" w:line="382"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w:t>
      </w:r>
    </w:p>
    <w:p>
      <w:pPr>
        <w:sectPr>
          <w:pgSz w:w="11900" w:h="16838" w:orient="portrait"/>
          <w:cols w:equalWidth="0" w:num="1">
            <w:col w:w="10219"/>
          </w:cols>
          <w:pgMar w:left="240" w:top="919" w:right="1440" w:bottom="1440" w:gutter="0" w:footer="0" w:header="0"/>
        </w:sectPr>
      </w:pPr>
    </w:p>
    <w:bookmarkStart w:id="11" w:name="page12"/>
    <w:bookmarkEnd w:id="11"/>
    <w:p>
      <w:pPr>
        <w:ind w:left="2220"/>
        <w:spacing w:after="0"/>
        <w:rPr>
          <w:sz w:val="20"/>
          <w:szCs w:val="20"/>
          <w:color w:val="auto"/>
        </w:rPr>
      </w:pPr>
      <w:r>
        <w:rPr>
          <w:rFonts w:ascii="Courier New" w:cs="Courier New" w:eastAsia="Courier New" w:hAnsi="Courier New"/>
          <w:sz w:val="18"/>
          <w:szCs w:val="18"/>
          <w:color w:val="auto"/>
        </w:rPr>
        <w:t>TOWER SEMICONDUCTOR LTD. AND SUBSIDIARY</w:t>
      </w:r>
    </w:p>
    <w:p>
      <w:pPr>
        <w:ind w:left="1700"/>
        <w:spacing w:after="0" w:line="238" w:lineRule="auto"/>
        <w:rPr>
          <w:sz w:val="20"/>
          <w:szCs w:val="20"/>
          <w:color w:val="auto"/>
        </w:rPr>
      </w:pPr>
      <w:r>
        <w:rPr>
          <w:rFonts w:ascii="Courier New" w:cs="Courier New" w:eastAsia="Courier New" w:hAnsi="Courier New"/>
          <w:sz w:val="18"/>
          <w:szCs w:val="18"/>
          <w:color w:val="auto"/>
        </w:rPr>
        <w:t>NOTES TO UNAUDITED CONDENSED INTERIM CONSOLIDATED</w:t>
      </w:r>
    </w:p>
    <w:p>
      <w:pPr>
        <w:ind w:left="2120"/>
        <w:spacing w:after="0"/>
        <w:rPr>
          <w:sz w:val="20"/>
          <w:szCs w:val="20"/>
          <w:color w:val="auto"/>
        </w:rPr>
      </w:pPr>
      <w:r>
        <w:rPr>
          <w:rFonts w:ascii="Courier New" w:cs="Courier New" w:eastAsia="Courier New" w:hAnsi="Courier New"/>
          <w:sz w:val="18"/>
          <w:szCs w:val="18"/>
          <w:color w:val="auto"/>
        </w:rPr>
        <w:t>FINANCIAL STATEMENTS AS OF MARCH 31, 2008</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(dollars in thousands, except share data and per share data)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FAIR VALUE MEASUREMENTS (CONT.)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Recurring Fair Value Measurements Using:</w:t>
      </w:r>
    </w:p>
    <w:p>
      <w:pPr>
        <w:sectPr>
          <w:pgSz w:w="11900" w:h="16838" w:orient="portrait"/>
          <w:cols w:equalWidth="0" w:num="1">
            <w:col w:w="10440"/>
          </w:cols>
          <w:pgMar w:left="240" w:top="919"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March 31,</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2008</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Quoted</w:t>
      </w:r>
    </w:p>
    <w:p>
      <w:pPr>
        <w:spacing w:after="0" w:line="238" w:lineRule="auto"/>
        <w:rPr>
          <w:sz w:val="20"/>
          <w:szCs w:val="20"/>
          <w:color w:val="auto"/>
        </w:rPr>
      </w:pPr>
      <w:r>
        <w:rPr>
          <w:rFonts w:ascii="Courier New" w:cs="Courier New" w:eastAsia="Courier New" w:hAnsi="Courier New"/>
          <w:sz w:val="18"/>
          <w:szCs w:val="18"/>
          <w:color w:val="auto"/>
        </w:rPr>
        <w:t>prices in</w:t>
      </w:r>
    </w:p>
    <w:p>
      <w:pPr>
        <w:ind w:left="200"/>
        <w:spacing w:after="0"/>
        <w:rPr>
          <w:sz w:val="20"/>
          <w:szCs w:val="20"/>
          <w:color w:val="auto"/>
        </w:rPr>
      </w:pPr>
      <w:r>
        <w:rPr>
          <w:rFonts w:ascii="Courier New" w:cs="Courier New" w:eastAsia="Courier New" w:hAnsi="Courier New"/>
          <w:sz w:val="18"/>
          <w:szCs w:val="18"/>
          <w:color w:val="auto"/>
        </w:rPr>
        <w:t>active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identical</w:t>
      </w:r>
    </w:p>
    <w:p>
      <w:pPr>
        <w:spacing w:after="0" w:line="238" w:lineRule="auto"/>
        <w:rPr>
          <w:sz w:val="20"/>
          <w:szCs w:val="20"/>
          <w:color w:val="auto"/>
        </w:rPr>
      </w:pPr>
      <w:r>
        <w:rPr>
          <w:rFonts w:ascii="Courier New" w:cs="Courier New" w:eastAsia="Courier New" w:hAnsi="Courier New"/>
          <w:sz w:val="18"/>
          <w:szCs w:val="18"/>
          <w:color w:val="auto"/>
        </w:rPr>
        <w:t>liability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(Level 1)</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Significant</w:t>
      </w:r>
    </w:p>
    <w:p>
      <w:pPr>
        <w:ind w:left="100"/>
        <w:spacing w:after="0" w:line="238" w:lineRule="auto"/>
        <w:rPr>
          <w:sz w:val="20"/>
          <w:szCs w:val="20"/>
          <w:color w:val="auto"/>
        </w:rPr>
      </w:pPr>
      <w:r>
        <w:rPr>
          <w:rFonts w:ascii="Courier New" w:cs="Courier New" w:eastAsia="Courier New" w:hAnsi="Courier New"/>
          <w:sz w:val="18"/>
          <w:szCs w:val="18"/>
          <w:color w:val="auto"/>
        </w:rPr>
        <w:t>Unobservable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Inputs (Level 3)</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860" w:space="420"/>
            <w:col w:w="1040" w:space="220"/>
            <w:col w:w="3900"/>
          </w:cols>
          <w:pgMar w:left="240" w:top="919" w:right="12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Quoted securities - convertible</w:t>
      </w:r>
    </w:p>
    <w:p>
      <w:pPr>
        <w:sectPr>
          <w:pgSz w:w="11900" w:h="16838" w:orient="portrait"/>
          <w:cols w:equalWidth="0" w:num="1">
            <w:col w:w="10440"/>
          </w:cols>
          <w:pgMar w:left="240" w:top="919" w:right="1219" w:bottom="1440" w:gutter="0" w:footer="0" w:header="0"/>
          <w:type w:val="continuous"/>
        </w:sectPr>
      </w:pPr>
    </w:p>
    <w:p>
      <w:pPr>
        <w:spacing w:after="0" w:line="21" w:lineRule="exact"/>
        <w:rPr>
          <w:sz w:val="20"/>
          <w:szCs w:val="20"/>
          <w:color w:val="auto"/>
        </w:rPr>
      </w:pPr>
    </w:p>
    <w:p>
      <w:pPr>
        <w:ind w:right="1180"/>
        <w:spacing w:after="0" w:line="236" w:lineRule="auto"/>
        <w:rPr>
          <w:sz w:val="20"/>
          <w:szCs w:val="20"/>
          <w:color w:val="auto"/>
        </w:rPr>
      </w:pPr>
      <w:r>
        <w:rPr>
          <w:rFonts w:ascii="Courier New" w:cs="Courier New" w:eastAsia="Courier New" w:hAnsi="Courier New"/>
          <w:sz w:val="18"/>
          <w:szCs w:val="18"/>
          <w:color w:val="auto"/>
        </w:rPr>
        <w:t>debentures series E Long-term debt Derivatives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$ 27,326</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360,210</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5,672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$393,208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$ 27,326</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jc w:val="right"/>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$ 27,326</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both"/>
        <w:spacing w:after="0"/>
        <w:tabs>
          <w:tab w:leader="none" w:pos="6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jc w:val="right"/>
        <w:ind w:right="2740"/>
        <w:spacing w:after="0" w:line="238" w:lineRule="auto"/>
        <w:rPr>
          <w:sz w:val="20"/>
          <w:szCs w:val="20"/>
          <w:color w:val="auto"/>
        </w:rPr>
      </w:pPr>
      <w:r>
        <w:rPr>
          <w:rFonts w:ascii="Courier New" w:cs="Courier New" w:eastAsia="Courier New" w:hAnsi="Courier New"/>
          <w:sz w:val="18"/>
          <w:szCs w:val="18"/>
          <w:color w:val="auto"/>
        </w:rPr>
        <w:t>360,210</w:t>
      </w:r>
    </w:p>
    <w:p>
      <w:pPr>
        <w:jc w:val="right"/>
        <w:ind w:right="2740"/>
        <w:spacing w:after="0"/>
        <w:rPr>
          <w:sz w:val="20"/>
          <w:szCs w:val="20"/>
          <w:color w:val="auto"/>
        </w:rPr>
      </w:pPr>
      <w:r>
        <w:rPr>
          <w:rFonts w:ascii="Courier New" w:cs="Courier New" w:eastAsia="Courier New" w:hAnsi="Courier New"/>
          <w:sz w:val="18"/>
          <w:szCs w:val="18"/>
          <w:color w:val="auto"/>
        </w:rPr>
        <w:t>5,672</w:t>
      </w:r>
    </w:p>
    <w:p>
      <w:pPr>
        <w:spacing w:after="0" w:line="3" w:lineRule="exact"/>
        <w:rPr>
          <w:sz w:val="20"/>
          <w:szCs w:val="20"/>
          <w:color w:val="auto"/>
        </w:rPr>
      </w:pPr>
    </w:p>
    <w:p>
      <w:pPr>
        <w:jc w:val="right"/>
        <w:ind w:right="2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2740"/>
        <w:spacing w:after="0"/>
        <w:rPr>
          <w:sz w:val="20"/>
          <w:szCs w:val="20"/>
          <w:color w:val="auto"/>
        </w:rPr>
      </w:pPr>
      <w:r>
        <w:rPr>
          <w:rFonts w:ascii="Courier New" w:cs="Courier New" w:eastAsia="Courier New" w:hAnsi="Courier New"/>
          <w:sz w:val="16"/>
          <w:szCs w:val="16"/>
          <w:color w:val="auto"/>
        </w:rPr>
        <w:t>$365,882</w:t>
      </w:r>
    </w:p>
    <w:p>
      <w:pPr>
        <w:spacing w:after="0" w:line="21" w:lineRule="exact"/>
        <w:rPr>
          <w:sz w:val="20"/>
          <w:szCs w:val="20"/>
          <w:color w:val="auto"/>
        </w:rPr>
      </w:pPr>
    </w:p>
    <w:p>
      <w:pPr>
        <w:jc w:val="right"/>
        <w:ind w:right="2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180" w:space="720"/>
            <w:col w:w="840" w:space="640"/>
            <w:col w:w="840" w:space="640"/>
            <w:col w:w="3580"/>
          </w:cols>
          <w:pgMar w:left="240" w:top="919" w:right="1219" w:bottom="1440" w:gutter="0" w:footer="0" w:header="0"/>
          <w:type w:val="continuous"/>
        </w:sectPr>
      </w:pPr>
    </w:p>
    <w:p>
      <w:pPr>
        <w:spacing w:after="0" w:line="24" w:lineRule="exact"/>
        <w:rPr>
          <w:sz w:val="20"/>
          <w:szCs w:val="20"/>
          <w:color w:val="auto"/>
        </w:rPr>
      </w:pPr>
    </w:p>
    <w:p>
      <w:pPr>
        <w:ind w:left="540" w:right="2640"/>
        <w:spacing w:after="0" w:line="235" w:lineRule="auto"/>
        <w:rPr>
          <w:sz w:val="20"/>
          <w:szCs w:val="20"/>
          <w:color w:val="auto"/>
        </w:rPr>
      </w:pPr>
      <w:r>
        <w:rPr>
          <w:rFonts w:ascii="Courier New" w:cs="Courier New" w:eastAsia="Courier New" w:hAnsi="Courier New"/>
          <w:sz w:val="18"/>
          <w:szCs w:val="18"/>
          <w:color w:val="auto"/>
        </w:rPr>
        <w:t>Asset Measurement on a Recurring Basis Using Significant Unobservable Inputs (Level 3):</w:t>
      </w:r>
    </w:p>
    <w:p>
      <w:pPr>
        <w:sectPr>
          <w:pgSz w:w="11900" w:h="16838" w:orient="portrait"/>
          <w:cols w:equalWidth="0" w:num="1">
            <w:col w:w="10440"/>
          </w:cols>
          <w:pgMar w:left="240" w:top="919" w:right="1219" w:bottom="1440" w:gutter="0" w:footer="0" w:header="0"/>
          <w:type w:val="continuous"/>
        </w:sect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Long-term debt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6"/>
          <w:szCs w:val="16"/>
          <w:color w:val="auto"/>
        </w:rPr>
        <w:t>Derivatives</w:t>
      </w:r>
    </w:p>
    <w:p>
      <w:pPr>
        <w:spacing w:after="0" w:line="16"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6540" w:space="420"/>
            <w:col w:w="3480"/>
          </w:cols>
          <w:pgMar w:left="240" w:top="919" w:right="12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January 1, 2008- at fair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gains unrealized in earnings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March 31, 2008 - at fair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$ 365,563</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(5,353)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$ 360,210</w:t>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8"/>
          <w:szCs w:val="18"/>
          <w:color w:val="auto"/>
        </w:rPr>
        <w:t>$</w:t>
        <w:tab/>
        <w:t>7,313</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(1,641)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400" w:val="left"/>
        </w:tabs>
        <w:rPr>
          <w:sz w:val="20"/>
          <w:szCs w:val="20"/>
          <w:color w:val="auto"/>
        </w:rPr>
      </w:pPr>
      <w:r>
        <w:rPr>
          <w:rFonts w:ascii="Courier New" w:cs="Courier New" w:eastAsia="Courier New" w:hAnsi="Courier New"/>
          <w:sz w:val="18"/>
          <w:szCs w:val="18"/>
          <w:color w:val="auto"/>
        </w:rPr>
        <w:t>$</w:t>
        <w:tab/>
        <w:t>5,672</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660" w:space="720"/>
            <w:col w:w="1060" w:space="620"/>
            <w:col w:w="3380"/>
          </w:cols>
          <w:pgMar w:left="240" w:top="919" w:right="1219" w:bottom="1440" w:gutter="0" w:footer="0" w:header="0"/>
          <w:type w:val="continuous"/>
        </w:sectPr>
      </w:pPr>
    </w:p>
    <w:p>
      <w:pPr>
        <w:spacing w:after="0"/>
        <w:tabs>
          <w:tab w:leader="none" w:pos="1780" w:val="left"/>
        </w:tabs>
        <w:rPr>
          <w:sz w:val="20"/>
          <w:szCs w:val="20"/>
          <w:color w:val="auto"/>
        </w:rPr>
      </w:pPr>
      <w:r>
        <w:rPr>
          <w:rFonts w:ascii="Courier New" w:cs="Courier New" w:eastAsia="Courier New" w:hAnsi="Courier New"/>
          <w:sz w:val="18"/>
          <w:szCs w:val="18"/>
          <w:color w:val="auto"/>
        </w:rPr>
        <w:t>Unrealized gain</w:t>
      </w:r>
      <w:r>
        <w:rPr>
          <w:sz w:val="20"/>
          <w:szCs w:val="20"/>
          <w:color w:val="auto"/>
        </w:rPr>
        <w:tab/>
      </w:r>
      <w:r>
        <w:rPr>
          <w:rFonts w:ascii="Courier New" w:cs="Courier New" w:eastAsia="Courier New" w:hAnsi="Courier New"/>
          <w:sz w:val="16"/>
          <w:szCs w:val="16"/>
          <w:color w:val="auto"/>
        </w:rPr>
        <w:t>in earnings from liabilities</w:t>
      </w:r>
    </w:p>
    <w:p>
      <w:pPr>
        <w:sectPr>
          <w:pgSz w:w="11900" w:h="16838" w:orient="portrait"/>
          <w:cols w:equalWidth="0" w:num="1">
            <w:col w:w="10440"/>
          </w:cols>
          <w:pgMar w:left="240" w:top="919" w:right="121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still held at period end</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(5,353)</w:t>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(1,641)</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4660" w:space="720"/>
            <w:col w:w="1060" w:space="620"/>
            <w:col w:w="3380"/>
          </w:cols>
          <w:pgMar w:left="240" w:top="919" w:right="1219" w:bottom="1440" w:gutter="0" w:footer="0" w:header="0"/>
          <w:type w:val="continuous"/>
        </w:sectPr>
      </w:pP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Recurring Fair Value Measurements Using:</w:t>
      </w:r>
    </w:p>
    <w:p>
      <w:pPr>
        <w:sectPr>
          <w:pgSz w:w="11900" w:h="16838" w:orient="portrait"/>
          <w:cols w:equalWidth="0" w:num="1">
            <w:col w:w="10440"/>
          </w:cols>
          <w:pgMar w:left="240" w:top="919"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December 31,</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2007</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Quoted</w:t>
      </w:r>
    </w:p>
    <w:p>
      <w:pPr>
        <w:spacing w:after="0" w:line="238" w:lineRule="auto"/>
        <w:rPr>
          <w:sz w:val="20"/>
          <w:szCs w:val="20"/>
          <w:color w:val="auto"/>
        </w:rPr>
      </w:pPr>
      <w:r>
        <w:rPr>
          <w:rFonts w:ascii="Courier New" w:cs="Courier New" w:eastAsia="Courier New" w:hAnsi="Courier New"/>
          <w:sz w:val="18"/>
          <w:szCs w:val="18"/>
          <w:color w:val="auto"/>
        </w:rPr>
        <w:t>prices in</w:t>
      </w:r>
    </w:p>
    <w:p>
      <w:pPr>
        <w:ind w:left="100"/>
        <w:spacing w:after="0"/>
        <w:rPr>
          <w:sz w:val="20"/>
          <w:szCs w:val="20"/>
          <w:color w:val="auto"/>
        </w:rPr>
      </w:pPr>
      <w:r>
        <w:rPr>
          <w:rFonts w:ascii="Courier New" w:cs="Courier New" w:eastAsia="Courier New" w:hAnsi="Courier New"/>
          <w:sz w:val="18"/>
          <w:szCs w:val="18"/>
          <w:color w:val="auto"/>
        </w:rPr>
        <w:t>active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identical</w:t>
      </w:r>
    </w:p>
    <w:p>
      <w:pPr>
        <w:spacing w:after="0" w:line="238" w:lineRule="auto"/>
        <w:rPr>
          <w:sz w:val="20"/>
          <w:szCs w:val="20"/>
          <w:color w:val="auto"/>
        </w:rPr>
      </w:pPr>
      <w:r>
        <w:rPr>
          <w:rFonts w:ascii="Courier New" w:cs="Courier New" w:eastAsia="Courier New" w:hAnsi="Courier New"/>
          <w:sz w:val="18"/>
          <w:szCs w:val="18"/>
          <w:color w:val="auto"/>
        </w:rPr>
        <w:t>liability</w:t>
      </w:r>
    </w:p>
    <w:p>
      <w:pPr>
        <w:spacing w:after="0"/>
        <w:rPr>
          <w:sz w:val="20"/>
          <w:szCs w:val="20"/>
          <w:color w:val="auto"/>
        </w:rPr>
      </w:pPr>
      <w:r>
        <w:rPr>
          <w:rFonts w:ascii="Courier New" w:cs="Courier New" w:eastAsia="Courier New" w:hAnsi="Courier New"/>
          <w:sz w:val="18"/>
          <w:szCs w:val="18"/>
          <w:color w:val="auto"/>
        </w:rPr>
        <w:t>(Level 1)</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Significant</w:t>
      </w:r>
    </w:p>
    <w:p>
      <w:pPr>
        <w:jc w:val="center"/>
        <w:spacing w:after="0" w:line="238"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observable Inputs</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(Level 2)</w:t>
      </w:r>
    </w:p>
    <w:p>
      <w:pPr>
        <w:jc w:val="cente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Significant</w:t>
      </w:r>
    </w:p>
    <w:p>
      <w:pPr>
        <w:ind w:left="200"/>
        <w:spacing w:after="0" w:line="238" w:lineRule="auto"/>
        <w:rPr>
          <w:sz w:val="20"/>
          <w:szCs w:val="20"/>
          <w:color w:val="auto"/>
        </w:rPr>
      </w:pPr>
      <w:r>
        <w:rPr>
          <w:rFonts w:ascii="Courier New" w:cs="Courier New" w:eastAsia="Courier New" w:hAnsi="Courier New"/>
          <w:sz w:val="18"/>
          <w:szCs w:val="18"/>
          <w:color w:val="auto"/>
        </w:rPr>
        <w:t>Unobservable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Inputs (Level 3)</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4">
            <w:col w:w="5160" w:space="440"/>
            <w:col w:w="1040" w:space="220"/>
            <w:col w:w="1780" w:space="120"/>
            <w:col w:w="1680"/>
          </w:cols>
          <w:pgMar w:left="240" w:top="919" w:right="12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 securities - convertible</w:t>
      </w:r>
    </w:p>
    <w:p>
      <w:pPr>
        <w:sectPr>
          <w:pgSz w:w="11900" w:h="16838" w:orient="portrait"/>
          <w:cols w:equalWidth="0" w:num="1">
            <w:col w:w="10440"/>
          </w:cols>
          <w:pgMar w:left="240" w:top="919" w:right="1219" w:bottom="1440" w:gutter="0" w:footer="0" w:header="0"/>
          <w:type w:val="continuous"/>
        </w:sectPr>
      </w:pPr>
    </w:p>
    <w:p>
      <w:pPr>
        <w:spacing w:after="0" w:line="21" w:lineRule="exact"/>
        <w:rPr>
          <w:sz w:val="20"/>
          <w:szCs w:val="20"/>
          <w:color w:val="auto"/>
        </w:rPr>
      </w:pPr>
    </w:p>
    <w:p>
      <w:pPr>
        <w:ind w:right="1300"/>
        <w:spacing w:after="0" w:line="236" w:lineRule="auto"/>
        <w:rPr>
          <w:sz w:val="20"/>
          <w:szCs w:val="20"/>
          <w:color w:val="auto"/>
        </w:rPr>
      </w:pPr>
      <w:r>
        <w:rPr>
          <w:rFonts w:ascii="Courier New" w:cs="Courier New" w:eastAsia="Courier New" w:hAnsi="Courier New"/>
          <w:sz w:val="18"/>
          <w:szCs w:val="18"/>
          <w:color w:val="auto"/>
        </w:rPr>
        <w:t>debentures series E Long-term debt Derivatives</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28,484</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365,563</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7,018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$ 401,065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28,484</w:t>
      </w:r>
    </w:p>
    <w:p>
      <w:pPr>
        <w:spacing w:after="0" w:line="16"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w:t>
      </w:r>
    </w:p>
    <w:p>
      <w:pPr>
        <w:ind w:left="7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28,484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(295)</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(295)</w:t>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both"/>
        <w:spacing w:after="0"/>
        <w:tabs>
          <w:tab w:leader="none" w:pos="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jc w:val="right"/>
        <w:ind w:right="520"/>
        <w:spacing w:after="0" w:line="238" w:lineRule="auto"/>
        <w:rPr>
          <w:sz w:val="20"/>
          <w:szCs w:val="20"/>
          <w:color w:val="auto"/>
        </w:rPr>
      </w:pPr>
      <w:r>
        <w:rPr>
          <w:rFonts w:ascii="Courier New" w:cs="Courier New" w:eastAsia="Courier New" w:hAnsi="Courier New"/>
          <w:sz w:val="18"/>
          <w:szCs w:val="18"/>
          <w:color w:val="auto"/>
        </w:rPr>
        <w:t>365,563</w:t>
      </w:r>
    </w:p>
    <w:p>
      <w:pPr>
        <w:jc w:val="right"/>
        <w:ind w:right="520"/>
        <w:spacing w:after="0"/>
        <w:rPr>
          <w:sz w:val="20"/>
          <w:szCs w:val="20"/>
          <w:color w:val="auto"/>
        </w:rPr>
      </w:pPr>
      <w:r>
        <w:rPr>
          <w:rFonts w:ascii="Courier New" w:cs="Courier New" w:eastAsia="Courier New" w:hAnsi="Courier New"/>
          <w:sz w:val="18"/>
          <w:szCs w:val="18"/>
          <w:color w:val="auto"/>
        </w:rPr>
        <w:t>7,313</w:t>
      </w:r>
    </w:p>
    <w:p>
      <w:pPr>
        <w:spacing w:after="0" w:line="3"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6"/>
          <w:szCs w:val="16"/>
          <w:color w:val="auto"/>
        </w:rPr>
        <w:t>$ 372,876</w:t>
      </w:r>
    </w:p>
    <w:p>
      <w:pPr>
        <w:spacing w:after="0" w:line="21"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6"/>
          <w:szCs w:val="16"/>
          <w:color w:val="auto"/>
        </w:rPr>
        <w:t>=========</w:t>
      </w:r>
    </w:p>
    <w:p>
      <w:pPr>
        <w:spacing w:after="0" w:line="217" w:lineRule="exact"/>
        <w:rPr>
          <w:sz w:val="20"/>
          <w:szCs w:val="20"/>
          <w:color w:val="auto"/>
        </w:rPr>
      </w:pPr>
    </w:p>
    <w:p>
      <w:pPr>
        <w:sectPr>
          <w:pgSz w:w="11900" w:h="16838" w:orient="portrait"/>
          <w:cols w:equalWidth="0" w:num="5">
            <w:col w:w="3300" w:space="720"/>
            <w:col w:w="940" w:space="640"/>
            <w:col w:w="960" w:space="720"/>
            <w:col w:w="1060" w:space="620"/>
            <w:col w:w="1480"/>
          </w:cols>
          <w:pgMar w:left="240" w:top="919" w:right="121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- 7 -</w:t>
      </w:r>
    </w:p>
    <w:p>
      <w:pPr>
        <w:sectPr>
          <w:pgSz w:w="11900" w:h="16838" w:orient="portrait"/>
          <w:cols w:equalWidth="0" w:num="1">
            <w:col w:w="10440"/>
          </w:cols>
          <w:pgMar w:left="240" w:top="919" w:right="1219" w:bottom="1440" w:gutter="0" w:footer="0" w:header="0"/>
          <w:type w:val="continuous"/>
        </w:sectPr>
      </w:pPr>
    </w:p>
    <w:bookmarkStart w:id="12" w:name="page13"/>
    <w:bookmarkEnd w:id="12"/>
    <w:p>
      <w:pPr>
        <w:jc w:val="center"/>
        <w:ind w:right="165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NOTES TO UNAUDITED CONDENSED INTERIM CONSOLIDATED</w:t>
      </w:r>
    </w:p>
    <w:p>
      <w:pPr>
        <w:spacing w:after="0" w:line="5" w:lineRule="exact"/>
        <w:rPr>
          <w:sz w:val="20"/>
          <w:szCs w:val="20"/>
          <w:color w:val="auto"/>
        </w:rPr>
      </w:pPr>
    </w:p>
    <w:p>
      <w:pPr>
        <w:ind w:left="1060" w:right="2839" w:firstLine="1053"/>
        <w:spacing w:after="0" w:line="290" w:lineRule="auto"/>
        <w:rPr>
          <w:sz w:val="20"/>
          <w:szCs w:val="20"/>
          <w:color w:val="auto"/>
        </w:rPr>
      </w:pPr>
      <w:r>
        <w:rPr>
          <w:rFonts w:ascii="Courier New" w:cs="Courier New" w:eastAsia="Courier New" w:hAnsi="Courier New"/>
          <w:sz w:val="16"/>
          <w:szCs w:val="16"/>
          <w:color w:val="auto"/>
        </w:rPr>
        <w:t>FINANCIAL STATEMENTS AS OF MARCH 31, 2008 (dollars in thousands, except share data and per share data)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FAIR VALUE MEASUREMENTS (CONT.)</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Asset Measurement on a Recurring Basis Using Significant Unobservable Inputs (Level 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Long-term debt</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Derivatives</w:t>
            </w:r>
          </w:p>
        </w:tc>
      </w:tr>
      <w:tr>
        <w:trPr>
          <w:trHeight w:val="203"/>
        </w:trPr>
        <w:tc>
          <w:tcPr>
            <w:tcW w:w="4960" w:type="dxa"/>
            <w:vAlign w:val="bottom"/>
          </w:tcPr>
          <w:p>
            <w:pPr>
              <w:spacing w:after="0"/>
              <w:rPr>
                <w:sz w:val="17"/>
                <w:szCs w:val="17"/>
                <w:color w:val="auto"/>
              </w:rPr>
            </w:pP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As of January 1, 2007- at fair value</w:t>
            </w:r>
          </w:p>
        </w:tc>
        <w:tc>
          <w:tcPr>
            <w:tcW w:w="1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$ 367,223</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11,513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gains unrealized in earnings</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(1,660)</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(4,200)</w:t>
            </w:r>
          </w:p>
        </w:tc>
      </w:tr>
      <w:tr>
        <w:trPr>
          <w:trHeight w:val="203"/>
        </w:trPr>
        <w:tc>
          <w:tcPr>
            <w:tcW w:w="4960" w:type="dxa"/>
            <w:vAlign w:val="bottom"/>
          </w:tcPr>
          <w:p>
            <w:pPr>
              <w:spacing w:after="0"/>
              <w:rPr>
                <w:sz w:val="17"/>
                <w:szCs w:val="17"/>
                <w:color w:val="auto"/>
              </w:rPr>
            </w:pP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As of December 31, 2007 - at fair value</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$ 365,563</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7,313</w:t>
            </w:r>
          </w:p>
        </w:tc>
      </w:tr>
      <w:tr>
        <w:trPr>
          <w:trHeight w:val="203"/>
        </w:trPr>
        <w:tc>
          <w:tcPr>
            <w:tcW w:w="4960" w:type="dxa"/>
            <w:vAlign w:val="bottom"/>
          </w:tcPr>
          <w:p>
            <w:pPr>
              <w:spacing w:after="0"/>
              <w:rPr>
                <w:sz w:val="17"/>
                <w:szCs w:val="17"/>
                <w:color w:val="auto"/>
              </w:rPr>
            </w:pP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Unrealized gain  in earnings from liabilities</w:t>
            </w: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still held at period end</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(1,660)</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(4,200)</w:t>
            </w:r>
          </w:p>
        </w:tc>
      </w:tr>
      <w:tr>
        <w:trPr>
          <w:trHeight w:val="203"/>
        </w:trPr>
        <w:tc>
          <w:tcPr>
            <w:tcW w:w="4960" w:type="dxa"/>
            <w:vAlign w:val="bottom"/>
          </w:tcPr>
          <w:p>
            <w:pPr>
              <w:spacing w:after="0"/>
              <w:rPr>
                <w:sz w:val="17"/>
                <w:szCs w:val="17"/>
                <w:color w:val="auto"/>
              </w:rPr>
            </w:pP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RECENT DEVELOPMENTS</w:t>
      </w:r>
    </w:p>
    <w:p>
      <w:pPr>
        <w:spacing w:after="0" w:line="201"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w:t>
      </w:r>
    </w:p>
    <w:p>
      <w:pPr>
        <w:spacing w:after="0" w:line="206" w:lineRule="exact"/>
        <w:rPr>
          <w:rFonts w:ascii="Courier New" w:cs="Courier New" w:eastAsia="Courier New" w:hAnsi="Courier New"/>
          <w:sz w:val="18"/>
          <w:szCs w:val="18"/>
          <w:color w:val="auto"/>
        </w:rPr>
      </w:pPr>
    </w:p>
    <w:p>
      <w:pPr>
        <w:ind w:left="106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January 2008, the Company has filed a shelf registration statement on Form F-3 with the U.S. Securities and Exchange Commission, registering the possible offer and sale from time to time of up to $40,000 of securities which the Company may elect to so offer and sell during the three years following the effective date of the registration statement. The registration form was declared effective in February 2008. The Company has made no decisions as to when, if at all, it will actually raise funds under this registration statement.</w:t>
      </w:r>
    </w:p>
    <w:p>
      <w:pPr>
        <w:spacing w:after="0" w:line="180"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AGREEMENT AMENDMENT</w:t>
      </w:r>
    </w:p>
    <w:p>
      <w:pPr>
        <w:spacing w:after="0" w:line="206"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2004, the Company and Siliconix incorporated ("Siliconix"), a subsidiary of Vishay Intertechnology Inc., entered into a definitive long-term foundry agreement for semiconductor manufacturing in the Company's Fab 1. During the first quarter of 2008, the parties amended the agreement to revise the terms of the purchase of trench wafers products as well as transfer additional product platforms to Tower for manufacturing new products to Siliconix in Fab 1.</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ectPr>
          <w:pgSz w:w="11900" w:h="16838" w:orient="portrait"/>
          <w:cols w:equalWidth="0" w:num="1">
            <w:col w:w="10219"/>
          </w:cols>
          <w:pgMar w:left="240" w:top="919" w:right="1440" w:bottom="1440" w:gutter="0" w:footer="0" w:header="0"/>
        </w:sectPr>
      </w:pPr>
    </w:p>
    <w:bookmarkStart w:id="13" w:name="page14"/>
    <w:bookmarkEnd w:id="13"/>
    <w:p>
      <w:pPr>
        <w:jc w:val="center"/>
        <w:ind w:right="165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59"/>
        <w:spacing w:after="0" w:line="238" w:lineRule="auto"/>
        <w:rPr>
          <w:sz w:val="20"/>
          <w:szCs w:val="20"/>
          <w:color w:val="auto"/>
        </w:rPr>
      </w:pPr>
      <w:r>
        <w:rPr>
          <w:rFonts w:ascii="Courier New" w:cs="Courier New" w:eastAsia="Courier New" w:hAnsi="Courier New"/>
          <w:sz w:val="18"/>
          <w:szCs w:val="18"/>
          <w:color w:val="auto"/>
        </w:rPr>
        <w:t>NOTES TO UNAUDITED CONDENSED INTERIM CONSOLIDATED</w:t>
      </w:r>
    </w:p>
    <w:p>
      <w:pPr>
        <w:spacing w:after="0" w:line="5" w:lineRule="exact"/>
        <w:rPr>
          <w:sz w:val="20"/>
          <w:szCs w:val="20"/>
          <w:color w:val="auto"/>
        </w:rPr>
      </w:pPr>
    </w:p>
    <w:p>
      <w:pPr>
        <w:ind w:left="1060" w:right="2839" w:firstLine="1053"/>
        <w:spacing w:after="0" w:line="290" w:lineRule="auto"/>
        <w:rPr>
          <w:sz w:val="20"/>
          <w:szCs w:val="20"/>
          <w:color w:val="auto"/>
        </w:rPr>
      </w:pPr>
      <w:r>
        <w:rPr>
          <w:rFonts w:ascii="Courier New" w:cs="Courier New" w:eastAsia="Courier New" w:hAnsi="Courier New"/>
          <w:sz w:val="16"/>
          <w:szCs w:val="16"/>
          <w:color w:val="auto"/>
        </w:rPr>
        <w:t>FINANCIAL STATEMENTS AS OF MARCH 31, 2008 (dollars in thousands, except share data and per share data)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RECENT DEVELOPMENTS (CONT.)</w:t>
      </w:r>
    </w:p>
    <w:p>
      <w:pPr>
        <w:spacing w:after="0" w:line="201"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HEDGING ACTIVITIES</w:t>
      </w:r>
    </w:p>
    <w:p>
      <w:pPr>
        <w:spacing w:after="0" w:line="206" w:lineRule="exact"/>
        <w:rPr>
          <w:rFonts w:ascii="Courier New" w:cs="Courier New" w:eastAsia="Courier New" w:hAnsi="Courier New"/>
          <w:sz w:val="18"/>
          <w:szCs w:val="18"/>
          <w:color w:val="auto"/>
        </w:rPr>
      </w:pPr>
    </w:p>
    <w:p>
      <w:pPr>
        <w:ind w:left="106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of March 31, 2008 and December 31, 2007, the Company had outstanding agreements to hedge the cash flows variability of interest rate on loans, the aggregate amount of which was $370,000 and $80,000 respectively. These agreements resulted in realized interest income of $168 and $276 for the three months ended March 31, 2008 and 2007, respectively, and in realized interest income of $1,074 for the year ended December 31, 2007. For additional information, see also Note 11A to the 2007 audited consolidated financial statements.</w:t>
      </w:r>
    </w:p>
    <w:p>
      <w:pPr>
        <w:spacing w:after="0" w:line="180"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JAZZ TECHNOLOGIES</w:t>
      </w:r>
    </w:p>
    <w:p>
      <w:pPr>
        <w:spacing w:after="0" w:line="206" w:lineRule="exact"/>
        <w:rPr>
          <w:rFonts w:ascii="Courier New" w:cs="Courier New" w:eastAsia="Courier New" w:hAnsi="Courier New"/>
          <w:sz w:val="18"/>
          <w:szCs w:val="18"/>
          <w:color w:val="auto"/>
        </w:rPr>
      </w:pPr>
    </w:p>
    <w:p>
      <w:pPr>
        <w:ind w:left="10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May 2008, the Company entered into a definitive agreement (the "Agreement") with Jazz Technologies(TM), Inc (AMEX: JAZ), the parent company of its wholly-owned subsidiary, Jazz Semiconductor, a leading independent wafer foundry focused on Analog-Intensive Mixed -Signal (AIMS) process technologies based in NewPort Beach, California ("Jazz"), pursuant to which the Company is to acquire Jazz in a stock-for-stock transaction.</w:t>
      </w:r>
    </w:p>
    <w:p>
      <w:pPr>
        <w:spacing w:after="0" w:line="211" w:lineRule="exact"/>
        <w:rPr>
          <w:rFonts w:ascii="Courier New" w:cs="Courier New" w:eastAsia="Courier New" w:hAnsi="Courier New"/>
          <w:sz w:val="18"/>
          <w:szCs w:val="18"/>
          <w:color w:val="auto"/>
        </w:rPr>
      </w:pPr>
    </w:p>
    <w:p>
      <w:pPr>
        <w:ind w:left="1060"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Agreement provides that, upon the terms and subject to the conditions set in the Agreement, Jazz will merge with a wholly-owned subsidiary of the Company (to be formed for that purpose), with Jazz as the surviving corporation (the "Acquisition"). The Agreement has been approved by the boards of directors of both the Company and Jazz and is subject to the approval of Jazz's shareholders and other customary closing conditions and other regulatory approvals. The acquisition is expected to close in the second half of 2008.</w:t>
      </w:r>
    </w:p>
    <w:p>
      <w:pPr>
        <w:spacing w:after="0" w:line="382"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10219"/>
          </w:cols>
          <w:pgMar w:left="240" w:top="919" w:right="1440" w:bottom="1440" w:gutter="0" w:footer="0" w:header="0"/>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CONDITION AND RESULTS OF OPERATIONS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INFORMATION CONTAINED IN THIS SECTION SHOULD BE READ IN CONJUNCTION WITH (1) OUR UNAUDITED CONDENSED INTERIM CONSOLIDATED FINANCIAL STATEMENTS AS OF MARCH 31, 2008 AND FOR THE THREE MONTHS THEN ENDED AND RELATED NOTES INCLUDED IN THIS REPORT AND (2) OUR CONSOLIDATED FINANCIAL STATEMENTS AS OF DECEMBER 31, 2007 AND RELATED NOTES FOR THE YEAR THEN ENDED AND (3) OUR REPORT OF FORM 6-K, FILED FEBRUARY 7, 2008. OUR FINANCIAL STATEMENTS HAVE BEEN PREPARED IN ACCORDANCE WITH GENERALLY ACCEPTED ACCOUNTING PRINCIPLES IN UNITED STATES ("US GAAP").</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Prior to the 2007 audited consolidated financial statements, the Company prepared its financial statements in accordance with generally accepted accounting principles in Israel ("IL GAAP") and provided reconciliation to US GAAP in the notes to the financial statements. The Company recasted the comparative amounts included in its financial statements and in this report to US GAAP.</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table sets forth certain statement of operations data as a percentage of total revenues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8"/>
                <w:szCs w:val="18"/>
                <w:color w:val="auto"/>
              </w:rPr>
              <w:t>THREE MONTHS</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5160" w:type="dxa"/>
            <w:vAlign w:val="bottom"/>
          </w:tcPr>
          <w:p>
            <w:pPr>
              <w:spacing w:after="0"/>
              <w:rPr>
                <w:sz w:val="17"/>
                <w:szCs w:val="17"/>
                <w:color w:val="auto"/>
              </w:rPr>
            </w:pPr>
          </w:p>
        </w:tc>
        <w:tc>
          <w:tcPr>
            <w:tcW w:w="318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160" w:type="dxa"/>
            <w:vAlign w:val="bottom"/>
          </w:tcPr>
          <w:p>
            <w:pPr>
              <w:spacing w:after="0"/>
              <w:rPr>
                <w:sz w:val="17"/>
                <w:szCs w:val="17"/>
                <w:color w:val="auto"/>
              </w:rPr>
            </w:pPr>
          </w:p>
        </w:tc>
        <w:tc>
          <w:tcPr>
            <w:tcW w:w="318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rPr>
                <w:sz w:val="17"/>
                <w:szCs w:val="17"/>
                <w:color w:val="auto"/>
              </w:rPr>
            </w:pPr>
          </w:p>
        </w:tc>
        <w:tc>
          <w:tcPr>
            <w:tcW w:w="1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2008</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5160" w:type="dxa"/>
            <w:vAlign w:val="bottom"/>
          </w:tcPr>
          <w:p>
            <w:pPr>
              <w:spacing w:after="0"/>
              <w:rPr>
                <w:sz w:val="17"/>
                <w:szCs w:val="17"/>
                <w:color w:val="auto"/>
              </w:rPr>
            </w:pPr>
          </w:p>
        </w:tc>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total sales</w:t>
            </w:r>
          </w:p>
        </w:tc>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118.5</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128.6</w:t>
            </w:r>
          </w:p>
        </w:tc>
      </w:tr>
      <w:tr>
        <w:trPr>
          <w:trHeight w:val="203"/>
        </w:trPr>
        <w:tc>
          <w:tcPr>
            <w:tcW w:w="5160" w:type="dxa"/>
            <w:vAlign w:val="bottom"/>
          </w:tcPr>
          <w:p>
            <w:pPr>
              <w:spacing w:after="0"/>
              <w:rPr>
                <w:sz w:val="17"/>
                <w:szCs w:val="17"/>
                <w:color w:val="auto"/>
              </w:rPr>
            </w:pPr>
          </w:p>
        </w:tc>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loss</w:t>
            </w: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(18.5)</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(28.6)</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Research and development expenses, net</w:t>
            </w:r>
          </w:p>
        </w:tc>
        <w:tc>
          <w:tcPr>
            <w:tcW w:w="16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5.2</w:t>
            </w:r>
          </w:p>
        </w:tc>
        <w:tc>
          <w:tcPr>
            <w:tcW w:w="15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6.5</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general and administrative expenses</w:t>
            </w:r>
          </w:p>
        </w:tc>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13.5</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5160" w:type="dxa"/>
            <w:vAlign w:val="bottom"/>
          </w:tcPr>
          <w:p>
            <w:pPr>
              <w:spacing w:after="0"/>
              <w:rPr>
                <w:sz w:val="17"/>
                <w:szCs w:val="17"/>
                <w:color w:val="auto"/>
              </w:rPr>
            </w:pPr>
          </w:p>
        </w:tc>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loss</w:t>
            </w: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(37.1)</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(49.6)</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 expense, net</w:t>
            </w: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(13.5)</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(22.9)</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(expenses), net</w:t>
            </w:r>
          </w:p>
        </w:tc>
        <w:tc>
          <w:tcPr>
            <w:tcW w:w="16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(0.7)</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5160" w:type="dxa"/>
            <w:vAlign w:val="bottom"/>
          </w:tcPr>
          <w:p>
            <w:pPr>
              <w:spacing w:after="0"/>
              <w:rPr>
                <w:sz w:val="17"/>
                <w:szCs w:val="17"/>
                <w:color w:val="auto"/>
              </w:rPr>
            </w:pPr>
          </w:p>
        </w:tc>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(51.4)%</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(72.4)%</w:t>
            </w:r>
          </w:p>
        </w:tc>
      </w:tr>
      <w:tr>
        <w:trPr>
          <w:trHeight w:val="203"/>
        </w:trPr>
        <w:tc>
          <w:tcPr>
            <w:tcW w:w="5160" w:type="dxa"/>
            <w:vAlign w:val="bottom"/>
          </w:tcPr>
          <w:p>
            <w:pPr>
              <w:spacing w:after="0"/>
              <w:rPr>
                <w:sz w:val="17"/>
                <w:szCs w:val="17"/>
                <w:color w:val="auto"/>
              </w:rPr>
            </w:pPr>
          </w:p>
        </w:tc>
        <w:tc>
          <w:tcPr>
            <w:tcW w:w="16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gridSpan w:val="2"/>
          </w:tcPr>
          <w:p>
            <w:pPr>
              <w:spacing w:after="0"/>
              <w:rPr>
                <w:sz w:val="20"/>
                <w:szCs w:val="20"/>
                <w:color w:val="auto"/>
              </w:rPr>
            </w:pPr>
            <w:r>
              <w:rPr>
                <w:rFonts w:ascii="Courier New" w:cs="Courier New" w:eastAsia="Courier New" w:hAnsi="Courier New"/>
                <w:sz w:val="18"/>
                <w:szCs w:val="18"/>
                <w:color w:val="auto"/>
                <w:w w:val="98"/>
              </w:rPr>
              <w:t>THREE MONTHS ENDED MARCH 31, 2008 COMPARED TO THREE MONTHS ENDED</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MARCH 31, 2007</w:t>
            </w:r>
          </w:p>
        </w:tc>
      </w:tr>
    </w:tbl>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REVENUES. Revenues for the three months ended March 31, 2008 increased by 3.6% to $57.6 million from $55.6 million for the three months ended March 31, 2007.</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COST OF TOTAL SALES. Cost of total sales for the three months ended March 31, 2008 amounted to $68.3 million, compared with $71.5 million for the three months ended March 31, 2007. This decrease of 4.6% in cost of sales despite the increase in revenues was mainly attributable to a reduction in depreciation and amortization expenses following the previously announced change in the estimated useful lives of the Company's machinery and equipment in the second quarter of 2007 (and as a result, the Company's machinery and equipment is depreciated over estimated useful lives of 7 years rather than 5 years).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GROSS LOSS. Gross loss for the three months ended March 31, 2008 was $10.6 million compared to a gross loss of $15.9 million for the three months ended March 31, 2007. The decrease in gross loss was mainly attributable to the 4.6% decrease in Cost of Total Sales and by the 3.6% increase in Sales as described above.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RESEARCH AND DEVELOPMENT. Research and development expenses for the three months ended March 31, 2008 decreased to $3.0 million from $3.6 million for the three months ended March 31, 2007.</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MARKETING, GENERAL AND ADMINISTRATIVE EXPENSES. Marketing, general and administrative expenses for the three months ended March 31, 2008 decreased to $7.8 million from $8.1 million for the three months ended March 31, 2007.</w:t>
      </w:r>
    </w:p>
    <w:p>
      <w:pPr>
        <w:spacing w:after="0" w:line="209"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OPERATING LOSS. Operating loss for the three months ended March 31, 2008 was $21.4 million, compared to $27.6 million for the three months ended March 31, 2007. The decrease in the operating loss is attributable mainly to the</w:t>
      </w:r>
    </w:p>
    <w:p>
      <w:pPr>
        <w:sectPr>
          <w:pgSz w:w="11900" w:h="16838" w:orient="portrait"/>
          <w:cols w:equalWidth="0" w:num="1">
            <w:col w:w="10219"/>
          </w:cols>
          <w:pgMar w:left="240" w:top="339"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decrease in the gross loss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FINANCING EXPENSES, NET. Financing expenses, net for the three months ended March 31, 2008 were $7.8 million compared to financing expenses, net of $12.7 million for the three months ended March 31, 2007. This decrease is mainly due to measuring at fair value of our loans and convertible debentures derivatives which was partially offset by the influence of the valuation of the NIS in relation to the dollar.</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OTHER (EXPENSE) INCOME, NET. Other expense, net, for the three months ended March 31, 2008 was $0.4 million compared to other income, net of $0.1 million for the three months ended March 31, 2007.</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LOSS. Loss for the three months ended March 31, 2008 was $29.6 million, compared to $40.2 million for the three months ended March 31, 2007. This decrease is attributable to the decrease of $5 million in the gross loss and to the $5 million decrease in financing expenses described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OF INFLATION AND CURRENCY FLUCTUATIONS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dollar cost of our operations in Israel is influenced by the timing of any change in the rate of inflation in Israel and the extent to which such change is not offset by the change in valuation of the NIS in relation to the dollar. During the three months ended March 31, 2008, the exchange rate of the dollar in relation to the NIS decreased by 7.6% and there was no change in the Israeli Consumer Price Index, or CPI (during the three months ended March 31, 2007 there was a decrease of 1.7% in the exchange rate of the dollar in relation to the NIS and a decrease of 0.2% in the CPI).</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 The recent devaluation of the US dollar in relation to the NIS mainly increased our dollar expenses related to our NIS denominated debentures and the dollar amount of our NIS denominated expenses.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As of March 31, 2008, we had an aggregate of $32.4 million in cash and cash equivalents. This compares to $44.5 million we had as of December 31, 2007.</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three months ended March 31, 2008, we raised $32 million through long-term loans and generated a net amount of $3.7 million from our operating activities. These liquidity resources partially financed the capital expenditure investments we made during the three months ended March 31, 2008, which aggregated to an amount of $41.1 million, in connection with the purchase and installation of equipment for the ramp up of Fab 2 and repayment of convertible debentures in the amount of $8.2 million.</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continue to examine alternatives for additional funding sources in order to fund our Fab2 ramp-up plan, support our growth plans, including the Jazz's acquisition described below, and improve our shareholders' equity, otherwise expected to become negative.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March 31, 2008, we had long-term loans from banks in the amount of $390.2 million (most of which are presented at fair value), which we obtained mainly in connection with the establishment of Fab 2. As of such date, we had an aggregate of $125.0 million of debentures, of which $8.4 million are presented as current maturities.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OF JAZZ TECHNOLOGIES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May 2008, the Company entered into a definitive agreement (the "Agreement") with Jazz Technologies(TM), Inc (AMEX: JAZ), the parent company of its wholly-owned subsidiary, Jazz Semiconductor, a leading independent wafer foundry focused on Analog-Intensive Mixed -Signal (AIMS) process technologies based in NewPort Beach, California ("Jazz"), pursuant to which the Company is to acquire Jazz in a stock-for-stock transaction.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Agreement provides that, upon the terms and subject to the conditions set in</w:t>
      </w:r>
    </w:p>
    <w:p>
      <w:pPr>
        <w:sectPr>
          <w:pgSz w:w="11900" w:h="16838" w:orient="portrait"/>
          <w:cols w:equalWidth="0" w:num="1">
            <w:col w:w="10219"/>
          </w:cols>
          <w:pgMar w:left="240" w:top="136" w:right="1440" w:bottom="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the Agreement, Jazz will merge with a wholly-owned subsidiary of the Company (to be formed for that purpose), with Jazz as the surviving corporation (the "Acquisition"). The Agreement has been approved by the boards of directors of both the Company and Jazz and is subject to the approval of Jazz's shareholders and other customary closing conditions and other regulatory approvals. The acquisition is expected to close in the second half of 2008.</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
    <w:nsid w:val="3D1B58BA"/>
    <w:multiLevelType w:val="hybridMultilevel"/>
    <w:lvl w:ilvl="0">
      <w:lvlJc w:val="left"/>
      <w:lvlText w:val="%1."/>
      <w:numFmt w:val="upperLetter"/>
      <w:start w:val="2"/>
    </w:lvl>
    <w:lvl w:ilvl="1">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1."/>
      <w:numFmt w:val="upperLetter"/>
      <w:start w:val="1"/>
    </w:lvl>
    <w:lvl w:ilvl="1">
      <w:lvlJc w:val="left"/>
      <w:lvlText w:val="-"/>
      <w:numFmt w:val="bullet"/>
      <w:start w:val="1"/>
    </w:lvl>
  </w:abstractNum>
  <w:abstractNum w:abstractNumId="6">
    <w:nsid w:val="41B71EFB"/>
    <w:multiLevelType w:val="hybridMultilevel"/>
    <w:lvl w:ilvl="0">
      <w:lvlJc w:val="left"/>
      <w:lvlText w:val="%1."/>
      <w:numFmt w:val="upperLetter"/>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2019-12-14T04:14:53Z</dcterms:created>
  <dcterms:modified xsi:type="dcterms:W3CDTF">2019-12-14T04:14:53Z</dcterms:modified>
</cp:coreProperties>
</file>