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5"/>
          <w:szCs w:val="15"/>
          <w:color w:val="auto"/>
        </w:rPr>
        <w:t>FORM 6-K</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Washington, D.C. 20549</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month of May 2003</w:t>
      </w:r>
    </w:p>
    <w:p>
      <w:pPr>
        <w:spacing w:after="0" w:line="200" w:lineRule="exact"/>
        <w:rPr>
          <w:sz w:val="24"/>
          <w:szCs w:val="24"/>
          <w:color w:val="auto"/>
        </w:rPr>
      </w:pPr>
    </w:p>
    <w:p>
      <w:pPr>
        <w:spacing w:after="0" w:line="313"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TOWER SEMICONDUCTOR LTD.</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342"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10556</w:t>
      </w:r>
    </w:p>
    <w:p>
      <w:pPr>
        <w:spacing w:after="0" w:line="1"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right="3119" w:firstLine="799"/>
        <w:spacing w:after="0" w:line="238"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343"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Form 20-F x Form 40-F</w:t>
      </w:r>
    </w:p>
    <w:p>
      <w:pPr>
        <w:spacing w:after="0" w:line="1" w:lineRule="exact"/>
        <w:rPr>
          <w:sz w:val="24"/>
          <w:szCs w:val="24"/>
          <w:color w:val="auto"/>
        </w:rPr>
      </w:pPr>
    </w:p>
    <w:p>
      <w:pPr>
        <w:ind w:left="3280"/>
        <w:spacing w:after="0"/>
        <w:tabs>
          <w:tab w:leader="none" w:pos="4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15" w:lineRule="exact"/>
        <w:rPr>
          <w:sz w:val="24"/>
          <w:szCs w:val="24"/>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4" w:lineRule="exact"/>
        <w:rPr>
          <w:sz w:val="24"/>
          <w:szCs w:val="24"/>
          <w:color w:val="auto"/>
        </w:rPr>
      </w:pPr>
    </w:p>
    <w:p>
      <w:pPr>
        <w:ind w:left="2840"/>
        <w:spacing w:after="0"/>
        <w:tabs>
          <w:tab w:leader="none" w:pos="352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No x</w:t>
      </w:r>
    </w:p>
    <w:p>
      <w:pPr>
        <w:spacing w:after="0" w:line="1" w:lineRule="exact"/>
        <w:rPr>
          <w:sz w:val="24"/>
          <w:szCs w:val="24"/>
          <w:color w:val="auto"/>
        </w:rPr>
      </w:pPr>
    </w:p>
    <w:p>
      <w:pPr>
        <w:ind w:left="3720" w:hanging="623"/>
        <w:spacing w:after="0"/>
        <w:tabs>
          <w:tab w:leader="none" w:pos="37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571" w:right="1440" w:bottom="1440" w:gutter="0" w:footer="0" w:header="0"/>
        </w:sectPr>
      </w:pPr>
    </w:p>
    <w:bookmarkStart w:id="1" w:name="page2"/>
    <w:bookmarkEnd w:id="1"/>
    <w:p>
      <w:pPr>
        <w:ind w:right="3219" w:firstLine="799"/>
        <w:spacing w:after="0" w:line="239" w:lineRule="auto"/>
        <w:rPr>
          <w:sz w:val="20"/>
          <w:szCs w:val="20"/>
          <w:color w:val="auto"/>
        </w:rPr>
      </w:pPr>
      <w:r>
        <w:rPr>
          <w:rFonts w:ascii="Courier New" w:cs="Courier New" w:eastAsia="Courier New" w:hAnsi="Courier New"/>
          <w:sz w:val="15"/>
          <w:szCs w:val="15"/>
          <w:color w:val="auto"/>
        </w:rPr>
        <w:t>On May 4, 2003, the Registrant announced its financial results for the three months ended March 31, 2003. Attached hereto are the Registrant's unaudited condensed interim financial statements as of March 31, 2003 and for the three month period then ended.</w:t>
      </w:r>
    </w:p>
    <w:p>
      <w:pPr>
        <w:spacing w:after="0" w:line="176" w:lineRule="exact"/>
        <w:rPr>
          <w:sz w:val="20"/>
          <w:szCs w:val="20"/>
          <w:color w:val="auto"/>
        </w:rPr>
      </w:pPr>
    </w:p>
    <w:p>
      <w:pPr>
        <w:ind w:right="3479" w:firstLine="799"/>
        <w:spacing w:after="0" w:line="271" w:lineRule="auto"/>
        <w:rPr>
          <w:sz w:val="20"/>
          <w:szCs w:val="20"/>
          <w:color w:val="auto"/>
        </w:rPr>
      </w:pPr>
      <w:r>
        <w:rPr>
          <w:rFonts w:ascii="Courier New" w:cs="Courier New" w:eastAsia="Courier New" w:hAnsi="Courier New"/>
          <w:sz w:val="14"/>
          <w:szCs w:val="14"/>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972" w:right="1440" w:bottom="1440" w:gutter="0" w:footer="0" w:header="0"/>
        </w:sectPr>
      </w:pPr>
    </w:p>
    <w:bookmarkStart w:id="2" w:name="page3"/>
    <w:bookmarkEnd w:id="2"/>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right="3399" w:firstLine="79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19"/>
          </w:cols>
          <w:pgMar w:left="240" w:top="969"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4,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Tamar Cohen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5"/>
          <w:szCs w:val="15"/>
          <w:color w:val="auto"/>
        </w:rPr>
        <w:t>Name:</w:t>
        <w:tab/>
        <w:t>Tamar Cohen</w:t>
      </w:r>
    </w:p>
    <w:p>
      <w:pPr>
        <w:spacing w:after="0" w:line="1" w:lineRule="exact"/>
        <w:rPr>
          <w:sz w:val="20"/>
          <w:szCs w:val="20"/>
          <w:color w:val="auto"/>
        </w:rPr>
      </w:pPr>
    </w:p>
    <w:p>
      <w:pPr>
        <w:ind w:left="180"/>
        <w:spacing w:after="0"/>
        <w:tabs>
          <w:tab w:leader="none" w:pos="860" w:val="left"/>
        </w:tabs>
        <w:rPr>
          <w:sz w:val="20"/>
          <w:szCs w:val="20"/>
          <w:color w:val="auto"/>
        </w:rPr>
      </w:pPr>
      <w:r>
        <w:rPr>
          <w:rFonts w:ascii="Courier New" w:cs="Courier New" w:eastAsia="Courier New" w:hAnsi="Courier New"/>
          <w:sz w:val="15"/>
          <w:szCs w:val="15"/>
          <w:color w:val="auto"/>
        </w:rPr>
        <w:t>Title:</w:t>
        <w:tab/>
        <w:t>Corporate Secretary</w:t>
      </w:r>
    </w:p>
    <w:p>
      <w:pPr>
        <w:sectPr>
          <w:pgSz w:w="11900" w:h="16838" w:orient="portrait"/>
          <w:cols w:equalWidth="0" w:num="2">
            <w:col w:w="2820" w:space="720"/>
            <w:col w:w="6679"/>
          </w:cols>
          <w:pgMar w:left="240" w:top="969" w:right="1440" w:bottom="1440" w:gutter="0" w:footer="0" w:header="0"/>
          <w:type w:val="continuous"/>
        </w:sectPr>
      </w:pPr>
    </w:p>
    <w:bookmarkStart w:id="3" w:name="page4"/>
    <w:bookmarkEnd w:id="3"/>
    <w:p>
      <w:pPr>
        <w:ind w:left="9"/>
        <w:spacing w:after="0"/>
        <w:rPr>
          <w:sz w:val="20"/>
          <w:szCs w:val="20"/>
          <w:color w:val="auto"/>
        </w:rPr>
      </w:pPr>
      <w:r>
        <w:rPr>
          <w:rFonts w:ascii="Courier New" w:cs="Courier New" w:eastAsia="Courier New" w:hAnsi="Courier New"/>
          <w:sz w:val="15"/>
          <w:szCs w:val="15"/>
          <w:color w:val="auto"/>
        </w:rPr>
        <w:t>NEWS RELEASE</w:t>
      </w:r>
    </w:p>
    <w:p>
      <w:pPr>
        <w:spacing w:after="0" w:line="342"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TOWER SEMICONDUCTOR LTD. ANNOUNCES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FIRST QUARTER 2003 RESULTS</w:t>
      </w:r>
    </w:p>
    <w:p>
      <w:pPr>
        <w:spacing w:after="0" w:line="171" w:lineRule="exact"/>
        <w:rPr>
          <w:sz w:val="20"/>
          <w:szCs w:val="20"/>
          <w:color w:val="auto"/>
        </w:rPr>
      </w:pPr>
    </w:p>
    <w:p>
      <w:pPr>
        <w:ind w:left="789" w:hanging="789"/>
        <w:spacing w:after="0"/>
        <w:tabs>
          <w:tab w:leader="none" w:pos="7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FAB 1: STRONG FIRST 2003 QUARTER.</w:t>
      </w:r>
    </w:p>
    <w:p>
      <w:pPr>
        <w:ind w:left="789" w:hanging="789"/>
        <w:spacing w:after="0"/>
        <w:tabs>
          <w:tab w:leader="none" w:pos="7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FAB 2: FIRST PRODUCTION ORDERS RECEIVED.</w:t>
      </w:r>
    </w:p>
    <w:p>
      <w:pPr>
        <w:spacing w:after="0" w:line="342" w:lineRule="exact"/>
        <w:rPr>
          <w:sz w:val="20"/>
          <w:szCs w:val="20"/>
          <w:color w:val="auto"/>
        </w:rPr>
      </w:pPr>
    </w:p>
    <w:p>
      <w:pPr>
        <w:ind w:left="9"/>
        <w:spacing w:after="0"/>
        <w:tabs>
          <w:tab w:leader="none" w:pos="1409" w:val="left"/>
          <w:tab w:leader="none" w:pos="4069" w:val="left"/>
          <w:tab w:leader="none" w:pos="6629" w:val="left"/>
        </w:tabs>
        <w:rPr>
          <w:sz w:val="20"/>
          <w:szCs w:val="20"/>
          <w:color w:val="auto"/>
        </w:rPr>
      </w:pPr>
      <w:r>
        <w:rPr>
          <w:rFonts w:ascii="Courier New" w:cs="Courier New" w:eastAsia="Courier New" w:hAnsi="Courier New"/>
          <w:sz w:val="15"/>
          <w:szCs w:val="15"/>
          <w:color w:val="auto"/>
        </w:rPr>
        <w:t>MIGDAL HAEMEK,</w:t>
        <w:tab/>
        <w:t>ISRAEL-- MAY 4, 2003-- Tower</w:t>
        <w:tab/>
        <w:t>Semiconductor Ltd. (NASDAQ:</w:t>
        <w:tab/>
        <w:t>TSEM;</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TASE: TSEM) today announced results for the first quarter ended March 31, 2003.</w:t>
      </w:r>
    </w:p>
    <w:p>
      <w:pPr>
        <w:spacing w:after="0" w:line="18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Sales for the first quarter of 2003 were $12.6 million, an increase of 50% over sales of $8.4 million in the first quarter of 2002. This represents an increase of 9% over sales from operations in the prior quarter, when sales from operations were $11.6 million (the company recognized in the prior quarter an additional $4.0 million in revenue from a technology agreement). Total first quarter loss was $14.4 million, or $0.33 per share, including non-capitalized Fab 2 expenses (net) of $12.6 million, compared to a loss of $13.6 million, or $0.33 per share, including non-capitalized Fab 2 expenses (net) of $10.8 million, for the fourth quarter of 2002 and compared with a loss of $12.0 million, or $0.47 per share, including non-capitalized Fab 2 expenses (net) of $6.4 million, for the first quarter of 2002.</w:t>
      </w:r>
    </w:p>
    <w:p>
      <w:pPr>
        <w:spacing w:after="0" w:line="179"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Fab 1 operating results improved in the first quarter of 2003 due to both better unit sales and higher average selling price. Orders for Fab 1 increased relative to the prior quarter, and the Company anticipates Fab 1 sales in the second quarter of 2003 to continue to increase modestly over their Q1 2003 level. Tower expects to continue to generate positive operating cash flow from Fab 1 operations.</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Important advances were made in Tower's new flagship Fab 2 facility, for the production of devices at 0.18-micron and below. In addition to successful manufacturing of new prototypes for customers, the Company has received early orders for volume production from two of its wafer partners. Tower continues the installation of new equipment to ramp up production in Fab 2.</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"We are very pleased by the strides that we made in the first quarter of 2003. Both of our fabs performed well, strengthening our current position and laying the groundwork for future growth. In the second quarter Fab 2 is entering commercial 0.18 micron production with first volume customers orders," said Dr. Yoav Nissan-Cohen, co-CEO, Tower Semiconductor.</w:t>
      </w:r>
    </w:p>
    <w:p>
      <w:pPr>
        <w:spacing w:after="0" w:line="174" w:lineRule="exact"/>
        <w:rPr>
          <w:sz w:val="20"/>
          <w:szCs w:val="20"/>
          <w:color w:val="auto"/>
        </w:rPr>
      </w:pPr>
    </w:p>
    <w:p>
      <w:pPr>
        <w:ind w:left="9" w:right="3479"/>
        <w:spacing w:after="0" w:line="239" w:lineRule="auto"/>
        <w:rPr>
          <w:sz w:val="20"/>
          <w:szCs w:val="20"/>
          <w:color w:val="auto"/>
        </w:rPr>
      </w:pPr>
      <w:r>
        <w:rPr>
          <w:rFonts w:ascii="Courier New" w:cs="Courier New" w:eastAsia="Courier New" w:hAnsi="Courier New"/>
          <w:sz w:val="15"/>
          <w:szCs w:val="15"/>
          <w:color w:val="auto"/>
        </w:rPr>
        <w:t>Dr. Yoav Nissan-Cohen added: "We are proud that in the first quarter we were honored by Motorola with Gold Performance Excellence Award, for the fourth consecutive year. This award is another indication to Tower's position as a quality leader in the foundry industry."</w:t>
      </w:r>
    </w:p>
    <w:p>
      <w:pPr>
        <w:spacing w:after="0" w:line="17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28"/>
          </w:cols>
          <w:pgMar w:left="231" w:top="799" w:right="1440" w:bottom="1440" w:gutter="0" w:footer="0" w:header="0"/>
        </w:sectPr>
      </w:pPr>
    </w:p>
    <w:bookmarkStart w:id="4" w:name="page5"/>
    <w:bookmarkEnd w:id="4"/>
    <w:p>
      <w:pPr>
        <w:ind w:left="9" w:right="4539"/>
        <w:spacing w:after="0" w:line="238" w:lineRule="auto"/>
        <w:rPr>
          <w:sz w:val="20"/>
          <w:szCs w:val="20"/>
          <w:color w:val="auto"/>
        </w:rPr>
      </w:pPr>
      <w:r>
        <w:rPr>
          <w:rFonts w:ascii="Courier New" w:cs="Courier New" w:eastAsia="Courier New" w:hAnsi="Courier New"/>
          <w:sz w:val="15"/>
          <w:szCs w:val="15"/>
          <w:color w:val="auto"/>
        </w:rPr>
        <w:t>TOWER SEMICONDUCTOR LTD. ANNOUNCES FIRST QUARTER OF 2003 RESULTS PAGE 2 OF 2</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Tower continues to negotiate with its banks to amend its credit facility agreement to reflect the company's previously announced amendments to agreements with its major wafer and equity partners, related to their fifth milestone investments and changes to the Company's Fab 2 plan, which reflect current conditions in the semiconductor market and the world economy.</w:t>
      </w:r>
    </w:p>
    <w:p>
      <w:pPr>
        <w:spacing w:after="0" w:line="174" w:lineRule="exact"/>
        <w:rPr>
          <w:sz w:val="20"/>
          <w:szCs w:val="20"/>
          <w:color w:val="auto"/>
        </w:rPr>
      </w:pPr>
    </w:p>
    <w:p>
      <w:pPr>
        <w:ind w:left="9" w:right="3479"/>
        <w:spacing w:after="0" w:line="258" w:lineRule="auto"/>
        <w:rPr>
          <w:sz w:val="20"/>
          <w:szCs w:val="20"/>
          <w:color w:val="auto"/>
        </w:rPr>
      </w:pPr>
      <w:r>
        <w:rPr>
          <w:rFonts w:ascii="Courier New" w:cs="Courier New" w:eastAsia="Courier New" w:hAnsi="Courier New"/>
          <w:sz w:val="14"/>
          <w:szCs w:val="14"/>
          <w:color w:val="auto"/>
        </w:rPr>
        <w:t>Tower will host a conference call to discuss these results on Monday, May 5, 2003 at 11:00 a.m. Eastern time / 18:00 Israel time. To participate, call</w:t>
      </w:r>
    </w:p>
    <w:p>
      <w:pPr>
        <w:ind w:left="9" w:right="3119"/>
        <w:spacing w:after="0" w:line="261" w:lineRule="auto"/>
        <w:rPr>
          <w:sz w:val="20"/>
          <w:szCs w:val="20"/>
          <w:color w:val="auto"/>
        </w:rPr>
      </w:pPr>
      <w:r>
        <w:rPr>
          <w:rFonts w:ascii="Courier New" w:cs="Courier New" w:eastAsia="Courier New" w:hAnsi="Courier New"/>
          <w:sz w:val="14"/>
          <w:szCs w:val="14"/>
          <w:color w:val="auto"/>
        </w:rPr>
        <w:t>1-800-915-4836 (U.S. toll-free number) or 1-973-317-5319 (international) and mention ID code: TOWER. Callers in Israel are invited to call local 03-925-5910. The conference call also will be webcast live at www.companyboardroom.com and at www.towersemi.com and will be available thereafter on both Web sites for replay for 90 days, starting at 2:00 p.m. Eastern time on the day of the call.</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ABOUT TOWER SEMICONDUCTOR LTD.</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SAFE HARBOR</w:t>
      </w:r>
    </w:p>
    <w:p>
      <w:pPr>
        <w:spacing w:after="0" w:line="174" w:lineRule="exact"/>
        <w:rPr>
          <w:sz w:val="20"/>
          <w:szCs w:val="20"/>
          <w:color w:val="auto"/>
        </w:rPr>
      </w:pPr>
    </w:p>
    <w:p>
      <w:pPr>
        <w:ind w:left="9" w:right="3219" w:firstLine="799"/>
        <w:spacing w:after="0" w:line="258"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Our actual results may vary from those projected or implied by such forward-looking statements. Potential risks and uncertainties include, without limitation, risks and uncertainties associated with (i) obtaining required approvals of our shareholders and our banks to the amendment to the Fab 2 investment agreements, (ii) our need to renegotiate our Fab 2 credit facility to extend the deadlines by which were and are required to raise additional financing in 2002 and 2003 and meet the fifth and sixth milestones, which, in the absence of a renegotiated agreement, would result in an event of default under the credit facility in which event the banks would have the right to call our loans and exercise their liens against our assets,</w:t>
      </w:r>
    </w:p>
    <w:p>
      <w:pPr>
        <w:ind w:left="529" w:hanging="529"/>
        <w:spacing w:after="0"/>
        <w:tabs>
          <w:tab w:leader="none" w:pos="52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review of our Fab 2 plan currently being conducted by a leading</w:t>
      </w:r>
    </w:p>
    <w:p>
      <w:pPr>
        <w:spacing w:after="0" w:line="2" w:lineRule="exact"/>
        <w:rPr>
          <w:rFonts w:ascii="Courier New" w:cs="Courier New" w:eastAsia="Courier New" w:hAnsi="Courier New"/>
          <w:sz w:val="15"/>
          <w:szCs w:val="15"/>
          <w:color w:val="auto"/>
        </w:rPr>
      </w:pPr>
    </w:p>
    <w:p>
      <w:pPr>
        <w:ind w:left="9"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consulting company engaged by the Company which may affect the renegotiation of the terms of the credit facility, (iv) the possible claim by our wafer partners, financial investors and the Investment Center of the State of Israel of a breach of and suspension of performance under our agreements if an event of default should be declared under the credit facility, (v) raising at least $22 million of additional funding for Fab 2 before the end of 2003, which is a condition to completion of the fifth milestone investment by our major wafer and equity partners, (vi) our ability to obtain additional financing for the Fab 2 project</w:t>
      </w:r>
    </w:p>
    <w:p>
      <w:pPr>
        <w:sectPr>
          <w:pgSz w:w="11900" w:h="16838" w:orient="portrait"/>
          <w:cols w:equalWidth="0" w:num="1">
            <w:col w:w="10228"/>
          </w:cols>
          <w:pgMar w:left="231" w:top="631" w:right="1440" w:bottom="1440" w:gutter="0" w:footer="0" w:header="0"/>
        </w:sectPr>
      </w:pPr>
    </w:p>
    <w:bookmarkStart w:id="5" w:name="page6"/>
    <w:bookmarkEnd w:id="5"/>
    <w:p>
      <w:pPr>
        <w:ind w:right="4539"/>
        <w:spacing w:after="0" w:line="238" w:lineRule="auto"/>
        <w:rPr>
          <w:sz w:val="20"/>
          <w:szCs w:val="20"/>
          <w:color w:val="auto"/>
        </w:rPr>
      </w:pPr>
      <w:r>
        <w:rPr>
          <w:rFonts w:ascii="Courier New" w:cs="Courier New" w:eastAsia="Courier New" w:hAnsi="Courier New"/>
          <w:sz w:val="15"/>
          <w:szCs w:val="15"/>
          <w:color w:val="auto"/>
        </w:rPr>
        <w:t>TOWER SEMICONDUCTOR LTD. ANNOUNCES FIRST QUARTER OF 2003 RESULTS PAGE 3 OF 3</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from equity and/or wafer partners, the Israeli Investment Center, our banks, and/or other sources, as required under the Fab 2 business plan and pursuant to our agreements with our wafer and equity partners, banks and the Israeli Investment Center (vii) our satisfaction of all other conditions under our agreements with our Fab 2 equity and wafer partners, the Israeli Investment Center and our banks, (viii) obtaining the approval of the Israeli Investment Center of amendments to our modified business plan, (ix) ramp-up of production at Fab 2, (x) completion of the development and/or transfer of advanced process technologies to be utilized in our existing facility and in Fab 2, (xi) market acceptance and competitiveness of the products to be manufactured by us for customers using these technologies, (xii) obtaining additional business from new and existing customers (xiii) conditions in the market for foundry manufacturing services and in the market for semiconductor products generally and (xiv) possible loss of our exclusive foundry license with Saifun if we fail to meet certain sales levels and other conditions. A more complete discussion of risks and uncertainties that may affect the accuracy of forward-looking statements included in this press release or which may otherwise affect our business is included at "Risk Factors" in our most recent Annual Report on Form 20-F, as filed with the Securities and Exchange Commission and the Israel Securities Authority.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 # #</w:t>
            </w:r>
          </w:p>
        </w:tc>
        <w:tc>
          <w:tcPr>
            <w:tcW w:w="2260" w:type="dxa"/>
            <w:vAlign w:val="bottom"/>
          </w:tcPr>
          <w:p>
            <w:pPr>
              <w:spacing w:after="0"/>
              <w:rPr>
                <w:sz w:val="14"/>
                <w:szCs w:val="14"/>
                <w:color w:val="auto"/>
              </w:rPr>
            </w:pPr>
          </w:p>
        </w:tc>
      </w:tr>
      <w:tr>
        <w:trPr>
          <w:trHeight w:val="341"/>
        </w:trPr>
        <w:tc>
          <w:tcPr>
            <w:tcW w:w="1980" w:type="dxa"/>
            <w:vAlign w:val="bottom"/>
          </w:tcPr>
          <w:p>
            <w:pPr>
              <w:spacing w:after="0"/>
              <w:rPr>
                <w:sz w:val="20"/>
                <w:szCs w:val="20"/>
                <w:color w:val="auto"/>
              </w:rPr>
            </w:pPr>
            <w:r>
              <w:rPr>
                <w:rFonts w:ascii="Courier New" w:cs="Courier New" w:eastAsia="Courier New" w:hAnsi="Courier New"/>
                <w:sz w:val="15"/>
                <w:szCs w:val="15"/>
                <w:color w:val="auto"/>
              </w:rPr>
              <w:t>PR Agency Contact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Investor</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Relations Contact</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Corporate Contact</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JULIE LASS</w:t>
            </w:r>
          </w:p>
        </w:tc>
        <w:tc>
          <w:tcPr>
            <w:tcW w:w="2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SHELDON LUTCH</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TAMAR COHEN</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Loomis Group</w:t>
            </w:r>
          </w:p>
        </w:tc>
        <w:tc>
          <w:tcPr>
            <w:tcW w:w="2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Fusion IR &amp; Communications</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w w:val="97"/>
              </w:rPr>
              <w:t>Tower Semiconductor Ltd.</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+1 (713) 526 3737</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+1 (212)</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268 1816</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+972-4650-6998</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lassj@loomisgroup.com</w:t>
            </w:r>
          </w:p>
        </w:tc>
        <w:tc>
          <w:tcPr>
            <w:tcW w:w="2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sheldon@fusionir.com</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pr@towersemi.com</w:t>
            </w:r>
          </w:p>
        </w:tc>
      </w:tr>
    </w:tbl>
    <w:p>
      <w:pPr>
        <w:sectPr>
          <w:pgSz w:w="11900" w:h="16838" w:orient="portrait"/>
          <w:cols w:equalWidth="0" w:num="1">
            <w:col w:w="10219"/>
          </w:cols>
          <w:pgMar w:left="240" w:top="631" w:right="1440" w:bottom="1440" w:gutter="0" w:footer="0" w:header="0"/>
        </w:sectPr>
      </w:pPr>
    </w:p>
    <w:bookmarkStart w:id="6" w:name="page7"/>
    <w:bookmarkEnd w:id="6"/>
    <w:p>
      <w:pPr>
        <w:jc w:val="center"/>
        <w:ind w:right="429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5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24"/>
                <w:szCs w:val="2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2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12,592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8,420</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COST OF SALES  (1)</w:t>
            </w:r>
          </w:p>
        </w:tc>
        <w:tc>
          <w:tcPr>
            <w:tcW w:w="112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17,934</w:t>
            </w:r>
          </w:p>
        </w:tc>
        <w:tc>
          <w:tcPr>
            <w:tcW w:w="40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13,394</w:t>
            </w:r>
          </w:p>
        </w:tc>
      </w:tr>
      <w:tr>
        <w:trPr>
          <w:trHeight w:val="171"/>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ind w:left="780"/>
              <w:spacing w:after="0"/>
              <w:rPr>
                <w:sz w:val="20"/>
                <w:szCs w:val="20"/>
                <w:color w:val="auto"/>
              </w:rPr>
            </w:pPr>
            <w:r>
              <w:rPr>
                <w:rFonts w:ascii="Courier New" w:cs="Courier New" w:eastAsia="Courier New" w:hAnsi="Courier New"/>
                <w:sz w:val="15"/>
                <w:szCs w:val="15"/>
                <w:color w:val="auto"/>
              </w:rPr>
              <w:t>GROSS LOSS</w:t>
            </w:r>
          </w:p>
        </w:tc>
        <w:tc>
          <w:tcPr>
            <w:tcW w:w="1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(5,342)</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(4,974)</w:t>
            </w:r>
          </w:p>
        </w:tc>
      </w:tr>
      <w:tr>
        <w:trPr>
          <w:trHeight w:val="171"/>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5220" w:type="dxa"/>
            <w:vAlign w:val="bottom"/>
          </w:tcPr>
          <w:p>
            <w:pPr>
              <w:ind w:left="620"/>
              <w:spacing w:after="0"/>
              <w:rPr>
                <w:sz w:val="20"/>
                <w:szCs w:val="20"/>
                <w:color w:val="auto"/>
              </w:rPr>
            </w:pPr>
            <w:r>
              <w:rPr>
                <w:rFonts w:ascii="Courier New" w:cs="Courier New" w:eastAsia="Courier New" w:hAnsi="Courier New"/>
                <w:sz w:val="15"/>
                <w:szCs w:val="15"/>
                <w:color w:val="auto"/>
              </w:rPr>
              <w:t>RESEARCH AND DEVELOPMENT (2)</w:t>
            </w:r>
          </w:p>
        </w:tc>
        <w:tc>
          <w:tcPr>
            <w:tcW w:w="112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3,857</w:t>
            </w:r>
          </w:p>
        </w:tc>
        <w:tc>
          <w:tcPr>
            <w:tcW w:w="40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2,972</w:t>
            </w:r>
          </w:p>
        </w:tc>
      </w:tr>
      <w:tr>
        <w:trPr>
          <w:trHeight w:val="171"/>
        </w:trPr>
        <w:tc>
          <w:tcPr>
            <w:tcW w:w="5220" w:type="dxa"/>
            <w:vAlign w:val="bottom"/>
          </w:tcPr>
          <w:p>
            <w:pPr>
              <w:ind w:left="620"/>
              <w:spacing w:after="0"/>
              <w:rPr>
                <w:sz w:val="20"/>
                <w:szCs w:val="20"/>
                <w:color w:val="auto"/>
              </w:rPr>
            </w:pPr>
            <w:r>
              <w:rPr>
                <w:rFonts w:ascii="Courier New" w:cs="Courier New" w:eastAsia="Courier New" w:hAnsi="Courier New"/>
                <w:sz w:val="15"/>
                <w:szCs w:val="15"/>
                <w:color w:val="auto"/>
              </w:rPr>
              <w:t>MARKETING, GENERAL AND ADMINISTRATIVE (3)</w:t>
            </w:r>
          </w:p>
        </w:tc>
        <w:tc>
          <w:tcPr>
            <w:tcW w:w="11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5,644</w:t>
            </w:r>
          </w:p>
        </w:tc>
        <w:tc>
          <w:tcPr>
            <w:tcW w:w="4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3,419</w:t>
            </w:r>
          </w:p>
        </w:tc>
      </w:tr>
      <w:tr>
        <w:trPr>
          <w:trHeight w:val="171"/>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9,501</w:t>
            </w:r>
          </w:p>
        </w:tc>
        <w:tc>
          <w:tcPr>
            <w:tcW w:w="40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6,391</w:t>
            </w:r>
          </w:p>
        </w:tc>
      </w:tr>
      <w:tr>
        <w:trPr>
          <w:trHeight w:val="171"/>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ind w:left="780"/>
              <w:spacing w:after="0"/>
              <w:rPr>
                <w:sz w:val="20"/>
                <w:szCs w:val="20"/>
                <w:color w:val="auto"/>
              </w:rPr>
            </w:pPr>
            <w:r>
              <w:rPr>
                <w:rFonts w:ascii="Courier New" w:cs="Courier New" w:eastAsia="Courier New" w:hAnsi="Courier New"/>
                <w:sz w:val="15"/>
                <w:szCs w:val="15"/>
                <w:color w:val="auto"/>
              </w:rPr>
              <w:t>OPERATING LOSS</w:t>
            </w:r>
          </w:p>
        </w:tc>
        <w:tc>
          <w:tcPr>
            <w:tcW w:w="1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(14,843)</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(11,365)</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FINANCING INCOME (EXPENSE), NET (4)</w:t>
            </w:r>
          </w:p>
        </w:tc>
        <w:tc>
          <w:tcPr>
            <w:tcW w:w="112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493</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(649)</w:t>
            </w:r>
          </w:p>
        </w:tc>
      </w:tr>
      <w:tr>
        <w:trPr>
          <w:trHeight w:val="171"/>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ind w:left="1320"/>
              <w:spacing w:after="0"/>
              <w:rPr>
                <w:sz w:val="20"/>
                <w:szCs w:val="20"/>
                <w:color w:val="auto"/>
              </w:rPr>
            </w:pPr>
            <w:r>
              <w:rPr>
                <w:rFonts w:ascii="Courier New" w:cs="Courier New" w:eastAsia="Courier New" w:hAnsi="Courier New"/>
                <w:sz w:val="15"/>
                <w:szCs w:val="15"/>
                <w:color w:val="auto"/>
              </w:rPr>
              <w:t>LOSS FOR THE PERIOD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(14,350)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(12,014)</w:t>
            </w:r>
          </w:p>
        </w:tc>
      </w:tr>
      <w:tr>
        <w:trPr>
          <w:trHeight w:val="171"/>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5220" w:type="dxa"/>
            <w:vAlign w:val="bottom"/>
          </w:tcPr>
          <w:p>
            <w:pPr>
              <w:ind w:left="620"/>
              <w:spacing w:after="0"/>
              <w:rPr>
                <w:sz w:val="20"/>
                <w:szCs w:val="20"/>
                <w:color w:val="auto"/>
              </w:rPr>
            </w:pPr>
            <w:r>
              <w:rPr>
                <w:rFonts w:ascii="Courier New" w:cs="Courier New" w:eastAsia="Courier New" w:hAnsi="Courier New"/>
                <w:sz w:val="15"/>
                <w:szCs w:val="15"/>
                <w:color w:val="auto"/>
              </w:rPr>
              <w:t>loss per share (5)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(0.33)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(0.47)</w:t>
            </w:r>
          </w:p>
        </w:tc>
      </w:tr>
      <w:tr>
        <w:trPr>
          <w:trHeight w:val="171"/>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20" w:type="dxa"/>
            <w:vAlign w:val="bottom"/>
          </w:tcPr>
          <w:p>
            <w:pPr>
              <w:ind w:left="620"/>
              <w:spacing w:after="0"/>
              <w:rPr>
                <w:sz w:val="20"/>
                <w:szCs w:val="20"/>
                <w:color w:val="auto"/>
              </w:rPr>
            </w:pPr>
            <w:r>
              <w:rPr>
                <w:rFonts w:ascii="Courier New" w:cs="Courier New" w:eastAsia="Courier New" w:hAnsi="Courier New"/>
                <w:sz w:val="15"/>
                <w:szCs w:val="15"/>
                <w:color w:val="auto"/>
              </w:rPr>
              <w:t>Weighted average number of ordinary</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220" w:type="dxa"/>
            <w:vAlign w:val="bottom"/>
          </w:tcPr>
          <w:p>
            <w:pPr>
              <w:ind w:left="780"/>
              <w:spacing w:after="0"/>
              <w:rPr>
                <w:sz w:val="20"/>
                <w:szCs w:val="20"/>
                <w:color w:val="auto"/>
              </w:rPr>
            </w:pPr>
            <w:r>
              <w:rPr>
                <w:rFonts w:ascii="Courier New" w:cs="Courier New" w:eastAsia="Courier New" w:hAnsi="Courier New"/>
                <w:sz w:val="15"/>
                <w:szCs w:val="15"/>
                <w:color w:val="auto"/>
              </w:rPr>
              <w:t>SHARES OUTSTANDING - IN THOUSANDS</w:t>
            </w:r>
          </w:p>
        </w:tc>
        <w:tc>
          <w:tcPr>
            <w:tcW w:w="11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43,436</w:t>
            </w:r>
          </w:p>
        </w:tc>
        <w:tc>
          <w:tcPr>
            <w:tcW w:w="4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25,293</w:t>
            </w:r>
          </w:p>
        </w:tc>
      </w:tr>
      <w:tr>
        <w:trPr>
          <w:trHeight w:val="171"/>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20" w:right="3479" w:hanging="265"/>
        <w:spacing w:after="0" w:line="239" w:lineRule="auto"/>
        <w:rPr>
          <w:sz w:val="20"/>
          <w:szCs w:val="20"/>
          <w:color w:val="auto"/>
        </w:rPr>
      </w:pPr>
      <w:r>
        <w:rPr>
          <w:rFonts w:ascii="Courier New" w:cs="Courier New" w:eastAsia="Courier New" w:hAnsi="Courier New"/>
          <w:sz w:val="15"/>
          <w:szCs w:val="15"/>
          <w:color w:val="auto"/>
        </w:rPr>
        <w:t>(1)Cost of sales for the three months ended March 31, 2003 and March 31, 2002 includes $5.0M and $1.2M of non-capitalized expenses relating to Fab 2, respectively.</w:t>
      </w:r>
    </w:p>
    <w:p>
      <w:pPr>
        <w:spacing w:after="0" w:line="175" w:lineRule="exact"/>
        <w:rPr>
          <w:sz w:val="20"/>
          <w:szCs w:val="20"/>
          <w:color w:val="auto"/>
        </w:rPr>
      </w:pPr>
    </w:p>
    <w:p>
      <w:pPr>
        <w:ind w:left="700" w:right="3399" w:hanging="354"/>
        <w:spacing w:after="0" w:line="239" w:lineRule="auto"/>
        <w:rPr>
          <w:sz w:val="20"/>
          <w:szCs w:val="20"/>
          <w:color w:val="auto"/>
        </w:rPr>
      </w:pPr>
      <w:r>
        <w:rPr>
          <w:rFonts w:ascii="Courier New" w:cs="Courier New" w:eastAsia="Courier New" w:hAnsi="Courier New"/>
          <w:sz w:val="15"/>
          <w:szCs w:val="15"/>
          <w:color w:val="auto"/>
        </w:rPr>
        <w:t>(2)Research and development expenses for the three months ended March 31, 2003 and March 31, 2002 include $3.7M and $2.7M of non-capitalized expenses relating to Fab 2, respectively.</w:t>
      </w:r>
    </w:p>
    <w:p>
      <w:pPr>
        <w:spacing w:after="0" w:line="175" w:lineRule="exact"/>
        <w:rPr>
          <w:sz w:val="20"/>
          <w:szCs w:val="20"/>
          <w:color w:val="auto"/>
        </w:rPr>
      </w:pPr>
    </w:p>
    <w:p>
      <w:pPr>
        <w:ind w:left="620" w:right="3119" w:hanging="265"/>
        <w:spacing w:after="0" w:line="239" w:lineRule="auto"/>
        <w:rPr>
          <w:sz w:val="20"/>
          <w:szCs w:val="20"/>
          <w:color w:val="auto"/>
        </w:rPr>
      </w:pPr>
      <w:r>
        <w:rPr>
          <w:rFonts w:ascii="Courier New" w:cs="Courier New" w:eastAsia="Courier New" w:hAnsi="Courier New"/>
          <w:sz w:val="15"/>
          <w:szCs w:val="15"/>
          <w:color w:val="auto"/>
        </w:rPr>
        <w:t>(3)Marketing, general and administrative expenses for the three months ended March 31, 2003 and March 31, 2002 include $4.5M and $2.1M of non-capitalized expenses relating to Fab 2, respectively.</w:t>
      </w:r>
    </w:p>
    <w:p>
      <w:pPr>
        <w:spacing w:after="0" w:line="175" w:lineRule="exact"/>
        <w:rPr>
          <w:sz w:val="20"/>
          <w:szCs w:val="20"/>
          <w:color w:val="auto"/>
        </w:rPr>
      </w:pPr>
    </w:p>
    <w:p>
      <w:pPr>
        <w:ind w:left="620" w:right="3119" w:hanging="265"/>
        <w:spacing w:after="0"/>
        <w:rPr>
          <w:sz w:val="20"/>
          <w:szCs w:val="20"/>
          <w:color w:val="auto"/>
        </w:rPr>
      </w:pPr>
      <w:r>
        <w:rPr>
          <w:rFonts w:ascii="Courier New" w:cs="Courier New" w:eastAsia="Courier New" w:hAnsi="Courier New"/>
          <w:sz w:val="15"/>
          <w:szCs w:val="15"/>
          <w:color w:val="auto"/>
        </w:rPr>
        <w:t>(4)Financing income (expense), net for the three months ended March 31, 2003 includes $0.6M of non- capitalized financing income, net relating to Fab2. Financing income (expense), net for the three months ended March 31, 2002 includes $(0.4M) of non-capitalized financing expenses, net relating to Fab 2.</w:t>
      </w:r>
    </w:p>
    <w:p>
      <w:pPr>
        <w:spacing w:after="0" w:line="174" w:lineRule="exact"/>
        <w:rPr>
          <w:sz w:val="20"/>
          <w:szCs w:val="20"/>
          <w:color w:val="auto"/>
        </w:rPr>
      </w:pPr>
    </w:p>
    <w:p>
      <w:pPr>
        <w:ind w:left="620" w:right="3299" w:hanging="265"/>
        <w:spacing w:after="0" w:line="239" w:lineRule="auto"/>
        <w:rPr>
          <w:sz w:val="20"/>
          <w:szCs w:val="20"/>
          <w:color w:val="auto"/>
        </w:rPr>
      </w:pPr>
      <w:r>
        <w:rPr>
          <w:rFonts w:ascii="Courier New" w:cs="Courier New" w:eastAsia="Courier New" w:hAnsi="Courier New"/>
          <w:sz w:val="15"/>
          <w:szCs w:val="15"/>
          <w:color w:val="auto"/>
        </w:rPr>
        <w:t>(5)Basic and diluted loss per share in accordance with U.S. GAAP would be $(0.33) and $(0.47) for the three months ended March 31, 2003 and March 31, 2002, respectively .</w:t>
      </w:r>
    </w:p>
    <w:p>
      <w:pPr>
        <w:sectPr>
          <w:pgSz w:w="11900" w:h="16838" w:orient="portrait"/>
          <w:cols w:equalWidth="0" w:num="1">
            <w:col w:w="10219"/>
          </w:cols>
          <w:pgMar w:left="240" w:top="799" w:right="1440" w:bottom="1440" w:gutter="0" w:footer="0" w:header="0"/>
        </w:sectPr>
      </w:pPr>
    </w:p>
    <w:bookmarkStart w:id="7" w:name="page8"/>
    <w:bookmarkEnd w:id="7"/>
    <w:p>
      <w:pPr>
        <w:jc w:val="center"/>
        <w:ind w:right="30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ind w:left="880"/>
              <w:spacing w:after="0"/>
              <w:rPr>
                <w:sz w:val="20"/>
                <w:szCs w:val="20"/>
                <w:color w:val="auto"/>
              </w:rPr>
            </w:pPr>
            <w:r>
              <w:rPr>
                <w:rFonts w:ascii="Courier New" w:cs="Courier New" w:eastAsia="Courier New" w:hAnsi="Courier New"/>
                <w:sz w:val="15"/>
                <w:szCs w:val="15"/>
                <w:color w:val="auto"/>
                <w:w w:val="99"/>
              </w:rPr>
              <w:t>(dollars in thousands, except share data and per share data)</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853"/>
        </w:trPr>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MARCH 31,</w:t>
            </w:r>
          </w:p>
        </w:tc>
        <w:tc>
          <w:tcPr>
            <w:tcW w:w="260" w:type="dxa"/>
            <w:vAlign w:val="bottom"/>
          </w:tcPr>
          <w:p>
            <w:pPr>
              <w:spacing w:after="0"/>
              <w:rPr>
                <w:sz w:val="24"/>
                <w:szCs w:val="24"/>
                <w:color w:val="auto"/>
              </w:rPr>
            </w:pP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6300" w:type="dxa"/>
            <w:vAlign w:val="bottom"/>
          </w:tcPr>
          <w:p>
            <w:pPr>
              <w:spacing w:after="0"/>
              <w:rPr>
                <w:sz w:val="14"/>
                <w:szCs w:val="14"/>
                <w:color w:val="auto"/>
              </w:rPr>
            </w:pPr>
          </w:p>
        </w:tc>
        <w:tc>
          <w:tcPr>
            <w:tcW w:w="150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2002</w:t>
            </w:r>
          </w:p>
        </w:tc>
      </w:tr>
      <w:tr>
        <w:trPr>
          <w:trHeight w:val="171"/>
        </w:trPr>
        <w:tc>
          <w:tcPr>
            <w:tcW w:w="6300" w:type="dxa"/>
            <w:vAlign w:val="bottom"/>
          </w:tcPr>
          <w:p>
            <w:pPr>
              <w:spacing w:after="0"/>
              <w:rPr>
                <w:sz w:val="14"/>
                <w:szCs w:val="14"/>
                <w:color w:val="auto"/>
              </w:rPr>
            </w:pPr>
          </w:p>
        </w:tc>
        <w:tc>
          <w:tcPr>
            <w:tcW w:w="150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512"/>
        </w:trPr>
        <w:tc>
          <w:tcPr>
            <w:tcW w:w="630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1"/>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12,150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7,857</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Short-term interest-bearing deposits</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9,000</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10,500</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Cash and short-term interest-bearing deposits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21,924</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51,338</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doubtful accounts of $125 and $155, respectively)</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6,700</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7,456</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Other receivables</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24,558</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21,322</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10,765</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10,201</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1,710</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1,407</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86,807</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110,081</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LONG-TERM INVESTMENTS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Long-term interest-bearing deposits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12,056</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11,893</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Other long-term investments</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6,000</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6,000</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18,056</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17,893</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PROPERTY AND EQUIPMENT, NET</w:t>
            </w:r>
          </w:p>
        </w:tc>
        <w:tc>
          <w:tcPr>
            <w:tcW w:w="220" w:type="dxa"/>
            <w:vAlign w:val="bottom"/>
          </w:tcPr>
          <w:p>
            <w:pPr>
              <w:spacing w:after="0"/>
              <w:rPr>
                <w:sz w:val="24"/>
                <w:szCs w:val="2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527,486</w:t>
            </w:r>
          </w:p>
        </w:tc>
        <w:tc>
          <w:tcPr>
            <w:tcW w:w="260" w:type="dxa"/>
            <w:vAlign w:val="bottom"/>
          </w:tcPr>
          <w:p>
            <w:pPr>
              <w:spacing w:after="0"/>
              <w:rPr>
                <w:sz w:val="24"/>
                <w:szCs w:val="2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493,074</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24"/>
                <w:szCs w:val="2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105,718</w:t>
            </w:r>
          </w:p>
        </w:tc>
        <w:tc>
          <w:tcPr>
            <w:tcW w:w="260" w:type="dxa"/>
            <w:vAlign w:val="bottom"/>
          </w:tcPr>
          <w:p>
            <w:pPr>
              <w:spacing w:after="0"/>
              <w:rPr>
                <w:sz w:val="24"/>
                <w:szCs w:val="2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95,213</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24"/>
                <w:szCs w:val="2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6300" w:type="dxa"/>
            <w:vAlign w:val="bottom"/>
          </w:tcPr>
          <w:p>
            <w:pPr>
              <w:ind w:left="1060"/>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738,067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716,261</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683"/>
        </w:trPr>
        <w:tc>
          <w:tcPr>
            <w:tcW w:w="63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1"/>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Short-term debt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4,000</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Trade accounts payable</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82,902</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76,083</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Other current liabilities</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7,583</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8,071</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6300" w:type="dxa"/>
            <w:vAlign w:val="bottom"/>
          </w:tcPr>
          <w:p>
            <w:pPr>
              <w:ind w:left="1060"/>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94,485</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88,154</w:t>
            </w:r>
          </w:p>
        </w:tc>
      </w:tr>
      <w:tr>
        <w:trPr>
          <w:trHeight w:val="341"/>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24"/>
                <w:szCs w:val="2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282,000</w:t>
            </w:r>
          </w:p>
        </w:tc>
        <w:tc>
          <w:tcPr>
            <w:tcW w:w="260" w:type="dxa"/>
            <w:vAlign w:val="bottom"/>
          </w:tcPr>
          <w:p>
            <w:pPr>
              <w:spacing w:after="0"/>
              <w:rPr>
                <w:sz w:val="24"/>
                <w:szCs w:val="2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253,000</w:t>
            </w:r>
          </w:p>
        </w:tc>
      </w:tr>
      <w:tr>
        <w:trPr>
          <w:trHeight w:val="341"/>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CONVERTIBLE DEBENTURES</w:t>
            </w:r>
          </w:p>
        </w:tc>
        <w:tc>
          <w:tcPr>
            <w:tcW w:w="220" w:type="dxa"/>
            <w:vAlign w:val="bottom"/>
          </w:tcPr>
          <w:p>
            <w:pPr>
              <w:spacing w:after="0"/>
              <w:rPr>
                <w:sz w:val="24"/>
                <w:szCs w:val="2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24,505</w:t>
            </w:r>
          </w:p>
        </w:tc>
        <w:tc>
          <w:tcPr>
            <w:tcW w:w="260" w:type="dxa"/>
            <w:vAlign w:val="bottom"/>
          </w:tcPr>
          <w:p>
            <w:pPr>
              <w:spacing w:after="0"/>
              <w:rPr>
                <w:sz w:val="24"/>
                <w:szCs w:val="2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24,121</w:t>
            </w:r>
          </w:p>
        </w:tc>
      </w:tr>
      <w:tr>
        <w:trPr>
          <w:trHeight w:val="341"/>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OTHER LONG-TERM LIABILITIES</w:t>
            </w:r>
          </w:p>
        </w:tc>
        <w:tc>
          <w:tcPr>
            <w:tcW w:w="220" w:type="dxa"/>
            <w:vAlign w:val="bottom"/>
          </w:tcPr>
          <w:p>
            <w:pPr>
              <w:spacing w:after="0"/>
              <w:rPr>
                <w:sz w:val="24"/>
                <w:szCs w:val="2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5,749</w:t>
            </w:r>
          </w:p>
        </w:tc>
        <w:tc>
          <w:tcPr>
            <w:tcW w:w="260" w:type="dxa"/>
            <w:vAlign w:val="bottom"/>
          </w:tcPr>
          <w:p>
            <w:pPr>
              <w:spacing w:after="0"/>
              <w:rPr>
                <w:sz w:val="24"/>
                <w:szCs w:val="2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5,406</w:t>
            </w:r>
          </w:p>
        </w:tc>
      </w:tr>
      <w:tr>
        <w:trPr>
          <w:trHeight w:val="341"/>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LONG-TERM LIABILITY IN RESPECT</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6300" w:type="dxa"/>
            <w:vAlign w:val="bottom"/>
          </w:tcPr>
          <w:p>
            <w:pPr>
              <w:ind w:left="700"/>
              <w:spacing w:after="0"/>
              <w:rPr>
                <w:sz w:val="20"/>
                <w:szCs w:val="20"/>
                <w:color w:val="auto"/>
              </w:rPr>
            </w:pPr>
            <w:r>
              <w:rPr>
                <w:rFonts w:ascii="Courier New" w:cs="Courier New" w:eastAsia="Courier New" w:hAnsi="Courier New"/>
                <w:sz w:val="15"/>
                <w:szCs w:val="15"/>
                <w:color w:val="auto"/>
              </w:rPr>
              <w:t>OF CUSTOMERS' ADVANCES</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47,246</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47,246</w:t>
            </w:r>
          </w:p>
        </w:tc>
      </w:tr>
      <w:tr>
        <w:trPr>
          <w:trHeight w:val="341"/>
        </w:trPr>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24"/>
                <w:szCs w:val="2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630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453,985</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417,927</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6300" w:type="dxa"/>
            <w:vAlign w:val="bottom"/>
          </w:tcPr>
          <w:p>
            <w:pPr>
              <w:ind w:left="340"/>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Ordinary shares, NIS 1 par value - authorized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70,000,000 shares; issued 44,735,532 shares</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11,294</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11,294</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400,887</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400,808</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Shareholder receivables and unearned compensation</w:t>
            </w:r>
          </w:p>
        </w:tc>
        <w:tc>
          <w:tcPr>
            <w:tcW w:w="220" w:type="dxa"/>
            <w:vAlign w:val="bottom"/>
          </w:tcPr>
          <w:p>
            <w:pPr>
              <w:spacing w:after="0"/>
              <w:rPr>
                <w:sz w:val="14"/>
                <w:szCs w:val="14"/>
                <w:color w:val="auto"/>
              </w:rPr>
            </w:pP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w:t>
            </w:r>
          </w:p>
        </w:tc>
        <w:tc>
          <w:tcPr>
            <w:tcW w:w="26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Accumulated deficit</w:t>
            </w:r>
          </w:p>
        </w:tc>
        <w:tc>
          <w:tcPr>
            <w:tcW w:w="220" w:type="dxa"/>
            <w:vAlign w:val="bottom"/>
          </w:tcPr>
          <w:p>
            <w:pPr>
              <w:spacing w:after="0"/>
              <w:rPr>
                <w:sz w:val="14"/>
                <w:szCs w:val="14"/>
                <w:color w:val="auto"/>
              </w:rPr>
            </w:pP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(118,993)</w:t>
            </w:r>
          </w:p>
        </w:tc>
        <w:tc>
          <w:tcPr>
            <w:tcW w:w="26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(104,643)</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293,154</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307,406</w:t>
            </w:r>
          </w:p>
        </w:tc>
      </w:tr>
      <w:tr>
        <w:trPr>
          <w:trHeight w:val="171"/>
        </w:trPr>
        <w:tc>
          <w:tcPr>
            <w:tcW w:w="6300" w:type="dxa"/>
            <w:vAlign w:val="bottom"/>
          </w:tcPr>
          <w:p>
            <w:pPr>
              <w:ind w:left="620"/>
              <w:spacing w:after="0"/>
              <w:rPr>
                <w:sz w:val="20"/>
                <w:szCs w:val="20"/>
                <w:color w:val="auto"/>
              </w:rPr>
            </w:pPr>
            <w:r>
              <w:rPr>
                <w:rFonts w:ascii="Courier New" w:cs="Courier New" w:eastAsia="Courier New" w:hAnsi="Courier New"/>
                <w:sz w:val="15"/>
                <w:szCs w:val="15"/>
                <w:color w:val="auto"/>
              </w:rPr>
              <w:t>Treasury stock, at cost - 1,300,000 shares</w:t>
            </w:r>
          </w:p>
        </w:tc>
        <w:tc>
          <w:tcPr>
            <w:tcW w:w="220" w:type="dxa"/>
            <w:vAlign w:val="bottom"/>
          </w:tcPr>
          <w:p>
            <w:pPr>
              <w:spacing w:after="0"/>
              <w:rPr>
                <w:sz w:val="14"/>
                <w:szCs w:val="14"/>
                <w:color w:val="auto"/>
              </w:rPr>
            </w:pP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(9,072)</w:t>
            </w:r>
          </w:p>
        </w:tc>
        <w:tc>
          <w:tcPr>
            <w:tcW w:w="26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(9,072)</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6300" w:type="dxa"/>
            <w:vAlign w:val="bottom"/>
          </w:tcPr>
          <w:p>
            <w:pPr>
              <w:ind w:left="1060"/>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284,082</w:t>
            </w:r>
          </w:p>
        </w:tc>
        <w:tc>
          <w:tcPr>
            <w:tcW w:w="26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298,334</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24"/>
                <w:szCs w:val="2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630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738,067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716,261</w:t>
            </w: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124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1">
            <w:col w:w="10219"/>
          </w:cols>
          <w:pgMar w:left="240" w:top="628" w:right="1440" w:bottom="457" w:gutter="0" w:footer="0" w:header="0"/>
        </w:sectPr>
      </w:pPr>
    </w:p>
    <w:bookmarkStart w:id="8" w:name="page9"/>
    <w:bookmarkEnd w:id="8"/>
    <w:p>
      <w:pPr>
        <w:spacing w:after="0" w:line="45"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TOWER SEMICONDUCTOR LTD. AND SUBSIDIARY</w:t>
      </w:r>
    </w:p>
    <w:p>
      <w:pPr>
        <w:spacing w:after="0" w:line="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UNAUDITED CONDENSED INTERIM</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AS OF MARCH 31, 2003</w:t>
      </w:r>
    </w:p>
    <w:p>
      <w:pPr>
        <w:sectPr>
          <w:pgSz w:w="11900" w:h="16838" w:orient="portrait"/>
          <w:cols w:equalWidth="0" w:num="1">
            <w:col w:w="9019"/>
          </w:cols>
          <w:pgMar w:left="1440" w:top="1440" w:right="1440" w:bottom="1440" w:gutter="0" w:footer="0" w:header="0"/>
        </w:sectPr>
      </w:pPr>
    </w:p>
    <w:bookmarkStart w:id="9" w:name="page10"/>
    <w:bookmarkEnd w:id="9"/>
    <w:p>
      <w:pPr>
        <w:ind w:left="13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INDEX TO UNAUDITED CONDENSED INTERIM</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AS OF MARCH 31,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48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840" w:type="dxa"/>
            <w:vAlign w:val="bottom"/>
          </w:tcPr>
          <w:p>
            <w:pPr>
              <w:spacing w:after="0"/>
              <w:rPr>
                <w:sz w:val="20"/>
                <w:szCs w:val="20"/>
                <w:color w:val="auto"/>
              </w:rPr>
            </w:pPr>
            <w:r>
              <w:rPr>
                <w:rFonts w:ascii="Courier New" w:cs="Courier New" w:eastAsia="Courier New" w:hAnsi="Courier New"/>
                <w:sz w:val="15"/>
                <w:szCs w:val="15"/>
                <w:color w:val="auto"/>
              </w:rPr>
              <w:t>ACCOUNTANTS' REVIEW REPORT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w:t>
            </w:r>
          </w:p>
        </w:tc>
      </w:tr>
      <w:tr>
        <w:trPr>
          <w:trHeight w:val="341"/>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w:t>
            </w:r>
          </w:p>
        </w:tc>
      </w:tr>
      <w:tr>
        <w:trPr>
          <w:trHeight w:val="341"/>
        </w:trPr>
        <w:tc>
          <w:tcPr>
            <w:tcW w:w="484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r>
      <w:tr>
        <w:trPr>
          <w:trHeight w:val="341"/>
        </w:trPr>
        <w:tc>
          <w:tcPr>
            <w:tcW w:w="4840" w:type="dxa"/>
            <w:vAlign w:val="bottom"/>
          </w:tcPr>
          <w:p>
            <w:pPr>
              <w:spacing w:after="0"/>
              <w:rPr>
                <w:sz w:val="20"/>
                <w:szCs w:val="20"/>
                <w:color w:val="auto"/>
              </w:rPr>
            </w:pPr>
            <w:r>
              <w:rPr>
                <w:rFonts w:ascii="Courier New" w:cs="Courier New" w:eastAsia="Courier New" w:hAnsi="Courier New"/>
                <w:sz w:val="15"/>
                <w:szCs w:val="15"/>
                <w:color w:val="auto"/>
              </w:rPr>
              <w:t>STATEMENT OF CHANGES IN SHAREHOLDERS' EQUITY</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w:t>
            </w:r>
          </w:p>
        </w:tc>
      </w:tr>
      <w:tr>
        <w:trPr>
          <w:trHeight w:val="341"/>
        </w:trPr>
        <w:tc>
          <w:tcPr>
            <w:tcW w:w="484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w:t>
            </w:r>
          </w:p>
        </w:tc>
      </w:tr>
      <w:tr>
        <w:trPr>
          <w:trHeight w:val="341"/>
        </w:trPr>
        <w:tc>
          <w:tcPr>
            <w:tcW w:w="484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r>
    </w:tbl>
    <w:p>
      <w:pPr>
        <w:sectPr>
          <w:pgSz w:w="11900" w:h="16838" w:orient="portrait"/>
          <w:cols w:equalWidth="0" w:num="1">
            <w:col w:w="9699"/>
          </w:cols>
          <w:pgMar w:left="760" w:top="96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Semiconductor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Migdal Ha'emek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Re: REVIEW OF UNAUDITED CONDENSED INTERIM</w:t>
      </w:r>
    </w:p>
    <w:p>
      <w:pPr>
        <w:spacing w:after="0" w:line="1"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CONSOLIDATED FINANCIAL STATEMENTS AS OF MARCH 31, 2003</w:t>
      </w:r>
    </w:p>
    <w:p>
      <w:pPr>
        <w:spacing w:after="0" w:line="1"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At your request, we have reviewed the condensed interim consolidated financial statements ("interim financial statements") of Tower Semiconductor Ltd. ("the Company") and its subsidiary, as follows:</w:t>
      </w:r>
    </w:p>
    <w:p>
      <w:pPr>
        <w:spacing w:after="0" w:line="172" w:lineRule="exact"/>
        <w:rPr>
          <w:sz w:val="20"/>
          <w:szCs w:val="20"/>
          <w:color w:val="auto"/>
        </w:rPr>
      </w:pPr>
    </w:p>
    <w:p>
      <w:pPr>
        <w:ind w:left="360" w:hanging="174"/>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 as of March 31, 2003.</w:t>
      </w:r>
    </w:p>
    <w:p>
      <w:pPr>
        <w:spacing w:after="0" w:line="171" w:lineRule="exact"/>
        <w:rPr>
          <w:rFonts w:ascii="Courier New" w:cs="Courier New" w:eastAsia="Courier New" w:hAnsi="Courier New"/>
          <w:sz w:val="15"/>
          <w:szCs w:val="15"/>
          <w:color w:val="auto"/>
        </w:rPr>
      </w:pPr>
    </w:p>
    <w:p>
      <w:pPr>
        <w:ind w:left="360" w:hanging="174"/>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operations for the three months ended March 31, 2003.</w:t>
      </w:r>
    </w:p>
    <w:p>
      <w:pPr>
        <w:spacing w:after="0" w:line="174" w:lineRule="exact"/>
        <w:rPr>
          <w:rFonts w:ascii="Courier New" w:cs="Courier New" w:eastAsia="Courier New" w:hAnsi="Courier New"/>
          <w:sz w:val="15"/>
          <w:szCs w:val="15"/>
          <w:color w:val="auto"/>
        </w:rPr>
      </w:pPr>
    </w:p>
    <w:p>
      <w:pPr>
        <w:ind w:left="360" w:right="3399" w:hanging="174"/>
        <w:spacing w:after="0" w:line="238"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changes in shareholders' equity for the three months ended March 31, 2003.</w:t>
      </w:r>
    </w:p>
    <w:p>
      <w:pPr>
        <w:spacing w:after="0" w:line="172" w:lineRule="exact"/>
        <w:rPr>
          <w:rFonts w:ascii="Courier New" w:cs="Courier New" w:eastAsia="Courier New" w:hAnsi="Courier New"/>
          <w:sz w:val="15"/>
          <w:szCs w:val="15"/>
          <w:color w:val="auto"/>
        </w:rPr>
      </w:pPr>
    </w:p>
    <w:p>
      <w:pPr>
        <w:ind w:left="360" w:hanging="174"/>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for the three months ended March 31, 2003.</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Our review was conducted in accordance with procedures prescribed by the Institute of Certified Public Accountants in Israel. The procedures included, inter alia, reading the aforementioned interim financial statements, reading the minutes of the shareholders' meetings and meetings of the board of directors and its committees, and making inquiries with the persons responsible for financial and accounting affairs.</w:t>
      </w:r>
    </w:p>
    <w:p>
      <w:pPr>
        <w:spacing w:after="0" w:line="17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Since the review that was performed is limited in scope and does not constitute an audit in accordance with generally accepted auditing standards, we do not express an opinion on the aforementioned interim financial statements.</w:t>
      </w:r>
    </w:p>
    <w:p>
      <w:pPr>
        <w:spacing w:after="0" w:line="17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 performing our review, nothing came to our attention which indicates that material adjustments are required to the interim financial statements for them to be deemed financial statements prepared in conformity with accounting principles generally accepted in Israel.</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application of the latter would have affected the determination of the financial position and results of operations as of the dates and for the periods presented to the extent summarized in Note 5.</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Respectfully submitted,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Certified Public Accountants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member of Deloitte Touche Tohmatsu</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 2003</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059"/>
          </w:cols>
          <w:pgMar w:left="400" w:top="799" w:right="1440" w:bottom="1440" w:gutter="0" w:footer="0" w:header="0"/>
        </w:sectPr>
      </w:pPr>
    </w:p>
    <w:bookmarkStart w:id="11" w:name="page12"/>
    <w:bookmarkEnd w:id="11"/>
    <w:p>
      <w:pPr>
        <w:jc w:val="center"/>
        <w:ind w:right="30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83"/>
        </w:trPr>
        <w:tc>
          <w:tcPr>
            <w:tcW w:w="6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MARCH 31,</w:t>
            </w:r>
          </w:p>
        </w:tc>
        <w:tc>
          <w:tcPr>
            <w:tcW w:w="320" w:type="dxa"/>
            <w:vAlign w:val="bottom"/>
          </w:tcPr>
          <w:p>
            <w:pPr>
              <w:spacing w:after="0"/>
              <w:rPr>
                <w:sz w:val="24"/>
                <w:szCs w:val="24"/>
                <w:color w:val="auto"/>
              </w:rPr>
            </w:pPr>
          </w:p>
        </w:tc>
        <w:tc>
          <w:tcPr>
            <w:tcW w:w="13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560" w:type="dxa"/>
            <w:vAlign w:val="bottom"/>
          </w:tcPr>
          <w:p>
            <w:pPr>
              <w:spacing w:after="0"/>
              <w:rPr>
                <w:sz w:val="14"/>
                <w:szCs w:val="14"/>
                <w:color w:val="auto"/>
              </w:rPr>
            </w:pPr>
          </w:p>
        </w:tc>
        <w:tc>
          <w:tcPr>
            <w:tcW w:w="1860" w:type="dxa"/>
            <w:vAlign w:val="bottom"/>
            <w:gridSpan w:val="2"/>
          </w:tcPr>
          <w:p>
            <w:pPr>
              <w:jc w:val="center"/>
              <w:ind w:left="106"/>
              <w:spacing w:after="0"/>
              <w:rPr>
                <w:sz w:val="20"/>
                <w:szCs w:val="20"/>
                <w:color w:val="auto"/>
              </w:rPr>
            </w:pPr>
            <w:r>
              <w:rPr>
                <w:rFonts w:ascii="Courier New" w:cs="Courier New" w:eastAsia="Courier New" w:hAnsi="Courier New"/>
                <w:sz w:val="15"/>
                <w:szCs w:val="15"/>
                <w:color w:val="auto"/>
                <w:w w:val="97"/>
              </w:rPr>
              <w:t>---------------</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13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6560" w:type="dxa"/>
            <w:vAlign w:val="bottom"/>
          </w:tcPr>
          <w:p>
            <w:pPr>
              <w:spacing w:after="0"/>
              <w:rPr>
                <w:sz w:val="14"/>
                <w:szCs w:val="14"/>
                <w:color w:val="auto"/>
              </w:rPr>
            </w:pPr>
          </w:p>
        </w:tc>
        <w:tc>
          <w:tcPr>
            <w:tcW w:w="1860" w:type="dxa"/>
            <w:vAlign w:val="bottom"/>
            <w:gridSpan w:val="2"/>
          </w:tcPr>
          <w:p>
            <w:pPr>
              <w:jc w:val="center"/>
              <w:ind w:left="106"/>
              <w:spacing w:after="0"/>
              <w:rPr>
                <w:sz w:val="20"/>
                <w:szCs w:val="20"/>
                <w:color w:val="auto"/>
              </w:rPr>
            </w:pPr>
            <w:r>
              <w:rPr>
                <w:rFonts w:ascii="Courier New" w:cs="Courier New" w:eastAsia="Courier New" w:hAnsi="Courier New"/>
                <w:sz w:val="15"/>
                <w:szCs w:val="15"/>
                <w:color w:val="auto"/>
                <w:w w:val="97"/>
              </w:rPr>
              <w:t>---------------</w:t>
            </w:r>
          </w:p>
        </w:tc>
        <w:tc>
          <w:tcPr>
            <w:tcW w:w="16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41"/>
        </w:trPr>
        <w:tc>
          <w:tcPr>
            <w:tcW w:w="656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CURRENT ASSETS</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12,150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7,857</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Short-term interest-bearing deposits</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9,000</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10,500</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Cash and short-term interest-bearing deposits</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560" w:type="dxa"/>
            <w:vAlign w:val="bottom"/>
          </w:tcPr>
          <w:p>
            <w:pPr>
              <w:ind w:left="88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21,924</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51,338</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560" w:type="dxa"/>
            <w:vAlign w:val="bottom"/>
          </w:tcPr>
          <w:p>
            <w:pPr>
              <w:ind w:left="880"/>
              <w:spacing w:after="0"/>
              <w:rPr>
                <w:sz w:val="20"/>
                <w:szCs w:val="20"/>
                <w:color w:val="auto"/>
              </w:rPr>
            </w:pPr>
            <w:r>
              <w:rPr>
                <w:rFonts w:ascii="Courier New" w:cs="Courier New" w:eastAsia="Courier New" w:hAnsi="Courier New"/>
                <w:sz w:val="15"/>
                <w:szCs w:val="15"/>
                <w:color w:val="auto"/>
              </w:rPr>
              <w:t>doubtful accounts of $125 and $155, respectively)</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6,700</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7,456</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Other receivables</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24,558</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21,322</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Inventories</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10,765</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10,201</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Other current assets</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1,710</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1,407</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560" w:type="dxa"/>
            <w:vAlign w:val="bottom"/>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86,807</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110,081</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LONG-TERM INVESTMENTS</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Long-term interest-bearing deposits</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560" w:type="dxa"/>
            <w:vAlign w:val="bottom"/>
          </w:tcPr>
          <w:p>
            <w:pPr>
              <w:ind w:left="88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12,056</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11,893</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Other long-term investments</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6,000</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6,000</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18,056</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17,893</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PROPERTY AND EQUIPMENT, NET</w:t>
            </w:r>
          </w:p>
        </w:tc>
        <w:tc>
          <w:tcPr>
            <w:tcW w:w="480" w:type="dxa"/>
            <w:vAlign w:val="bottom"/>
          </w:tcPr>
          <w:p>
            <w:pPr>
              <w:spacing w:after="0"/>
              <w:rPr>
                <w:sz w:val="24"/>
                <w:szCs w:val="2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527,486</w:t>
            </w:r>
          </w:p>
        </w:tc>
        <w:tc>
          <w:tcPr>
            <w:tcW w:w="320" w:type="dxa"/>
            <w:vAlign w:val="bottom"/>
          </w:tcPr>
          <w:p>
            <w:pPr>
              <w:spacing w:after="0"/>
              <w:rPr>
                <w:sz w:val="24"/>
                <w:szCs w:val="2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493,074</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OTHER ASSETS</w:t>
            </w:r>
          </w:p>
        </w:tc>
        <w:tc>
          <w:tcPr>
            <w:tcW w:w="480" w:type="dxa"/>
            <w:vAlign w:val="bottom"/>
          </w:tcPr>
          <w:p>
            <w:pPr>
              <w:spacing w:after="0"/>
              <w:rPr>
                <w:sz w:val="24"/>
                <w:szCs w:val="2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105,718</w:t>
            </w:r>
          </w:p>
        </w:tc>
        <w:tc>
          <w:tcPr>
            <w:tcW w:w="320" w:type="dxa"/>
            <w:vAlign w:val="bottom"/>
          </w:tcPr>
          <w:p>
            <w:pPr>
              <w:spacing w:after="0"/>
              <w:rPr>
                <w:sz w:val="24"/>
                <w:szCs w:val="2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95,213</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24"/>
                <w:szCs w:val="2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560" w:type="dxa"/>
            <w:vAlign w:val="bottom"/>
          </w:tcPr>
          <w:p>
            <w:pPr>
              <w:ind w:left="1140"/>
              <w:spacing w:after="0"/>
              <w:rPr>
                <w:sz w:val="20"/>
                <w:szCs w:val="20"/>
                <w:color w:val="auto"/>
              </w:rPr>
            </w:pPr>
            <w:r>
              <w:rPr>
                <w:rFonts w:ascii="Courier New" w:cs="Courier New" w:eastAsia="Courier New" w:hAnsi="Courier New"/>
                <w:sz w:val="15"/>
                <w:szCs w:val="15"/>
                <w:color w:val="auto"/>
              </w:rPr>
              <w:t>TOTAL ASSETS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738,067</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716,261</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512"/>
        </w:trPr>
        <w:tc>
          <w:tcPr>
            <w:tcW w:w="65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CURRENT LIABILITIES</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Short-term debt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Trade accounts payable</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82,902</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76,083</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Other current liabilities</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7,583</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8,071</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560" w:type="dxa"/>
            <w:vAlign w:val="bottom"/>
          </w:tcPr>
          <w:p>
            <w:pPr>
              <w:ind w:left="1140"/>
              <w:spacing w:after="0"/>
              <w:rPr>
                <w:sz w:val="20"/>
                <w:szCs w:val="20"/>
                <w:color w:val="auto"/>
              </w:rPr>
            </w:pPr>
            <w:r>
              <w:rPr>
                <w:rFonts w:ascii="Courier New" w:cs="Courier New" w:eastAsia="Courier New" w:hAnsi="Courier New"/>
                <w:sz w:val="15"/>
                <w:szCs w:val="15"/>
                <w:color w:val="auto"/>
              </w:rPr>
              <w:t>Total current liabilities</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94,485</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88,154</w:t>
            </w:r>
          </w:p>
        </w:tc>
      </w:tr>
      <w:tr>
        <w:trPr>
          <w:trHeight w:val="34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480" w:type="dxa"/>
            <w:vAlign w:val="bottom"/>
          </w:tcPr>
          <w:p>
            <w:pPr>
              <w:spacing w:after="0"/>
              <w:rPr>
                <w:sz w:val="24"/>
                <w:szCs w:val="2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282,000</w:t>
            </w:r>
          </w:p>
        </w:tc>
        <w:tc>
          <w:tcPr>
            <w:tcW w:w="320" w:type="dxa"/>
            <w:vAlign w:val="bottom"/>
          </w:tcPr>
          <w:p>
            <w:pPr>
              <w:spacing w:after="0"/>
              <w:rPr>
                <w:sz w:val="24"/>
                <w:szCs w:val="2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253,000</w:t>
            </w:r>
          </w:p>
        </w:tc>
      </w:tr>
      <w:tr>
        <w:trPr>
          <w:trHeight w:val="34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CONVERTIBLE DEBENTURES</w:t>
            </w:r>
          </w:p>
        </w:tc>
        <w:tc>
          <w:tcPr>
            <w:tcW w:w="480" w:type="dxa"/>
            <w:vAlign w:val="bottom"/>
          </w:tcPr>
          <w:p>
            <w:pPr>
              <w:spacing w:after="0"/>
              <w:rPr>
                <w:sz w:val="24"/>
                <w:szCs w:val="2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24,505</w:t>
            </w:r>
          </w:p>
        </w:tc>
        <w:tc>
          <w:tcPr>
            <w:tcW w:w="320" w:type="dxa"/>
            <w:vAlign w:val="bottom"/>
          </w:tcPr>
          <w:p>
            <w:pPr>
              <w:spacing w:after="0"/>
              <w:rPr>
                <w:sz w:val="24"/>
                <w:szCs w:val="2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24,121</w:t>
            </w:r>
          </w:p>
        </w:tc>
      </w:tr>
      <w:tr>
        <w:trPr>
          <w:trHeight w:val="34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OTHER LONG-TERM LIABILITIES</w:t>
            </w:r>
          </w:p>
        </w:tc>
        <w:tc>
          <w:tcPr>
            <w:tcW w:w="480" w:type="dxa"/>
            <w:vAlign w:val="bottom"/>
          </w:tcPr>
          <w:p>
            <w:pPr>
              <w:spacing w:after="0"/>
              <w:rPr>
                <w:sz w:val="24"/>
                <w:szCs w:val="2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5,749</w:t>
            </w:r>
          </w:p>
        </w:tc>
        <w:tc>
          <w:tcPr>
            <w:tcW w:w="320" w:type="dxa"/>
            <w:vAlign w:val="bottom"/>
          </w:tcPr>
          <w:p>
            <w:pPr>
              <w:spacing w:after="0"/>
              <w:rPr>
                <w:sz w:val="24"/>
                <w:szCs w:val="2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5,406</w:t>
            </w:r>
          </w:p>
        </w:tc>
      </w:tr>
      <w:tr>
        <w:trPr>
          <w:trHeight w:val="34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LONG-TERM LIABILITY IN RESPECT</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1"/>
        </w:trPr>
        <w:tc>
          <w:tcPr>
            <w:tcW w:w="6560" w:type="dxa"/>
            <w:vAlign w:val="bottom"/>
          </w:tcPr>
          <w:p>
            <w:pPr>
              <w:ind w:left="700"/>
              <w:spacing w:after="0"/>
              <w:rPr>
                <w:sz w:val="20"/>
                <w:szCs w:val="20"/>
                <w:color w:val="auto"/>
              </w:rPr>
            </w:pPr>
            <w:r>
              <w:rPr>
                <w:rFonts w:ascii="Courier New" w:cs="Courier New" w:eastAsia="Courier New" w:hAnsi="Courier New"/>
                <w:sz w:val="15"/>
                <w:szCs w:val="15"/>
                <w:color w:val="auto"/>
              </w:rPr>
              <w:t>OF CUSTOMERS' ADVANCES</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47,246</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47,246</w:t>
            </w:r>
          </w:p>
        </w:tc>
      </w:tr>
      <w:tr>
        <w:trPr>
          <w:trHeight w:val="341"/>
        </w:trPr>
        <w:tc>
          <w:tcPr>
            <w:tcW w:w="6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24"/>
                <w:szCs w:val="2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560" w:type="dxa"/>
            <w:vAlign w:val="bottom"/>
          </w:tcPr>
          <w:p>
            <w:pPr>
              <w:ind w:left="1140"/>
              <w:spacing w:after="0"/>
              <w:rPr>
                <w:sz w:val="20"/>
                <w:szCs w:val="20"/>
                <w:color w:val="auto"/>
              </w:rPr>
            </w:pPr>
            <w:r>
              <w:rPr>
                <w:rFonts w:ascii="Courier New" w:cs="Courier New" w:eastAsia="Courier New" w:hAnsi="Courier New"/>
                <w:sz w:val="15"/>
                <w:szCs w:val="15"/>
                <w:color w:val="auto"/>
              </w:rPr>
              <w:t>Total liabilities</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453,985</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417,927</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SHAREHOLDERS' EQUITY</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Ordinary shares, NIS 1 par value - authorized</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6560" w:type="dxa"/>
            <w:vAlign w:val="bottom"/>
          </w:tcPr>
          <w:p>
            <w:pPr>
              <w:ind w:left="880"/>
              <w:spacing w:after="0"/>
              <w:rPr>
                <w:sz w:val="20"/>
                <w:szCs w:val="20"/>
                <w:color w:val="auto"/>
              </w:rPr>
            </w:pPr>
            <w:r>
              <w:rPr>
                <w:rFonts w:ascii="Courier New" w:cs="Courier New" w:eastAsia="Courier New" w:hAnsi="Courier New"/>
                <w:sz w:val="15"/>
                <w:szCs w:val="15"/>
                <w:color w:val="auto"/>
              </w:rPr>
              <w:t>70,000,000 shares; issued 44,735,532 shares</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11,294</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11,294</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Additional paid-in capital</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400,887</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400,808</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Shareholder receivables and unearned compensation</w:t>
            </w:r>
          </w:p>
        </w:tc>
        <w:tc>
          <w:tcPr>
            <w:tcW w:w="48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spacing w:after="0"/>
              <w:rPr>
                <w:sz w:val="14"/>
                <w:szCs w:val="14"/>
                <w:color w:val="auto"/>
              </w:rPr>
            </w:pP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(53)</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Accumulated deficit</w:t>
            </w:r>
          </w:p>
        </w:tc>
        <w:tc>
          <w:tcPr>
            <w:tcW w:w="48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(118,993)</w:t>
            </w:r>
          </w:p>
        </w:tc>
        <w:tc>
          <w:tcPr>
            <w:tcW w:w="320" w:type="dxa"/>
            <w:vAlign w:val="bottom"/>
          </w:tcPr>
          <w:p>
            <w:pPr>
              <w:spacing w:after="0"/>
              <w:rPr>
                <w:sz w:val="14"/>
                <w:szCs w:val="14"/>
                <w:color w:val="auto"/>
              </w:rPr>
            </w:pP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(104,643)</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293,154</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307,406</w:t>
            </w:r>
          </w:p>
        </w:tc>
      </w:tr>
      <w:tr>
        <w:trPr>
          <w:trHeight w:val="171"/>
        </w:trPr>
        <w:tc>
          <w:tcPr>
            <w:tcW w:w="6560" w:type="dxa"/>
            <w:vAlign w:val="bottom"/>
          </w:tcPr>
          <w:p>
            <w:pPr>
              <w:ind w:left="620"/>
              <w:spacing w:after="0"/>
              <w:rPr>
                <w:sz w:val="20"/>
                <w:szCs w:val="20"/>
                <w:color w:val="auto"/>
              </w:rPr>
            </w:pPr>
            <w:r>
              <w:rPr>
                <w:rFonts w:ascii="Courier New" w:cs="Courier New" w:eastAsia="Courier New" w:hAnsi="Courier New"/>
                <w:sz w:val="15"/>
                <w:szCs w:val="15"/>
                <w:color w:val="auto"/>
              </w:rPr>
              <w:t>Treasury stock, at cost - 1,300,000 shares</w:t>
            </w:r>
          </w:p>
        </w:tc>
        <w:tc>
          <w:tcPr>
            <w:tcW w:w="48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(9,072)</w:t>
            </w:r>
          </w:p>
        </w:tc>
        <w:tc>
          <w:tcPr>
            <w:tcW w:w="320" w:type="dxa"/>
            <w:vAlign w:val="bottom"/>
          </w:tcPr>
          <w:p>
            <w:pPr>
              <w:spacing w:after="0"/>
              <w:rPr>
                <w:sz w:val="14"/>
                <w:szCs w:val="14"/>
                <w:color w:val="auto"/>
              </w:rPr>
            </w:pPr>
          </w:p>
        </w:tc>
        <w:tc>
          <w:tcPr>
            <w:tcW w:w="13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(9,072)</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560" w:type="dxa"/>
            <w:vAlign w:val="bottom"/>
          </w:tcPr>
          <w:p>
            <w:pPr>
              <w:ind w:left="1140"/>
              <w:spacing w:after="0"/>
              <w:rPr>
                <w:sz w:val="20"/>
                <w:szCs w:val="20"/>
                <w:color w:val="auto"/>
              </w:rPr>
            </w:pPr>
            <w:r>
              <w:rPr>
                <w:rFonts w:ascii="Courier New" w:cs="Courier New" w:eastAsia="Courier New" w:hAnsi="Courier New"/>
                <w:sz w:val="15"/>
                <w:szCs w:val="15"/>
                <w:color w:val="auto"/>
              </w:rPr>
              <w:t>Total shareholders' equity</w:t>
            </w:r>
          </w:p>
        </w:tc>
        <w:tc>
          <w:tcPr>
            <w:tcW w:w="48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284,082</w:t>
            </w:r>
          </w:p>
        </w:tc>
        <w:tc>
          <w:tcPr>
            <w:tcW w:w="320" w:type="dxa"/>
            <w:vAlign w:val="bottom"/>
          </w:tcPr>
          <w:p>
            <w:pPr>
              <w:spacing w:after="0"/>
              <w:rPr>
                <w:sz w:val="14"/>
                <w:szCs w:val="1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298,334</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24"/>
                <w:szCs w:val="2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6560" w:type="dxa"/>
            <w:vAlign w:val="bottom"/>
          </w:tcPr>
          <w:p>
            <w:pPr>
              <w:ind w:left="11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738,067</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716,261</w:t>
            </w:r>
          </w:p>
        </w:tc>
      </w:tr>
      <w:tr>
        <w:trPr>
          <w:trHeight w:val="171"/>
        </w:trPr>
        <w:tc>
          <w:tcPr>
            <w:tcW w:w="6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136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7" w:right="1440" w:bottom="0" w:gutter="0" w:footer="0" w:header="0"/>
        </w:sectPr>
      </w:pPr>
    </w:p>
    <w:bookmarkStart w:id="12" w:name="page13"/>
    <w:bookmarkEnd w:id="12"/>
    <w:p>
      <w:pPr>
        <w:ind w:left="15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0" w:type="dxa"/>
            <w:vAlign w:val="bottom"/>
          </w:tcPr>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53"/>
        </w:trPr>
        <w:tc>
          <w:tcPr>
            <w:tcW w:w="6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2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66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12,592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8,420</w:t>
            </w:r>
          </w:p>
        </w:tc>
      </w:tr>
      <w:tr>
        <w:trPr>
          <w:trHeight w:val="341"/>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540" w:type="dxa"/>
            <w:vAlign w:val="bottom"/>
          </w:tcPr>
          <w:p>
            <w:pPr>
              <w:spacing w:after="0"/>
              <w:rPr>
                <w:sz w:val="24"/>
                <w:szCs w:val="2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17,934</w:t>
            </w:r>
          </w:p>
        </w:tc>
        <w:tc>
          <w:tcPr>
            <w:tcW w:w="32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13,394</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00" w:type="dxa"/>
            <w:vAlign w:val="bottom"/>
          </w:tcPr>
          <w:p>
            <w:pPr>
              <w:ind w:left="620"/>
              <w:spacing w:after="0"/>
              <w:rPr>
                <w:sz w:val="20"/>
                <w:szCs w:val="20"/>
                <w:color w:val="auto"/>
              </w:rPr>
            </w:pPr>
            <w:r>
              <w:rPr>
                <w:rFonts w:ascii="Courier New" w:cs="Courier New" w:eastAsia="Courier New" w:hAnsi="Courier New"/>
                <w:sz w:val="15"/>
                <w:szCs w:val="15"/>
                <w:color w:val="auto"/>
              </w:rPr>
              <w:t>GROSS LOSS</w:t>
            </w:r>
          </w:p>
        </w:tc>
        <w:tc>
          <w:tcPr>
            <w:tcW w:w="540" w:type="dxa"/>
            <w:vAlign w:val="bottom"/>
          </w:tcPr>
          <w:p>
            <w:pPr>
              <w:spacing w:after="0"/>
              <w:rPr>
                <w:sz w:val="24"/>
                <w:szCs w:val="2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(5,342)</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(4,974)</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540" w:type="dxa"/>
            <w:vAlign w:val="bottom"/>
          </w:tcPr>
          <w:p>
            <w:pPr>
              <w:spacing w:after="0"/>
              <w:rPr>
                <w:sz w:val="24"/>
                <w:szCs w:val="2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3,857</w:t>
            </w:r>
          </w:p>
        </w:tc>
        <w:tc>
          <w:tcPr>
            <w:tcW w:w="32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2,972</w:t>
            </w:r>
          </w:p>
        </w:tc>
      </w:tr>
      <w:tr>
        <w:trPr>
          <w:trHeight w:val="17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Marketing, general and administrative</w:t>
            </w:r>
          </w:p>
        </w:tc>
        <w:tc>
          <w:tcPr>
            <w:tcW w:w="54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5,644</w:t>
            </w:r>
          </w:p>
        </w:tc>
        <w:tc>
          <w:tcPr>
            <w:tcW w:w="3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3,419</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9,501</w:t>
            </w:r>
          </w:p>
        </w:tc>
        <w:tc>
          <w:tcPr>
            <w:tcW w:w="32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6,391</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00" w:type="dxa"/>
            <w:vAlign w:val="bottom"/>
          </w:tcPr>
          <w:p>
            <w:pPr>
              <w:ind w:left="620"/>
              <w:spacing w:after="0"/>
              <w:rPr>
                <w:sz w:val="20"/>
                <w:szCs w:val="20"/>
                <w:color w:val="auto"/>
              </w:rPr>
            </w:pPr>
            <w:r>
              <w:rPr>
                <w:rFonts w:ascii="Courier New" w:cs="Courier New" w:eastAsia="Courier New" w:hAnsi="Courier New"/>
                <w:sz w:val="15"/>
                <w:szCs w:val="15"/>
                <w:color w:val="auto"/>
              </w:rPr>
              <w:t>OPERATING LOSS</w:t>
            </w:r>
          </w:p>
        </w:tc>
        <w:tc>
          <w:tcPr>
            <w:tcW w:w="540" w:type="dxa"/>
            <w:vAlign w:val="bottom"/>
          </w:tcPr>
          <w:p>
            <w:pPr>
              <w:spacing w:after="0"/>
              <w:rPr>
                <w:sz w:val="24"/>
                <w:szCs w:val="2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(14,843)</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(11,365)</w:t>
            </w:r>
          </w:p>
        </w:tc>
      </w:tr>
      <w:tr>
        <w:trPr>
          <w:trHeight w:val="341"/>
        </w:trPr>
        <w:tc>
          <w:tcPr>
            <w:tcW w:w="6600" w:type="dxa"/>
            <w:vAlign w:val="bottom"/>
          </w:tcPr>
          <w:p>
            <w:pPr>
              <w:spacing w:after="0"/>
              <w:rPr>
                <w:sz w:val="20"/>
                <w:szCs w:val="20"/>
                <w:color w:val="auto"/>
              </w:rPr>
            </w:pPr>
            <w:r>
              <w:rPr>
                <w:rFonts w:ascii="Courier New" w:cs="Courier New" w:eastAsia="Courier New" w:hAnsi="Courier New"/>
                <w:sz w:val="15"/>
                <w:szCs w:val="15"/>
                <w:color w:val="auto"/>
              </w:rPr>
              <w:t>FINANCING INCOME (EXPENSE), NET</w:t>
            </w:r>
          </w:p>
        </w:tc>
        <w:tc>
          <w:tcPr>
            <w:tcW w:w="540" w:type="dxa"/>
            <w:vAlign w:val="bottom"/>
          </w:tcPr>
          <w:p>
            <w:pPr>
              <w:spacing w:after="0"/>
              <w:rPr>
                <w:sz w:val="24"/>
                <w:szCs w:val="2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(649)</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00" w:type="dxa"/>
            <w:vAlign w:val="bottom"/>
          </w:tcPr>
          <w:p>
            <w:pPr>
              <w:ind w:left="1240"/>
              <w:spacing w:after="0"/>
              <w:rPr>
                <w:sz w:val="20"/>
                <w:szCs w:val="20"/>
                <w:color w:val="auto"/>
              </w:rPr>
            </w:pPr>
            <w:r>
              <w:rPr>
                <w:rFonts w:ascii="Courier New" w:cs="Courier New" w:eastAsia="Courier New" w:hAnsi="Courier New"/>
                <w:sz w:val="15"/>
                <w:szCs w:val="15"/>
                <w:color w:val="auto"/>
              </w:rPr>
              <w:t>LOSS FOR THE PERIOD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(12,014)</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53"/>
        </w:trPr>
        <w:tc>
          <w:tcPr>
            <w:tcW w:w="660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Loss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(0.47)</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Loss used to compute</w:t>
            </w: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600" w:type="dxa"/>
            <w:vAlign w:val="bottom"/>
          </w:tcPr>
          <w:p>
            <w:pPr>
              <w:ind w:left="700"/>
              <w:spacing w:after="0"/>
              <w:rPr>
                <w:sz w:val="20"/>
                <w:szCs w:val="20"/>
                <w:color w:val="auto"/>
              </w:rPr>
            </w:pPr>
            <w:r>
              <w:rPr>
                <w:rFonts w:ascii="Courier New" w:cs="Courier New" w:eastAsia="Courier New" w:hAnsi="Courier New"/>
                <w:sz w:val="15"/>
                <w:szCs w:val="15"/>
                <w:color w:val="auto"/>
              </w:rPr>
              <w:t>basic loss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(12,014)</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ordinary</w:t>
            </w: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600" w:type="dxa"/>
            <w:vAlign w:val="bottom"/>
          </w:tcPr>
          <w:p>
            <w:pPr>
              <w:ind w:left="620"/>
              <w:spacing w:after="0"/>
              <w:rPr>
                <w:sz w:val="20"/>
                <w:szCs w:val="20"/>
                <w:color w:val="auto"/>
              </w:rPr>
            </w:pPr>
            <w:r>
              <w:rPr>
                <w:rFonts w:ascii="Courier New" w:cs="Courier New" w:eastAsia="Courier New" w:hAnsi="Courier New"/>
                <w:sz w:val="15"/>
                <w:szCs w:val="15"/>
                <w:color w:val="auto"/>
              </w:rPr>
              <w:t>shares outstanding - in thousands</w:t>
            </w:r>
          </w:p>
        </w:tc>
        <w:tc>
          <w:tcPr>
            <w:tcW w:w="540" w:type="dxa"/>
            <w:vAlign w:val="bottom"/>
          </w:tcPr>
          <w:p>
            <w:pPr>
              <w:spacing w:after="0"/>
              <w:rPr>
                <w:sz w:val="14"/>
                <w:szCs w:val="14"/>
                <w:color w:val="auto"/>
              </w:rPr>
            </w:pP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43,436</w:t>
            </w:r>
          </w:p>
        </w:tc>
        <w:tc>
          <w:tcPr>
            <w:tcW w:w="3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25,293</w:t>
            </w:r>
          </w:p>
        </w:tc>
      </w:tr>
      <w:tr>
        <w:trPr>
          <w:trHeight w:val="171"/>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799" w:right="1440" w:bottom="1440" w:gutter="0" w:footer="0" w:header="0"/>
        </w:sectPr>
      </w:pPr>
    </w:p>
    <w:bookmarkStart w:id="13" w:name="page14"/>
    <w:bookmarkEnd w:id="13"/>
    <w:p>
      <w:pPr>
        <w:jc w:val="center"/>
        <w:ind w:right="4420"/>
        <w:spacing w:after="0"/>
        <w:rPr>
          <w:sz w:val="20"/>
          <w:szCs w:val="20"/>
          <w:color w:val="auto"/>
        </w:rPr>
      </w:pPr>
      <w:r>
        <w:rPr>
          <w:rFonts w:ascii="Courier New" w:cs="Courier New" w:eastAsia="Courier New" w:hAnsi="Courier New"/>
          <w:sz w:val="15"/>
          <w:szCs w:val="15"/>
          <w:color w:val="auto"/>
        </w:rPr>
        <w:t>TOWER SEMICONDUCTOR LTD.</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STATEMENT OF CHANGES IN SHAREHOLDERS' EQUITY</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Shareholder</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receivables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218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Ordinary shares</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Additional</w:t>
            </w:r>
          </w:p>
        </w:tc>
        <w:tc>
          <w:tcPr>
            <w:tcW w:w="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and</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paid-in</w:t>
            </w:r>
          </w:p>
        </w:tc>
        <w:tc>
          <w:tcPr>
            <w:tcW w:w="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unearned</w:t>
            </w:r>
          </w:p>
        </w:tc>
        <w:tc>
          <w:tcPr>
            <w:tcW w:w="14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Accumulated</w:t>
            </w:r>
          </w:p>
        </w:tc>
        <w:tc>
          <w:tcPr>
            <w:tcW w:w="180" w:type="dxa"/>
            <w:vAlign w:val="bottom"/>
          </w:tcPr>
          <w:p>
            <w:pPr>
              <w:spacing w:after="0"/>
              <w:rPr>
                <w:sz w:val="14"/>
                <w:szCs w:val="14"/>
                <w:color w:val="auto"/>
              </w:rPr>
            </w:pPr>
          </w:p>
        </w:tc>
        <w:tc>
          <w:tcPr>
            <w:tcW w:w="10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Treasury</w:t>
            </w:r>
          </w:p>
        </w:tc>
        <w:tc>
          <w:tcPr>
            <w:tcW w:w="102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Amount</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capital</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compensation</w:t>
            </w:r>
          </w:p>
        </w:tc>
        <w:tc>
          <w:tcPr>
            <w:tcW w:w="14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deficit</w:t>
            </w:r>
          </w:p>
        </w:tc>
        <w:tc>
          <w:tcPr>
            <w:tcW w:w="18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stock</w:t>
            </w: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3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35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320" w:type="dxa"/>
            <w:vAlign w:val="bottom"/>
          </w:tcPr>
          <w:p>
            <w:pPr>
              <w:ind w:left="520"/>
              <w:spacing w:after="0"/>
              <w:rPr>
                <w:sz w:val="20"/>
                <w:szCs w:val="20"/>
                <w:color w:val="auto"/>
              </w:rPr>
            </w:pPr>
            <w:r>
              <w:rPr>
                <w:rFonts w:ascii="Courier New" w:cs="Courier New" w:eastAsia="Courier New" w:hAnsi="Courier New"/>
                <w:sz w:val="15"/>
                <w:szCs w:val="15"/>
                <w:color w:val="auto"/>
              </w:rPr>
              <w:t>BALANCE - JANUARY 1, 2003</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44,735,532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11,294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400,808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(104,643)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(9,072)$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298,334</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320" w:type="dxa"/>
            <w:vAlign w:val="bottom"/>
          </w:tcPr>
          <w:p>
            <w:pPr>
              <w:ind w:left="340"/>
              <w:spacing w:after="0"/>
              <w:rPr>
                <w:sz w:val="20"/>
                <w:szCs w:val="20"/>
                <w:color w:val="auto"/>
              </w:rPr>
            </w:pPr>
            <w:r>
              <w:rPr>
                <w:rFonts w:ascii="Courier New" w:cs="Courier New" w:eastAsia="Courier New" w:hAnsi="Courier New"/>
                <w:sz w:val="15"/>
                <w:szCs w:val="15"/>
                <w:color w:val="auto"/>
              </w:rPr>
              <w:t>the Fab 2 constructor</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Share issuance costs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Amortization of unearned compensation</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Loss for the period</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(14,350)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(14,350)</w:t>
            </w:r>
          </w:p>
        </w:tc>
      </w:tr>
      <w:tr>
        <w:trPr>
          <w:trHeight w:val="171"/>
        </w:trPr>
        <w:tc>
          <w:tcPr>
            <w:tcW w:w="33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ind w:left="520"/>
              <w:spacing w:after="0"/>
              <w:rPr>
                <w:sz w:val="20"/>
                <w:szCs w:val="20"/>
                <w:color w:val="auto"/>
              </w:rPr>
            </w:pPr>
            <w:r>
              <w:rPr>
                <w:rFonts w:ascii="Courier New" w:cs="Courier New" w:eastAsia="Courier New" w:hAnsi="Courier New"/>
                <w:sz w:val="15"/>
                <w:szCs w:val="15"/>
                <w:color w:val="auto"/>
              </w:rPr>
              <w:t>BALANCE - MARCH 31, 2003</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44,735,532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11,294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400,887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(118,993)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(9,072)$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284,082</w:t>
            </w:r>
          </w:p>
        </w:tc>
      </w:tr>
      <w:tr>
        <w:trPr>
          <w:trHeight w:val="171"/>
        </w:trPr>
        <w:tc>
          <w:tcPr>
            <w:tcW w:w="33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799" w:right="139" w:bottom="1440" w:gutter="0" w:footer="0" w:header="0"/>
        </w:sectPr>
      </w:pPr>
    </w:p>
    <w:bookmarkStart w:id="14" w:name="page15"/>
    <w:bookmarkEnd w:id="14"/>
    <w:p>
      <w:pPr>
        <w:jc w:val="center"/>
        <w:ind w:right="400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7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4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LOSS FOR THE PERIOD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(12,014)</w:t>
            </w:r>
          </w:p>
        </w:tc>
      </w:tr>
      <w:tr>
        <w:trPr>
          <w:trHeight w:val="17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Adjustments to reconcile loss for the period</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rPr>
              <w:t>To net cash used in operating activities: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620" w:type="dxa"/>
            <w:vAlign w:val="bottom"/>
          </w:tcPr>
          <w:p>
            <w:pPr>
              <w:ind w:left="700"/>
              <w:spacing w:after="0"/>
              <w:rPr>
                <w:sz w:val="20"/>
                <w:szCs w:val="20"/>
                <w:color w:val="auto"/>
              </w:rPr>
            </w:pPr>
            <w:r>
              <w:rPr>
                <w:rFonts w:ascii="Courier New" w:cs="Courier New" w:eastAsia="Courier New" w:hAnsi="Courier New"/>
                <w:sz w:val="15"/>
                <w:szCs w:val="15"/>
                <w:color w:val="auto"/>
              </w:rPr>
              <w:t>Income and expense items not involving cash flows: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620" w:type="dxa"/>
            <w:vAlign w:val="bottom"/>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11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4,664</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4,710</w:t>
            </w:r>
          </w:p>
        </w:tc>
      </w:tr>
      <w:tr>
        <w:trPr>
          <w:trHeight w:val="171"/>
        </w:trPr>
        <w:tc>
          <w:tcPr>
            <w:tcW w:w="7620" w:type="dxa"/>
            <w:vAlign w:val="bottom"/>
          </w:tcPr>
          <w:p>
            <w:pPr>
              <w:ind w:left="700"/>
              <w:spacing w:after="0"/>
              <w:rPr>
                <w:sz w:val="20"/>
                <w:szCs w:val="20"/>
                <w:color w:val="auto"/>
              </w:rPr>
            </w:pPr>
            <w:r>
              <w:rPr>
                <w:rFonts w:ascii="Courier New" w:cs="Courier New" w:eastAsia="Courier New" w:hAnsi="Courier New"/>
                <w:sz w:val="15"/>
                <w:szCs w:val="15"/>
                <w:color w:val="auto"/>
              </w:rPr>
              <w:t>Changes in assets and liabilities: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620" w:type="dxa"/>
            <w:vAlign w:val="bottom"/>
          </w:tcPr>
          <w:p>
            <w:pPr>
              <w:ind w:left="880"/>
              <w:spacing w:after="0"/>
              <w:rPr>
                <w:sz w:val="20"/>
                <w:szCs w:val="20"/>
                <w:color w:val="auto"/>
              </w:rPr>
            </w:pPr>
            <w:r>
              <w:rPr>
                <w:rFonts w:ascii="Courier New" w:cs="Courier New" w:eastAsia="Courier New" w:hAnsi="Courier New"/>
                <w:sz w:val="15"/>
                <w:szCs w:val="15"/>
                <w:color w:val="auto"/>
              </w:rPr>
              <w:t>Decrease (increase) in trade accounts receivable</w:t>
            </w:r>
          </w:p>
        </w:tc>
        <w:tc>
          <w:tcPr>
            <w:tcW w:w="11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756</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(793)</w:t>
            </w:r>
          </w:p>
        </w:tc>
      </w:tr>
      <w:tr>
        <w:trPr>
          <w:trHeight w:val="171"/>
        </w:trPr>
        <w:tc>
          <w:tcPr>
            <w:tcW w:w="7620" w:type="dxa"/>
            <w:vAlign w:val="bottom"/>
          </w:tcPr>
          <w:p>
            <w:pPr>
              <w:ind w:left="880"/>
              <w:spacing w:after="0"/>
              <w:rPr>
                <w:sz w:val="20"/>
                <w:szCs w:val="20"/>
                <w:color w:val="auto"/>
              </w:rPr>
            </w:pPr>
            <w:r>
              <w:rPr>
                <w:rFonts w:ascii="Courier New" w:cs="Courier New" w:eastAsia="Courier New" w:hAnsi="Courier New"/>
                <w:sz w:val="15"/>
                <w:szCs w:val="15"/>
                <w:color w:val="auto"/>
              </w:rPr>
              <w:t>Decrease (increase) in other receivables and other current assets</w:t>
            </w: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(2,547)</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695</w:t>
            </w:r>
          </w:p>
        </w:tc>
      </w:tr>
      <w:tr>
        <w:trPr>
          <w:trHeight w:val="171"/>
        </w:trPr>
        <w:tc>
          <w:tcPr>
            <w:tcW w:w="7620" w:type="dxa"/>
            <w:vAlign w:val="bottom"/>
          </w:tcPr>
          <w:p>
            <w:pPr>
              <w:ind w:left="880"/>
              <w:spacing w:after="0"/>
              <w:rPr>
                <w:sz w:val="20"/>
                <w:szCs w:val="20"/>
                <w:color w:val="auto"/>
              </w:rPr>
            </w:pPr>
            <w:r>
              <w:rPr>
                <w:rFonts w:ascii="Courier New" w:cs="Courier New" w:eastAsia="Courier New" w:hAnsi="Courier New"/>
                <w:sz w:val="15"/>
                <w:szCs w:val="15"/>
                <w:color w:val="auto"/>
              </w:rPr>
              <w:t>Decrease (increase) in inventories</w:t>
            </w: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w:t>
            </w:r>
          </w:p>
        </w:tc>
      </w:tr>
      <w:tr>
        <w:trPr>
          <w:trHeight w:val="171"/>
        </w:trPr>
        <w:tc>
          <w:tcPr>
            <w:tcW w:w="7620" w:type="dxa"/>
            <w:vAlign w:val="bottom"/>
          </w:tcPr>
          <w:p>
            <w:pPr>
              <w:ind w:left="880"/>
              <w:spacing w:after="0"/>
              <w:rPr>
                <w:sz w:val="20"/>
                <w:szCs w:val="20"/>
                <w:color w:val="auto"/>
              </w:rPr>
            </w:pPr>
            <w:r>
              <w:rPr>
                <w:rFonts w:ascii="Courier New" w:cs="Courier New" w:eastAsia="Courier New" w:hAnsi="Courier New"/>
                <w:sz w:val="15"/>
                <w:szCs w:val="15"/>
                <w:color w:val="auto"/>
              </w:rPr>
              <w:t>Increase (decrease) in trade accounts payable</w:t>
            </w:r>
          </w:p>
        </w:tc>
        <w:tc>
          <w:tcPr>
            <w:tcW w:w="11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3,409</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r>
      <w:tr>
        <w:trPr>
          <w:trHeight w:val="171"/>
        </w:trPr>
        <w:tc>
          <w:tcPr>
            <w:tcW w:w="7620" w:type="dxa"/>
            <w:vAlign w:val="bottom"/>
          </w:tcPr>
          <w:p>
            <w:pPr>
              <w:ind w:left="880"/>
              <w:spacing w:after="0"/>
              <w:rPr>
                <w:sz w:val="20"/>
                <w:szCs w:val="20"/>
                <w:color w:val="auto"/>
              </w:rPr>
            </w:pPr>
            <w:r>
              <w:rPr>
                <w:rFonts w:ascii="Courier New" w:cs="Courier New" w:eastAsia="Courier New" w:hAnsi="Courier New"/>
                <w:sz w:val="15"/>
                <w:szCs w:val="15"/>
                <w:color w:val="auto"/>
              </w:rPr>
              <w:t>Increase (decrease) in other current liabilities</w:t>
            </w: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(508)</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w:t>
            </w:r>
          </w:p>
        </w:tc>
      </w:tr>
      <w:tr>
        <w:trPr>
          <w:trHeight w:val="171"/>
        </w:trPr>
        <w:tc>
          <w:tcPr>
            <w:tcW w:w="7620" w:type="dxa"/>
            <w:vAlign w:val="bottom"/>
          </w:tcPr>
          <w:p>
            <w:pPr>
              <w:ind w:left="880"/>
              <w:spacing w:after="0"/>
              <w:rPr>
                <w:sz w:val="20"/>
                <w:szCs w:val="20"/>
                <w:color w:val="auto"/>
              </w:rPr>
            </w:pPr>
            <w:r>
              <w:rPr>
                <w:rFonts w:ascii="Courier New" w:cs="Courier New" w:eastAsia="Courier New" w:hAnsi="Courier New"/>
                <w:sz w:val="15"/>
                <w:szCs w:val="15"/>
                <w:color w:val="auto"/>
              </w:rPr>
              <w:t>Increase in other long-term liabilities</w:t>
            </w:r>
          </w:p>
        </w:tc>
        <w:tc>
          <w:tcPr>
            <w:tcW w:w="11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907</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20" w:type="dxa"/>
            <w:vAlign w:val="bottom"/>
          </w:tcPr>
          <w:p>
            <w:pPr>
              <w:ind w:left="1140"/>
              <w:spacing w:after="0"/>
              <w:rPr>
                <w:sz w:val="20"/>
                <w:szCs w:val="20"/>
                <w:color w:val="auto"/>
              </w:rPr>
            </w:pPr>
            <w:r>
              <w:rPr>
                <w:rFonts w:ascii="Courier New" w:cs="Courier New" w:eastAsia="Courier New" w:hAnsi="Courier New"/>
                <w:sz w:val="15"/>
                <w:szCs w:val="15"/>
                <w:color w:val="auto"/>
              </w:rPr>
              <w:t>Net cash used in operating activities</w:t>
            </w: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(8,277)</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(6,113)</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Decrease (increase) in cash, short-term and long term interest-bearing</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7620" w:type="dxa"/>
            <w:vAlign w:val="bottom"/>
          </w:tcPr>
          <w:p>
            <w:pPr>
              <w:ind w:left="520"/>
              <w:spacing w:after="0"/>
              <w:rPr>
                <w:sz w:val="20"/>
                <w:szCs w:val="20"/>
                <w:color w:val="auto"/>
              </w:rPr>
            </w:pPr>
            <w:r>
              <w:rPr>
                <w:rFonts w:ascii="Courier New" w:cs="Courier New" w:eastAsia="Courier New" w:hAnsi="Courier New"/>
                <w:sz w:val="15"/>
                <w:szCs w:val="15"/>
                <w:color w:val="auto"/>
              </w:rPr>
              <w:t>Deposits designated for investments relating to Fab 2</w:t>
            </w:r>
          </w:p>
        </w:tc>
        <w:tc>
          <w:tcPr>
            <w:tcW w:w="11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29,251</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(27,823)</w:t>
            </w:r>
          </w:p>
        </w:tc>
      </w:tr>
      <w:tr>
        <w:trPr>
          <w:trHeight w:val="17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property and equipment</w:t>
            </w: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(48,026)</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(55,426)</w:t>
            </w:r>
          </w:p>
        </w:tc>
      </w:tr>
      <w:tr>
        <w:trPr>
          <w:trHeight w:val="17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Investment grants received</w:t>
            </w:r>
          </w:p>
        </w:tc>
        <w:tc>
          <w:tcPr>
            <w:tcW w:w="11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6,720</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10,173</w:t>
            </w:r>
          </w:p>
        </w:tc>
      </w:tr>
      <w:tr>
        <w:trPr>
          <w:trHeight w:val="17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other assets</w:t>
            </w: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(6,019)</w:t>
            </w:r>
          </w:p>
        </w:tc>
      </w:tr>
      <w:tr>
        <w:trPr>
          <w:trHeight w:val="17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Decrease in deposits, net</w:t>
            </w:r>
          </w:p>
        </w:tc>
        <w:tc>
          <w:tcPr>
            <w:tcW w:w="11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20" w:type="dxa"/>
            <w:vAlign w:val="bottom"/>
          </w:tcPr>
          <w:p>
            <w:pPr>
              <w:ind w:left="1140"/>
              <w:spacing w:after="0"/>
              <w:rPr>
                <w:sz w:val="20"/>
                <w:szCs w:val="20"/>
                <w:color w:val="auto"/>
              </w:rPr>
            </w:pPr>
            <w:r>
              <w:rPr>
                <w:rFonts w:ascii="Courier New" w:cs="Courier New" w:eastAsia="Courier New" w:hAnsi="Courier New"/>
                <w:sz w:val="15"/>
                <w:szCs w:val="15"/>
                <w:color w:val="auto"/>
              </w:rPr>
              <w:t>NET CASH USED IN INVESTING ACTIVITIES</w:t>
            </w: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(16,315)</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(79,062)</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Proceeds from (costs related to) issuance of shares, net</w:t>
            </w:r>
          </w:p>
        </w:tc>
        <w:tc>
          <w:tcPr>
            <w:tcW w:w="112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(115)</w:t>
            </w:r>
          </w:p>
        </w:tc>
        <w:tc>
          <w:tcPr>
            <w:tcW w:w="22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1,928</w:t>
            </w:r>
          </w:p>
        </w:tc>
      </w:tr>
      <w:tr>
        <w:trPr>
          <w:trHeight w:val="17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Repayment of long-term debt</w:t>
            </w: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Proceeds from long-term debt</w:t>
            </w:r>
          </w:p>
        </w:tc>
        <w:tc>
          <w:tcPr>
            <w:tcW w:w="11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60,000</w:t>
            </w:r>
          </w:p>
        </w:tc>
      </w:tr>
      <w:tr>
        <w:trPr>
          <w:trHeight w:val="17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securities, net</w:t>
            </w:r>
          </w:p>
        </w:tc>
        <w:tc>
          <w:tcPr>
            <w:tcW w:w="11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21,654</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20" w:type="dxa"/>
            <w:vAlign w:val="bottom"/>
          </w:tcPr>
          <w:p>
            <w:pPr>
              <w:ind w:left="114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1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28,885</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82,582</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1120" w:type="dxa"/>
            <w:vAlign w:val="bottom"/>
          </w:tcPr>
          <w:p>
            <w:pPr>
              <w:spacing w:after="0"/>
              <w:rPr>
                <w:sz w:val="24"/>
                <w:szCs w:val="2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4,293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(2,593)</w:t>
            </w:r>
          </w:p>
        </w:tc>
      </w:tr>
      <w:tr>
        <w:trPr>
          <w:trHeight w:val="171"/>
        </w:trPr>
        <w:tc>
          <w:tcPr>
            <w:tcW w:w="762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11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7,857</w:t>
            </w:r>
          </w:p>
        </w:tc>
        <w:tc>
          <w:tcPr>
            <w:tcW w:w="22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19,610</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ind w:left="700"/>
              <w:spacing w:after="0"/>
              <w:rPr>
                <w:sz w:val="20"/>
                <w:szCs w:val="20"/>
                <w:color w:val="auto"/>
              </w:rPr>
            </w:pPr>
            <w:r>
              <w:rPr>
                <w:rFonts w:ascii="Courier New" w:cs="Courier New" w:eastAsia="Courier New" w:hAnsi="Courier New"/>
                <w:sz w:val="15"/>
                <w:szCs w:val="15"/>
                <w:color w:val="auto"/>
              </w:rPr>
              <w:t>CASH AND CASH EQUIVALENTS - END OF PERIOD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17,017</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property and equipment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27,209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18,737</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other assets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1,672</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6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Cash paid during the period for interest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2,167</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620" w:type="dxa"/>
            <w:vAlign w:val="bottom"/>
          </w:tcPr>
          <w:p>
            <w:pPr>
              <w:ind w:left="340"/>
              <w:spacing w:after="0"/>
              <w:rPr>
                <w:sz w:val="20"/>
                <w:szCs w:val="20"/>
                <w:color w:val="auto"/>
              </w:rPr>
            </w:pPr>
            <w:r>
              <w:rPr>
                <w:rFonts w:ascii="Courier New" w:cs="Courier New" w:eastAsia="Courier New" w:hAnsi="Courier New"/>
                <w:sz w:val="15"/>
                <w:szCs w:val="15"/>
                <w:color w:val="auto"/>
              </w:rPr>
              <w:t>Cash paid during the period for income taxes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w:t>
            </w:r>
          </w:p>
        </w:tc>
      </w:tr>
      <w:tr>
        <w:trPr>
          <w:trHeight w:val="171"/>
        </w:trPr>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180"/>
          </w:cols>
          <w:pgMar w:left="240" w:top="628" w:right="479" w:bottom="1440" w:gutter="0" w:footer="0" w:header="0"/>
        </w:sectPr>
      </w:pPr>
    </w:p>
    <w:bookmarkStart w:id="15" w:name="page16"/>
    <w:bookmarkEnd w:id="15"/>
    <w:p>
      <w:pPr>
        <w:jc w:val="center"/>
        <w:ind w:right="30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3" w:lineRule="exact"/>
        <w:rPr>
          <w:sz w:val="20"/>
          <w:szCs w:val="20"/>
          <w:color w:val="auto"/>
        </w:rPr>
      </w:pPr>
    </w:p>
    <w:p>
      <w:pPr>
        <w:ind w:left="880" w:right="4019" w:firstLine="888"/>
        <w:spacing w:after="0" w:line="271" w:lineRule="auto"/>
        <w:rPr>
          <w:sz w:val="20"/>
          <w:szCs w:val="20"/>
          <w:color w:val="auto"/>
        </w:rPr>
      </w:pPr>
      <w:r>
        <w:rPr>
          <w:rFonts w:ascii="Courier New" w:cs="Courier New" w:eastAsia="Courier New" w:hAnsi="Courier New"/>
          <w:sz w:val="14"/>
          <w:szCs w:val="14"/>
          <w:color w:val="auto"/>
        </w:rPr>
        <w:t>FINANCIAL STATEMENTS AS OF MARCH 31, 2003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BASIS OF PRESENTATION</w:t>
      </w:r>
    </w:p>
    <w:p>
      <w:pPr>
        <w:spacing w:after="0" w:line="174" w:lineRule="exact"/>
        <w:rPr>
          <w:sz w:val="20"/>
          <w:szCs w:val="20"/>
          <w:color w:val="auto"/>
        </w:rPr>
      </w:pPr>
    </w:p>
    <w:p>
      <w:pPr>
        <w:ind w:left="1320" w:right="3119" w:hanging="442"/>
        <w:spacing w:after="0" w:line="259" w:lineRule="auto"/>
        <w:tabs>
          <w:tab w:leader="none" w:pos="1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condensed interim consolidated financial statements as of March 31, 2003 and for the three months then ended ("interim financial statements") of Tower Semiconductor Ltd. ("the Company") and subsidiary should be read in conjunction with the audited consolidated financial statements of the Company and subsidiary as of December 31, 2002 and for the year then ended, including the notes thereto. In the opinion of management, the interim financial statements include all adjustments necessary for a fair presentation of the financial position and results as of the dates and for the interim period presented. The results of operations for the interim period are not necessarily indicative of the results to be expected on a full-year basis.</w:t>
      </w:r>
    </w:p>
    <w:p>
      <w:pPr>
        <w:spacing w:after="0" w:line="335" w:lineRule="exact"/>
        <w:rPr>
          <w:rFonts w:ascii="Courier New" w:cs="Courier New" w:eastAsia="Courier New" w:hAnsi="Courier New"/>
          <w:sz w:val="14"/>
          <w:szCs w:val="14"/>
          <w:color w:val="auto"/>
        </w:rPr>
      </w:pPr>
    </w:p>
    <w:p>
      <w:pPr>
        <w:ind w:left="1320" w:right="3119" w:hanging="442"/>
        <w:spacing w:after="0" w:line="261" w:lineRule="auto"/>
        <w:tabs>
          <w:tab w:leader="none" w:pos="1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interim financial statements have been prepared in conformity with generally accepted accounting principles ("GAAP") in Israel, which, as applicable to these interim financial statements, are identical in all material respects to GAAP in the United States of America ("U.S. GAAP"), except as indicated in Note 5.</w:t>
      </w:r>
    </w:p>
    <w:p>
      <w:pPr>
        <w:spacing w:after="0" w:line="161" w:lineRule="exact"/>
        <w:rPr>
          <w:rFonts w:ascii="Courier New" w:cs="Courier New" w:eastAsia="Courier New" w:hAnsi="Courier New"/>
          <w:sz w:val="14"/>
          <w:szCs w:val="14"/>
          <w:color w:val="auto"/>
        </w:rPr>
      </w:pPr>
    </w:p>
    <w:p>
      <w:pPr>
        <w:ind w:left="1320" w:right="31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accounting principles applied in the preparation of these interim financial statements are consistent with those principles applied in the preparation of the most recent annual audited financial statements.</w:t>
      </w:r>
    </w:p>
    <w:p>
      <w:pPr>
        <w:spacing w:after="0" w:line="344" w:lineRule="exact"/>
        <w:rPr>
          <w:rFonts w:ascii="Courier New" w:cs="Courier New" w:eastAsia="Courier New" w:hAnsi="Courier New"/>
          <w:sz w:val="14"/>
          <w:szCs w:val="14"/>
          <w:color w:val="auto"/>
        </w:rPr>
      </w:pPr>
    </w:p>
    <w:p>
      <w:pPr>
        <w:ind w:left="1320" w:hanging="442"/>
        <w:spacing w:after="0"/>
        <w:tabs>
          <w:tab w:leader="none" w:pos="13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NEW FABRICATION FACILITY</w:t>
      </w:r>
    </w:p>
    <w:p>
      <w:pPr>
        <w:spacing w:after="0" w:line="174" w:lineRule="exact"/>
        <w:rPr>
          <w:rFonts w:ascii="Courier New" w:cs="Courier New" w:eastAsia="Courier New" w:hAnsi="Courier New"/>
          <w:sz w:val="15"/>
          <w:szCs w:val="15"/>
          <w:color w:val="auto"/>
        </w:rPr>
      </w:pPr>
    </w:p>
    <w:p>
      <w:pPr>
        <w:ind w:left="13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 200 millimeters wafers. The Company entered into several related agreements and arrangements in connection with Fab 2, including agreements and other arrangements with technology and Wafer Partners, equity investors, the Company's Banks, the government of Israel and others to provide an aggregate of $1,146,000 of financing Fab 2. The Fab 2 project is a complex undertaking, which entails substantial risks and uncertainties. For further details concerning such agreements, risks and uncertainties, see Note 3 below and Note 13A to the 2002 audited consolidated financial statements. For details concerning non-capitalizable expenses and cash flows used in operating activities relating to Fab 2, see Note 3E below.</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9" w:right="1440" w:bottom="1440" w:gutter="0" w:footer="0" w:header="0"/>
        </w:sectPr>
      </w:pPr>
    </w:p>
    <w:bookmarkStart w:id="16" w:name="page17"/>
    <w:bookmarkEnd w:id="16"/>
    <w:p>
      <w:pPr>
        <w:ind w:left="880" w:right="4019" w:firstLine="976"/>
        <w:spacing w:after="0" w:line="239" w:lineRule="auto"/>
        <w:rPr>
          <w:sz w:val="20"/>
          <w:szCs w:val="20"/>
          <w:color w:val="auto"/>
        </w:rPr>
      </w:pPr>
      <w:r>
        <w:rPr>
          <w:rFonts w:ascii="Courier New" w:cs="Courier New" w:eastAsia="Courier New" w:hAnsi="Courier New"/>
          <w:sz w:val="15"/>
          <w:szCs w:val="15"/>
          <w:color w:val="auto"/>
        </w:rPr>
        <w:t>TOWER SEMICONDUCTOR LTD. AND SUBSIDIARY NOTES TO UNAUDITED CONDENSED INTERIM CONSOLIDATED FINANCIAL STATEMENTS AS OF MARCH 31, 2003 (dollars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MAJOR CUSTOMERS</w:t>
      </w:r>
    </w:p>
    <w:p>
      <w:pPr>
        <w:sectPr>
          <w:pgSz w:w="11900" w:h="16838" w:orient="portrait"/>
          <w:cols w:equalWidth="0" w:num="1">
            <w:col w:w="10219"/>
          </w:cols>
          <w:pgMar w:left="240" w:top="631" w:right="1440" w:bottom="1440" w:gutter="0" w:footer="0" w:header="0"/>
        </w:sectPr>
      </w:pP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Sales to major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customers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as a</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percentage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sales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as</w:t>
      </w:r>
    </w:p>
    <w:p>
      <w:pPr>
        <w:spacing w:after="0" w:line="1" w:lineRule="exact"/>
        <w:rPr>
          <w:sz w:val="20"/>
          <w:szCs w:val="20"/>
          <w:color w:val="auto"/>
        </w:rPr>
      </w:pPr>
    </w:p>
    <w:p>
      <w:pPr>
        <w:sectPr>
          <w:pgSz w:w="11900" w:h="16838" w:orient="portrait"/>
          <w:cols w:equalWidth="0" w:num="8">
            <w:col w:w="2120" w:space="180"/>
            <w:col w:w="800" w:space="180"/>
            <w:col w:w="340" w:space="180"/>
            <w:col w:w="900" w:space="180"/>
            <w:col w:w="160" w:space="180"/>
            <w:col w:w="460" w:space="160"/>
            <w:col w:w="460" w:space="160"/>
            <w:col w:w="3759"/>
          </w:cols>
          <w:pgMar w:left="240" w:top="63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follows:</w:t>
      </w:r>
    </w:p>
    <w:p>
      <w:pPr>
        <w:spacing w:after="0" w:line="345"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Three months ended</w:t>
      </w:r>
    </w:p>
    <w:p>
      <w:pPr>
        <w:spacing w:after="0" w:line="9"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March 31,</w:t>
      </w:r>
    </w:p>
    <w:p>
      <w:pPr>
        <w:sectPr>
          <w:pgSz w:w="11900" w:h="16838" w:orient="portrait"/>
          <w:cols w:equalWidth="0" w:num="1">
            <w:col w:w="10219"/>
          </w:cols>
          <w:pgMar w:left="240" w:top="631" w:right="1440" w:bottom="1440" w:gutter="0" w:footer="0" w:header="0"/>
          <w:type w:val="continuous"/>
        </w:sectPr>
      </w:pP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2003</w:t>
      </w:r>
    </w:p>
    <w:p>
      <w:pPr>
        <w:spacing w:after="0" w:line="3"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2">
            <w:col w:w="5300" w:space="720"/>
            <w:col w:w="4199"/>
          </w:cols>
          <w:pgMar w:left="240" w:top="631" w:right="1440" w:bottom="1440" w:gutter="0" w:footer="0" w:header="0"/>
          <w:type w:val="continuous"/>
        </w:sectPr>
      </w:pPr>
    </w:p>
    <w:p>
      <w:pPr>
        <w:ind w:left="4880"/>
        <w:spacing w:after="0"/>
        <w:rPr>
          <w:sz w:val="20"/>
          <w:szCs w:val="20"/>
          <w:color w:val="auto"/>
        </w:rPr>
      </w:pPr>
      <w:r>
        <w:rPr>
          <w:rFonts w:ascii="Courier New" w:cs="Courier New" w:eastAsia="Courier New" w:hAnsi="Courier New"/>
          <w:sz w:val="14"/>
          <w:szCs w:val="14"/>
          <w:color w:val="auto"/>
        </w:rPr>
        <w:t>(unaudited)</w:t>
      </w:r>
    </w:p>
    <w:p>
      <w:pPr>
        <w:sectPr>
          <w:pgSz w:w="11900" w:h="16838" w:orient="portrait"/>
          <w:cols w:equalWidth="0" w:num="1">
            <w:col w:w="10219"/>
          </w:cols>
          <w:pgMar w:left="240" w:top="631" w:right="1440" w:bottom="1440" w:gutter="0" w:footer="0" w:header="0"/>
          <w:type w:val="continuous"/>
        </w:sectPr>
      </w:pP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Customer A</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Customer B</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Customer C</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Customer D</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Other customers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23</w:t>
        <w:tab/>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80"/>
        <w:spacing w:after="0"/>
        <w:tabs>
          <w:tab w:leader="none" w:pos="320" w:val="left"/>
        </w:tabs>
        <w:rPr>
          <w:sz w:val="20"/>
          <w:szCs w:val="20"/>
          <w:color w:val="auto"/>
        </w:rPr>
      </w:pPr>
      <w:r>
        <w:rPr>
          <w:rFonts w:ascii="Courier New" w:cs="Courier New" w:eastAsia="Courier New" w:hAnsi="Courier New"/>
          <w:sz w:val="15"/>
          <w:szCs w:val="15"/>
          <w:color w:val="auto"/>
        </w:rPr>
        <w:t>5</w:t>
        <w:tab/>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sectPr>
          <w:pgSz w:w="11900" w:h="16838" w:orient="portrait"/>
          <w:cols w:equalWidth="0" w:num="3">
            <w:col w:w="3700" w:space="720"/>
            <w:col w:w="980" w:space="720"/>
            <w:col w:w="4099"/>
          </w:cols>
          <w:pgMar w:left="240" w:top="631" w:right="1440" w:bottom="1440" w:gutter="0" w:footer="0" w:header="0"/>
          <w:type w:val="continuous"/>
        </w:sectPr>
      </w:pPr>
    </w:p>
    <w:p>
      <w:pPr>
        <w:ind w:left="1320" w:right="3219" w:hanging="442"/>
        <w:spacing w:after="0" w:line="239" w:lineRule="auto"/>
        <w:tabs>
          <w:tab w:leader="none" w:pos="13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sales to four different customers each of whom accounted for between 3% and 6% of sales during the three months ended March 31, 2003, and to four customers (5%-7%) during the three months ended March 31, 2002.</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w:t>
      </w:r>
    </w:p>
    <w:p>
      <w:pPr>
        <w:spacing w:after="0" w:line="174" w:lineRule="exact"/>
        <w:rPr>
          <w:sz w:val="20"/>
          <w:szCs w:val="20"/>
          <w:color w:val="auto"/>
        </w:rPr>
      </w:pPr>
    </w:p>
    <w:p>
      <w:pPr>
        <w:ind w:left="1320" w:right="3119" w:hanging="442"/>
        <w:spacing w:after="0" w:line="238"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w:t>
      </w:r>
    </w:p>
    <w:p>
      <w:pPr>
        <w:spacing w:after="0" w:line="174" w:lineRule="exact"/>
        <w:rPr>
          <w:rFonts w:ascii="Courier New" w:cs="Courier New" w:eastAsia="Courier New" w:hAnsi="Courier New"/>
          <w:sz w:val="15"/>
          <w:szCs w:val="15"/>
          <w:color w:val="auto"/>
        </w:rPr>
      </w:pPr>
    </w:p>
    <w:p>
      <w:pPr>
        <w:ind w:left="1320"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February 2003, the Company's primary Wafer Partners and its Equity Investors entered into amendments to their agreements with the Company, pursuant to which the primary Wafer Partners and the Equity Investors agreed to advance their fifth milestone installment payment, in the aggregate amount of $41,069, regardless of its achievement. Of that amount, $24,641 shall be paid within five working days from obtaining all the approvals for the amendments as outlined below, and the remaining $16,428 shall be paid subject to obtaining all the approvals as outlined below and to raising by the Company of an aggregate of $22,000 (which under certain circumstances, may increase up to $26,000) (the "Additional Raising Amount") from specified financial sources, no later than December 31, 2003. Under certain circumstances, primarily the Banks' agreement to provide the Company with interim funding in the amount of $33,000 and that the Investment Center has not informed the Company that it is not continuing its funding of the Fab 2 project, and subject to the approval of the Company's shareholders, the primary Wafer Partners and Equity Investors agreed to advance an aggregate amount of $13,300 up to $15,800 of the $24,641 first installment.</w:t>
      </w:r>
    </w:p>
    <w:p>
      <w:pPr>
        <w:spacing w:after="0" w:line="174" w:lineRule="exact"/>
        <w:rPr>
          <w:rFonts w:ascii="Courier New" w:cs="Courier New" w:eastAsia="Courier New" w:hAnsi="Courier New"/>
          <w:sz w:val="15"/>
          <w:szCs w:val="15"/>
          <w:color w:val="auto"/>
        </w:rPr>
      </w:pPr>
    </w:p>
    <w:p>
      <w:pPr>
        <w:ind w:left="13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for their investments, for the first installment the primary Wafer Partners and the Equity Investors will be issued fully-paid Ordinary Shares of the Company, based on the average closing sale price of the Company's Ordinary Shares for the 30 trading days prior to the date the Company's Board of Directors approved the amendments ($2.983 per share), and for the second installment, based on the price at which the Company raises the Additional Raising Amount from specified financial sources.</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type w:val="continuous"/>
        </w:sectPr>
      </w:pPr>
    </w:p>
    <w:bookmarkStart w:id="17" w:name="page18"/>
    <w:bookmarkEnd w:id="17"/>
    <w:p>
      <w:pPr>
        <w:jc w:val="center"/>
        <w:ind w:right="30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3" w:lineRule="exact"/>
        <w:rPr>
          <w:sz w:val="20"/>
          <w:szCs w:val="20"/>
          <w:color w:val="auto"/>
        </w:rPr>
      </w:pPr>
    </w:p>
    <w:p>
      <w:pPr>
        <w:ind w:left="880" w:right="4019" w:firstLine="888"/>
        <w:spacing w:after="0" w:line="271" w:lineRule="auto"/>
        <w:rPr>
          <w:sz w:val="20"/>
          <w:szCs w:val="20"/>
          <w:color w:val="auto"/>
        </w:rPr>
      </w:pPr>
      <w:r>
        <w:rPr>
          <w:rFonts w:ascii="Courier New" w:cs="Courier New" w:eastAsia="Courier New" w:hAnsi="Courier New"/>
          <w:sz w:val="14"/>
          <w:szCs w:val="14"/>
          <w:color w:val="auto"/>
        </w:rPr>
        <w:t>FINANCIAL STATEMENTS AS OF MARCH 31, 2003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 (cont.)</w:t>
      </w:r>
    </w:p>
    <w:p>
      <w:pPr>
        <w:spacing w:after="0" w:line="174" w:lineRule="exact"/>
        <w:rPr>
          <w:sz w:val="20"/>
          <w:szCs w:val="20"/>
          <w:color w:val="auto"/>
        </w:rPr>
      </w:pPr>
    </w:p>
    <w:p>
      <w:pPr>
        <w:ind w:left="1320" w:right="3659" w:hanging="442"/>
        <w:spacing w:after="0" w:line="238" w:lineRule="auto"/>
        <w:tabs>
          <w:tab w:leader="none" w:pos="13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 (cont.)</w:t>
      </w:r>
    </w:p>
    <w:p>
      <w:pPr>
        <w:spacing w:after="0" w:line="174" w:lineRule="exact"/>
        <w:rPr>
          <w:rFonts w:ascii="Courier New" w:cs="Courier New" w:eastAsia="Courier New" w:hAnsi="Courier New"/>
          <w:sz w:val="15"/>
          <w:szCs w:val="15"/>
          <w:color w:val="auto"/>
        </w:rPr>
      </w:pPr>
    </w:p>
    <w:p>
      <w:pPr>
        <w:ind w:left="13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abovementioned amendments, the Company granted the primary Wafer Partners an option to convert an aggregate of up to $13,201 of the unutilized long-term customers' advances, which they may have as of December 31, 2005, into fully-paid Ordinary Shares of the Company, the amount of which shall be determined based on the average closing sale price of the Company's Ordinary Shares for the 30 trading days prior to such date. The option is exercisable during January 2006. In case such conversion occurs, and provided that the amount of shares issued is equivalent to or greater than 5% of the Company's outstanding share capital as of the conversion date, the Company undertook to offer to all of its other shareholders rights to purchase shares of the Company at the same price per share.</w:t>
      </w:r>
    </w:p>
    <w:p>
      <w:pPr>
        <w:spacing w:after="0" w:line="180" w:lineRule="exact"/>
        <w:rPr>
          <w:rFonts w:ascii="Courier New" w:cs="Courier New" w:eastAsia="Courier New" w:hAnsi="Courier New"/>
          <w:sz w:val="15"/>
          <w:szCs w:val="15"/>
          <w:color w:val="auto"/>
        </w:rPr>
      </w:pPr>
    </w:p>
    <w:p>
      <w:pPr>
        <w:ind w:left="132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Fab 2 investment agreements, the fifth and last milestone towards the Wafer Partners and Equity Investors is to be achieved by mid-July 2003, when taking into account a seven and a half month grace period. Based on the current plan for Fab 2, the fifth milestone will not be achieved by its prescribed completion date. As stated above, subject to obtaining all the approvals for the amendments as outlined below, the Wafer Partners and Equity Investors agreed to waive the achievement of the fifth milestone.</w:t>
      </w:r>
    </w:p>
    <w:p>
      <w:pPr>
        <w:spacing w:after="0" w:line="177" w:lineRule="exact"/>
        <w:rPr>
          <w:rFonts w:ascii="Courier New" w:cs="Courier New" w:eastAsia="Courier New" w:hAnsi="Courier New"/>
          <w:sz w:val="15"/>
          <w:szCs w:val="15"/>
          <w:color w:val="auto"/>
        </w:rPr>
      </w:pPr>
    </w:p>
    <w:p>
      <w:pPr>
        <w:ind w:left="132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Wafer Partner and Equity Investor investment agreements, the Company undertook to raise a cumulative total of $50,000 from new wafer partners by March 31, 2003. In the framework of the amendments described above, and subject to obtaining all the approvals as outlined below, the primary Wafer Partners and Equity Investors have agreed to waive the requirement to raise that amount.</w:t>
      </w:r>
    </w:p>
    <w:p>
      <w:pPr>
        <w:spacing w:after="0" w:line="175" w:lineRule="exact"/>
        <w:rPr>
          <w:rFonts w:ascii="Courier New" w:cs="Courier New" w:eastAsia="Courier New" w:hAnsi="Courier New"/>
          <w:sz w:val="15"/>
          <w:szCs w:val="15"/>
          <w:color w:val="auto"/>
        </w:rPr>
      </w:pPr>
    </w:p>
    <w:p>
      <w:pPr>
        <w:ind w:left="13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abovementioned amendments are subject to the approval of the Company's shareholders, Banks and other regulatory bodies (as of the approval date of the interim financial statements, the approval of these regulatory bodies has been obtained); to that the Investment Center shall not have informed the Company that it is not continuing its funding of the Fab 2 project; and to the receipt of the consent of the Banks to the amendments to the Facility Agreement, as outlined in B below.</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69" w:right="1440" w:bottom="1440" w:gutter="0" w:footer="0" w:header="0"/>
        </w:sectPr>
      </w:pPr>
    </w:p>
    <w:bookmarkStart w:id="18" w:name="page19"/>
    <w:bookmarkEnd w:id="18"/>
    <w:p>
      <w:pPr>
        <w:jc w:val="center"/>
        <w:ind w:right="30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3" w:lineRule="exact"/>
        <w:rPr>
          <w:sz w:val="20"/>
          <w:szCs w:val="20"/>
          <w:color w:val="auto"/>
        </w:rPr>
      </w:pPr>
    </w:p>
    <w:p>
      <w:pPr>
        <w:ind w:left="880" w:right="4019" w:firstLine="888"/>
        <w:spacing w:after="0" w:line="271" w:lineRule="auto"/>
        <w:rPr>
          <w:sz w:val="20"/>
          <w:szCs w:val="20"/>
          <w:color w:val="auto"/>
        </w:rPr>
      </w:pPr>
      <w:r>
        <w:rPr>
          <w:rFonts w:ascii="Courier New" w:cs="Courier New" w:eastAsia="Courier New" w:hAnsi="Courier New"/>
          <w:sz w:val="14"/>
          <w:szCs w:val="14"/>
          <w:color w:val="auto"/>
        </w:rPr>
        <w:t>FINANCIAL STATEMENTS AS OF MARCH 31, 2003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 (cont.)</w:t>
      </w:r>
    </w:p>
    <w:p>
      <w:pPr>
        <w:spacing w:after="0" w:line="171" w:lineRule="exact"/>
        <w:rPr>
          <w:sz w:val="20"/>
          <w:szCs w:val="20"/>
          <w:color w:val="auto"/>
        </w:rPr>
      </w:pPr>
    </w:p>
    <w:p>
      <w:pPr>
        <w:ind w:left="1320" w:hanging="442"/>
        <w:spacing w:after="0"/>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FAB 2 FACILITY AGREEMENT</w:t>
      </w:r>
    </w:p>
    <w:p>
      <w:pPr>
        <w:spacing w:after="0" w:line="174" w:lineRule="exact"/>
        <w:rPr>
          <w:rFonts w:ascii="Courier New" w:cs="Courier New" w:eastAsia="Courier New" w:hAnsi="Courier New"/>
          <w:sz w:val="15"/>
          <w:szCs w:val="15"/>
          <w:color w:val="auto"/>
        </w:rPr>
      </w:pPr>
    </w:p>
    <w:p>
      <w:pPr>
        <w:ind w:left="13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Facility Agreement with the Banks, as amended during 2002, the Company is obligated to raise $144,000 from specified financial sources, other than the already committed funds by the Wafer Partners and Equity Investors, as follows: by the end of 2002, an aggregate of $110,000 and by the end of 2003, an aggregate of $144,000. In the fourth quarter of 2002, the Company submitted a request to the Banks for amending the Facility Agreement by deferring the raising dates to be as follows: by the end of 2002, an aggregate of $84,000; by the end of March 2003, an aggregate of $110,000; and during 2004, an aggregate of $144,000. The Company further requested that should the primary Wafer Partners and Equity Investors make the first installment payment of $24,641 described in A above, this advanced amount will postpone the raising date of the aggregate $110,000 funding milestone. Due to the length of time in which the discussions with the Banks are held, the Company intends to update these raising dates and request to further defer them. During the negotiation period, the Banks have limited the full amount which the Company may drawdown pursuant to the Facility Agreement. Based on discussions held subsequent to the balance-sheet date with the Banks, management estimates that obtaining such deferrals is probable. According to the Facility Agreement, raising these amounts by the dates stated is a material provision.</w:t>
      </w:r>
    </w:p>
    <w:p>
      <w:pPr>
        <w:spacing w:after="0" w:line="188" w:lineRule="exact"/>
        <w:rPr>
          <w:rFonts w:ascii="Courier New" w:cs="Courier New" w:eastAsia="Courier New" w:hAnsi="Courier New"/>
          <w:sz w:val="15"/>
          <w:szCs w:val="15"/>
          <w:color w:val="auto"/>
        </w:rPr>
      </w:pPr>
    </w:p>
    <w:p>
      <w:pPr>
        <w:ind w:left="13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Facility Agreement, the Company is obligated to comply with certain financial ratios, primarily total shareholders' equity to total assets, and substantial additional covenants in connection with the establishment of Fab 2 as stipulated in such agreement, primarily production and capacity milestones. As of March 31, 2003, the Company was in full compliance with the existing financial ratios and covenants, except for raising an amount of $24,000 from specified financial sources by December 31, 2002 as provided by the Facility Agreement with the Banks. The Company believes these financial ratios will be revised according to the updated plan for the construction of Fab 2, which is currently being reviewed by the Banks and a world leading first-tier consulting firm. For a request submitted by the Company in this regard, see the previous paragraph.</w:t>
      </w:r>
    </w:p>
    <w:p>
      <w:pPr>
        <w:spacing w:after="0" w:line="181" w:lineRule="exact"/>
        <w:rPr>
          <w:rFonts w:ascii="Courier New" w:cs="Courier New" w:eastAsia="Courier New" w:hAnsi="Courier New"/>
          <w:sz w:val="15"/>
          <w:szCs w:val="15"/>
          <w:color w:val="auto"/>
        </w:rPr>
      </w:pPr>
    </w:p>
    <w:p>
      <w:pPr>
        <w:ind w:left="13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Fab 2 Facility Agreement, the remaining two milestones towards the Banks (the fifth and the sixth milestones) are to be achieved by mid-July 2003 and April 2004, respectively, when taking into account a seven and a half month grace period. Based on the current plan for Fab 2, these milestones will not be achieved by their prescribed completion dates, which are expected to be revised according to the updated plan.</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969" w:right="1440" w:bottom="1440" w:gutter="0" w:footer="0" w:header="0"/>
        </w:sectPr>
      </w:pPr>
    </w:p>
    <w:bookmarkStart w:id="19" w:name="page20"/>
    <w:bookmarkEnd w:id="19"/>
    <w:p>
      <w:pPr>
        <w:jc w:val="center"/>
        <w:ind w:right="30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3" w:lineRule="exact"/>
        <w:rPr>
          <w:sz w:val="20"/>
          <w:szCs w:val="20"/>
          <w:color w:val="auto"/>
        </w:rPr>
      </w:pPr>
    </w:p>
    <w:p>
      <w:pPr>
        <w:ind w:left="880" w:right="4019" w:firstLine="888"/>
        <w:spacing w:after="0" w:line="271" w:lineRule="auto"/>
        <w:rPr>
          <w:sz w:val="20"/>
          <w:szCs w:val="20"/>
          <w:color w:val="auto"/>
        </w:rPr>
      </w:pPr>
      <w:r>
        <w:rPr>
          <w:rFonts w:ascii="Courier New" w:cs="Courier New" w:eastAsia="Courier New" w:hAnsi="Courier New"/>
          <w:sz w:val="14"/>
          <w:szCs w:val="14"/>
          <w:color w:val="auto"/>
        </w:rPr>
        <w:t>FINANCIAL STATEMENTS AS OF MARCH 31, 2003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RECENT DEVELOPMENTS RELATING TO FAB 2 (cont.)</w:t>
      </w:r>
    </w:p>
    <w:p>
      <w:pPr>
        <w:spacing w:after="0" w:line="171" w:lineRule="exact"/>
        <w:rPr>
          <w:sz w:val="20"/>
          <w:szCs w:val="20"/>
          <w:color w:val="auto"/>
        </w:rPr>
      </w:pPr>
    </w:p>
    <w:p>
      <w:pPr>
        <w:ind w:left="1320" w:hanging="442"/>
        <w:spacing w:after="0"/>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4" w:lineRule="exact"/>
        <w:rPr>
          <w:rFonts w:ascii="Courier New" w:cs="Courier New" w:eastAsia="Courier New" w:hAnsi="Courier New"/>
          <w:sz w:val="15"/>
          <w:szCs w:val="15"/>
          <w:color w:val="auto"/>
        </w:rPr>
      </w:pPr>
    </w:p>
    <w:p>
      <w:pPr>
        <w:ind w:left="13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Fab 2 approved enterprise program, investments in respect of Fab 2 are to be completed by December 31, 2005, a date in which a five-year period from obtaining the approval certificate terminates. Due to the later than planned commencement of construction of Fab 2 and prevailing market conditions, the Company does not currently expect to complete Fab 2 investments through 2005. The Company has notified the Investment Center of its revised investment schedule, and has also informed the Investment Center of the reduced rate of annual investments and lower than projected expectations for Fab 2 sales.</w:t>
      </w:r>
    </w:p>
    <w:p>
      <w:pPr>
        <w:spacing w:after="0" w:line="178" w:lineRule="exact"/>
        <w:rPr>
          <w:rFonts w:ascii="Courier New" w:cs="Courier New" w:eastAsia="Courier New" w:hAnsi="Courier New"/>
          <w:sz w:val="15"/>
          <w:szCs w:val="15"/>
          <w:color w:val="auto"/>
        </w:rPr>
      </w:pPr>
    </w:p>
    <w:p>
      <w:pPr>
        <w:ind w:left="13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the interim financial statements, the Company's revised investments plan is currently being evaluated by the Investment Center. In addition, Israeli law currently limits the ability of the Investment Center to extend the investment period over five years. However, based on discussions held with the Investment Center, management estimates that obtaining arrangements with the Investment Center is probable.</w:t>
      </w:r>
    </w:p>
    <w:p>
      <w:pPr>
        <w:spacing w:after="0" w:line="173"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w:t>
      </w:r>
    </w:p>
    <w:p>
      <w:pPr>
        <w:spacing w:after="0" w:line="174" w:lineRule="exact"/>
        <w:rPr>
          <w:rFonts w:ascii="Courier New" w:cs="Courier New" w:eastAsia="Courier New" w:hAnsi="Courier New"/>
          <w:sz w:val="15"/>
          <w:szCs w:val="15"/>
          <w:color w:val="auto"/>
        </w:rPr>
      </w:pPr>
    </w:p>
    <w:p>
      <w:pPr>
        <w:ind w:left="1320"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Through March 31, 2003 the Company had entered into several additional agreements related mainly to the construction, equipping and transfer of technology for Fab 2. The Company's aggregate commitment in connection with these agreements as of such date, including the Fab 2 construction agreement, amounted to $110,979.</w:t>
      </w:r>
    </w:p>
    <w:p>
      <w:pPr>
        <w:spacing w:after="0" w:line="175" w:lineRule="exact"/>
        <w:rPr>
          <w:rFonts w:ascii="Courier New" w:cs="Courier New" w:eastAsia="Courier New" w:hAnsi="Courier New"/>
          <w:sz w:val="15"/>
          <w:szCs w:val="15"/>
          <w:color w:val="auto"/>
        </w:rPr>
      </w:pPr>
    </w:p>
    <w:p>
      <w:pPr>
        <w:ind w:left="1320" w:right="3119" w:hanging="442"/>
        <w:spacing w:after="0" w:line="238"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NON-CAPITALIZABLE EXPENSES AND OPERATING ACTIVITIES CASH FLOWS IN CONNECTION WITH FAB 2</w:t>
      </w:r>
    </w:p>
    <w:p>
      <w:pPr>
        <w:spacing w:after="0" w:line="174" w:lineRule="exact"/>
        <w:rPr>
          <w:rFonts w:ascii="Courier New" w:cs="Courier New" w:eastAsia="Courier New" w:hAnsi="Courier New"/>
          <w:sz w:val="15"/>
          <w:szCs w:val="15"/>
          <w:color w:val="auto"/>
        </w:rPr>
      </w:pPr>
    </w:p>
    <w:p>
      <w:pPr>
        <w:ind w:left="1320" w:right="329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connection with establishing Fab 2, the Company incurred during the three-month period ended March 31, 2003 non-capitalizable expenses in the amount of $9,489, of which $5,027 was included in cost of sales and $4,462 was included in marketing, general and administrative (during the corresponding period - $3,351, $1,205 and $2,146, respectively).</w:t>
      </w:r>
    </w:p>
    <w:p>
      <w:pPr>
        <w:spacing w:after="0" w:line="163" w:lineRule="exact"/>
        <w:rPr>
          <w:rFonts w:ascii="Courier New" w:cs="Courier New" w:eastAsia="Courier New" w:hAnsi="Courier New"/>
          <w:sz w:val="15"/>
          <w:szCs w:val="15"/>
          <w:color w:val="auto"/>
        </w:rPr>
      </w:pPr>
    </w:p>
    <w:p>
      <w:pPr>
        <w:ind w:left="132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used in operating activities during the three-month period ended March 31, 2003 was $8,277. That amount includes net cash out flows in the amount of $12,195 attributable to the establishing of Fab 2 (during the corresponding period - $6,113 and $5,580, respectively).</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69" w:right="1440" w:bottom="1440" w:gutter="0" w:footer="0" w:header="0"/>
        </w:sectPr>
      </w:pPr>
    </w:p>
    <w:bookmarkStart w:id="20" w:name="page21"/>
    <w:bookmarkEnd w:id="20"/>
    <w:p>
      <w:pPr>
        <w:jc w:val="center"/>
        <w:ind w:right="30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3" w:lineRule="exact"/>
        <w:rPr>
          <w:sz w:val="20"/>
          <w:szCs w:val="20"/>
          <w:color w:val="auto"/>
        </w:rPr>
      </w:pPr>
    </w:p>
    <w:p>
      <w:pPr>
        <w:ind w:left="880" w:right="4019" w:firstLine="888"/>
        <w:spacing w:after="0" w:line="271" w:lineRule="auto"/>
        <w:rPr>
          <w:sz w:val="20"/>
          <w:szCs w:val="20"/>
          <w:color w:val="auto"/>
        </w:rPr>
      </w:pPr>
      <w:r>
        <w:rPr>
          <w:rFonts w:ascii="Courier New" w:cs="Courier New" w:eastAsia="Courier New" w:hAnsi="Courier New"/>
          <w:sz w:val="14"/>
          <w:szCs w:val="14"/>
          <w:color w:val="auto"/>
        </w:rPr>
        <w:t>FINANCIAL STATEMENTS AS OF MARCH 31, 2003 (dollars in thousands, except share data and per share data)</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OTHER RECENT DEVELOPMENTS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SHARE OPTION PLANS</w:t>
      </w:r>
    </w:p>
    <w:p>
      <w:pPr>
        <w:spacing w:after="0" w:line="174" w:lineRule="exact"/>
        <w:rPr>
          <w:sz w:val="20"/>
          <w:szCs w:val="20"/>
          <w:color w:val="auto"/>
        </w:rPr>
      </w:pPr>
    </w:p>
    <w:p>
      <w:pPr>
        <w:ind w:left="880" w:right="3119"/>
        <w:spacing w:after="0"/>
        <w:rPr>
          <w:sz w:val="20"/>
          <w:szCs w:val="20"/>
          <w:color w:val="auto"/>
        </w:rPr>
      </w:pPr>
      <w:r>
        <w:rPr>
          <w:rFonts w:ascii="Courier New" w:cs="Courier New" w:eastAsia="Courier New" w:hAnsi="Courier New"/>
          <w:sz w:val="15"/>
          <w:szCs w:val="15"/>
          <w:color w:val="auto"/>
        </w:rPr>
        <w:t>In the framework of the Company's Board of Directors resolution to increase the total number of options available for grant under all the Company's share option plans by an amount equal, in general, to 4% of the outstanding Ordinary Shares of the Company at the beginning of each year, 1,737,421 options were added to the Company's share option plans. Of that amount no options were granted to employees during the three-month period ended March 31, 2003.</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w:t>
      </w:r>
    </w:p>
    <w:p>
      <w:pPr>
        <w:spacing w:after="0" w:line="174" w:lineRule="exact"/>
        <w:rPr>
          <w:sz w:val="20"/>
          <w:szCs w:val="20"/>
          <w:color w:val="auto"/>
        </w:rPr>
      </w:pPr>
    </w:p>
    <w:p>
      <w:pPr>
        <w:ind w:left="880" w:right="3219"/>
        <w:spacing w:after="0"/>
        <w:rPr>
          <w:sz w:val="20"/>
          <w:szCs w:val="20"/>
          <w:color w:val="auto"/>
        </w:rPr>
      </w:pPr>
      <w:r>
        <w:rPr>
          <w:rFonts w:ascii="Courier New" w:cs="Courier New" w:eastAsia="Courier New" w:hAnsi="Courier New"/>
          <w:sz w:val="15"/>
          <w:szCs w:val="15"/>
          <w:color w:val="auto"/>
        </w:rPr>
        <w:t>With regard to the Company's interim financial statements, the material differences between GAAP in Israel and in the U.S. relate to the following. See F below for the presentation of the Company's unaudited balance sheet as of March 31, 2003 in accordance with U.S. GAAP.</w:t>
      </w:r>
    </w:p>
    <w:p>
      <w:pPr>
        <w:spacing w:after="0" w:line="174" w:lineRule="exact"/>
        <w:rPr>
          <w:sz w:val="20"/>
          <w:szCs w:val="20"/>
          <w:color w:val="auto"/>
        </w:rPr>
      </w:pPr>
    </w:p>
    <w:p>
      <w:pPr>
        <w:ind w:left="1320" w:right="3219" w:hanging="442"/>
        <w:spacing w:after="0"/>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CASH AND SHORT-TERM AND LONG-TERM INTEREST-BEARING DEPOSITS DESIGNATED FOR INVESTMENTS RELATING TO FAB 2</w:t>
      </w:r>
    </w:p>
    <w:p>
      <w:pPr>
        <w:spacing w:after="0" w:line="342" w:lineRule="exact"/>
        <w:rPr>
          <w:rFonts w:ascii="Courier New" w:cs="Courier New" w:eastAsia="Courier New" w:hAnsi="Courier New"/>
          <w:sz w:val="15"/>
          <w:szCs w:val="15"/>
          <w:color w:val="auto"/>
        </w:rPr>
      </w:pPr>
    </w:p>
    <w:p>
      <w:pPr>
        <w:ind w:left="132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cash, short-term and long-term interest-bearing deposits designated for investments relating to Fab 2 should be excluded from current assets and long-term investments and presented separately as a non-current asset. Accordingly, as of March 31, 2003 $21,924 and $12,056 were reclassified, respectively, from current assets and long-term investments to a long-term asset (as of December 31, 2002 - $51,338 and $11,893, respectively).</w:t>
      </w:r>
    </w:p>
    <w:p>
      <w:pPr>
        <w:spacing w:after="0" w:line="176"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PRESENTATION OF NET LONG-TERM LIABILITIES IN RESPECT OF EMPLOYEES</w:t>
      </w:r>
    </w:p>
    <w:p>
      <w:pPr>
        <w:spacing w:after="0" w:line="182" w:lineRule="exact"/>
        <w:rPr>
          <w:rFonts w:ascii="Courier New" w:cs="Courier New" w:eastAsia="Courier New" w:hAnsi="Courier New"/>
          <w:sz w:val="14"/>
          <w:szCs w:val="14"/>
          <w:color w:val="auto"/>
        </w:rPr>
      </w:pPr>
    </w:p>
    <w:p>
      <w:pPr>
        <w:ind w:left="1320" w:right="32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Accordingly, an amount of $12,958 was reclassified from other long-term liabilities to long-term investments.</w:t>
      </w:r>
    </w:p>
    <w:p>
      <w:pPr>
        <w:spacing w:after="0" w:line="173" w:lineRule="exact"/>
        <w:rPr>
          <w:rFonts w:ascii="Courier New" w:cs="Courier New" w:eastAsia="Courier New" w:hAnsi="Courier New"/>
          <w:sz w:val="14"/>
          <w:szCs w:val="14"/>
          <w:color w:val="auto"/>
        </w:rPr>
      </w:pPr>
    </w:p>
    <w:p>
      <w:pPr>
        <w:ind w:left="1320" w:hanging="442"/>
        <w:spacing w:after="0"/>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4" w:lineRule="exact"/>
        <w:rPr>
          <w:rFonts w:ascii="Courier New" w:cs="Courier New" w:eastAsia="Courier New" w:hAnsi="Courier New"/>
          <w:sz w:val="15"/>
          <w:szCs w:val="15"/>
          <w:color w:val="auto"/>
        </w:rPr>
      </w:pPr>
    </w:p>
    <w:p>
      <w:pPr>
        <w:ind w:left="1320"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Complying with SFAS 133 and SFAS 138 and the related interpretations thereon with respect to the Company's hedging transactions as of March 31, 2003 would have resulted in: an increase in the Company's current liabilities in the amount of $278; an increase in other long-term liabilities in the amount of $13,231; an increase in other comprehensive loss for the three months ended March 31, 2003 in the net amount of $1,747 and in the accumulated other comprehensive loss component of equity as of such date in the amount of $19,584; and in a decrease of $6,045 in property and equipment, net as of March 31, 2003.</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69" w:right="1440" w:bottom="1440" w:gutter="0" w:footer="0" w:header="0"/>
        </w:sectPr>
      </w:pPr>
    </w:p>
    <w:bookmarkStart w:id="21" w:name="page22"/>
    <w:bookmarkEnd w:id="21"/>
    <w:p>
      <w:pPr>
        <w:jc w:val="center"/>
        <w:ind w:right="30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3" w:lineRule="exact"/>
        <w:rPr>
          <w:sz w:val="20"/>
          <w:szCs w:val="20"/>
          <w:color w:val="auto"/>
        </w:rPr>
      </w:pPr>
    </w:p>
    <w:p>
      <w:pPr>
        <w:ind w:left="880" w:right="4019" w:firstLine="888"/>
        <w:spacing w:after="0" w:line="271" w:lineRule="auto"/>
        <w:rPr>
          <w:sz w:val="20"/>
          <w:szCs w:val="20"/>
          <w:color w:val="auto"/>
        </w:rPr>
      </w:pPr>
      <w:r>
        <w:rPr>
          <w:rFonts w:ascii="Courier New" w:cs="Courier New" w:eastAsia="Courier New" w:hAnsi="Courier New"/>
          <w:sz w:val="14"/>
          <w:szCs w:val="14"/>
          <w:color w:val="auto"/>
        </w:rPr>
        <w:t>FINANCIAL STATEMENTS AS OF MARCH 31, 2003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71" w:lineRule="exact"/>
        <w:rPr>
          <w:sz w:val="20"/>
          <w:szCs w:val="20"/>
          <w:color w:val="auto"/>
        </w:rPr>
      </w:pPr>
    </w:p>
    <w:p>
      <w:pPr>
        <w:ind w:left="1320" w:hanging="442"/>
        <w:spacing w:after="0"/>
        <w:tabs>
          <w:tab w:leader="none" w:pos="13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4" w:lineRule="exact"/>
        <w:rPr>
          <w:rFonts w:ascii="Courier New" w:cs="Courier New" w:eastAsia="Courier New" w:hAnsi="Courier New"/>
          <w:sz w:val="15"/>
          <w:szCs w:val="15"/>
          <w:color w:val="auto"/>
        </w:rPr>
      </w:pPr>
    </w:p>
    <w:p>
      <w:pPr>
        <w:ind w:left="1320"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of the awards in accordance with SFAS 123, as amended by SFAS 148, the Company's pro forma loss and loss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2420"/>
        <w:spacing w:after="0"/>
        <w:rPr>
          <w:sz w:val="20"/>
          <w:szCs w:val="20"/>
          <w:color w:val="auto"/>
        </w:rPr>
      </w:pPr>
      <w:r>
        <w:rPr>
          <w:rFonts w:ascii="Courier New" w:cs="Courier New" w:eastAsia="Courier New" w:hAnsi="Courier New"/>
          <w:sz w:val="15"/>
          <w:szCs w:val="15"/>
          <w:color w:val="auto"/>
        </w:rPr>
        <w:t>Three months ended</w:t>
      </w:r>
    </w:p>
    <w:p>
      <w:pPr>
        <w:spacing w:after="0" w:line="1" w:lineRule="exact"/>
        <w:rPr>
          <w:sz w:val="20"/>
          <w:szCs w:val="20"/>
          <w:color w:val="auto"/>
        </w:rPr>
      </w:pPr>
    </w:p>
    <w:p>
      <w:pPr>
        <w:jc w:val="center"/>
        <w:ind w:left="2500"/>
        <w:spacing w:after="0"/>
        <w:rPr>
          <w:sz w:val="20"/>
          <w:szCs w:val="20"/>
          <w:color w:val="auto"/>
        </w:rPr>
      </w:pPr>
      <w:r>
        <w:rPr>
          <w:rFonts w:ascii="Courier New" w:cs="Courier New" w:eastAsia="Courier New" w:hAnsi="Courier New"/>
          <w:sz w:val="15"/>
          <w:szCs w:val="15"/>
          <w:color w:val="auto"/>
        </w:rPr>
        <w:t>March 31,</w:t>
      </w:r>
    </w:p>
    <w:p>
      <w:pPr>
        <w:spacing w:after="0" w:line="3" w:lineRule="exact"/>
        <w:rPr>
          <w:sz w:val="20"/>
          <w:szCs w:val="20"/>
          <w:color w:val="auto"/>
        </w:rPr>
      </w:pPr>
    </w:p>
    <w:p>
      <w:pPr>
        <w:jc w:val="center"/>
        <w:ind w:left="21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left="2760"/>
        <w:spacing w:after="0"/>
        <w:tabs>
          <w:tab w:leader="none" w:pos="122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1" w:lineRule="exact"/>
        <w:rPr>
          <w:sz w:val="20"/>
          <w:szCs w:val="20"/>
          <w:color w:val="auto"/>
        </w:rPr>
      </w:pPr>
    </w:p>
    <w:p>
      <w:pPr>
        <w:jc w:val="center"/>
        <w:ind w:left="2140"/>
        <w:spacing w:after="0"/>
        <w:tabs>
          <w:tab w:leader="none" w:pos="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jc w:val="center"/>
        <w:ind w:left="2140"/>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PRO FORMA LOSS</w:t>
      </w:r>
    </w:p>
    <w:p>
      <w:pPr>
        <w:sectPr>
          <w:pgSz w:w="11900" w:h="16838" w:orient="portrait"/>
          <w:cols w:equalWidth="0" w:num="1">
            <w:col w:w="10219"/>
          </w:cols>
          <w:pgMar w:left="240" w:top="969" w:right="1440" w:bottom="1440" w:gutter="0" w:footer="0" w:header="0"/>
        </w:sectPr>
      </w:pPr>
    </w:p>
    <w:p>
      <w:pPr>
        <w:spacing w:after="0" w:line="3"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4"/>
          <w:szCs w:val="14"/>
          <w:color w:val="auto"/>
        </w:rPr>
        <w:t>Loss for the year,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(12,014)</w:t>
      </w:r>
    </w:p>
    <w:p>
      <w:pPr>
        <w:spacing w:after="0" w:line="11" w:lineRule="exact"/>
        <w:rPr>
          <w:sz w:val="20"/>
          <w:szCs w:val="20"/>
          <w:color w:val="auto"/>
        </w:rPr>
      </w:pPr>
    </w:p>
    <w:p>
      <w:pPr>
        <w:sectPr>
          <w:pgSz w:w="11900" w:h="16838" w:orient="portrait"/>
          <w:cols w:equalWidth="0" w:num="4">
            <w:col w:w="4680" w:space="720"/>
            <w:col w:w="100" w:space="260"/>
            <w:col w:w="880" w:space="720"/>
            <w:col w:w="2859"/>
          </w:cols>
          <w:pgMar w:left="240" w:top="969"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Less - stock-based compensation</w:t>
      </w:r>
    </w:p>
    <w:p>
      <w:pPr>
        <w:sectPr>
          <w:pgSz w:w="11900" w:h="16838" w:orient="portrait"/>
          <w:cols w:equalWidth="0" w:num="1">
            <w:col w:w="10219"/>
          </w:cols>
          <w:pgMar w:left="240" w:top="969" w:right="1440" w:bottom="1440" w:gutter="0" w:footer="0" w:header="0"/>
          <w:type w:val="continuous"/>
        </w:sectPr>
      </w:pPr>
    </w:p>
    <w:p>
      <w:pPr>
        <w:spacing w:after="0" w:line="1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determined under APB-25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sectPr>
          <w:pgSz w:w="11900" w:h="16838" w:orient="portrait"/>
          <w:cols w:equalWidth="0" w:num="3">
            <w:col w:w="5480" w:space="720"/>
            <w:col w:w="1060" w:space="720"/>
            <w:col w:w="2239"/>
          </w:cols>
          <w:pgMar w:left="240" w:top="969"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Add - stock-based compensation</w:t>
      </w:r>
    </w:p>
    <w:p>
      <w:pPr>
        <w:sectPr>
          <w:pgSz w:w="11900" w:h="16838" w:orient="portrait"/>
          <w:cols w:equalWidth="0" w:num="1">
            <w:col w:w="10219"/>
          </w:cols>
          <w:pgMar w:left="240" w:top="969" w:right="1440" w:bottom="1440" w:gutter="0" w:footer="0" w:header="0"/>
          <w:type w:val="continuous"/>
        </w:sectPr>
      </w:pPr>
    </w:p>
    <w:p>
      <w:pPr>
        <w:spacing w:after="0" w:line="1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determined under SFAS 123</w:t>
      </w:r>
    </w:p>
    <w:p>
      <w:pPr>
        <w:spacing w:after="0" w:line="18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Pro forma loss</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(1,611)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80"/>
        <w:spacing w:after="0"/>
        <w:tabs>
          <w:tab w:leader="none" w:pos="520" w:val="left"/>
        </w:tabs>
        <w:rPr>
          <w:sz w:val="20"/>
          <w:szCs w:val="20"/>
          <w:color w:val="auto"/>
        </w:rPr>
      </w:pPr>
      <w:r>
        <w:rPr>
          <w:rFonts w:ascii="Courier New" w:cs="Courier New" w:eastAsia="Courier New" w:hAnsi="Courier New"/>
          <w:sz w:val="15"/>
          <w:szCs w:val="15"/>
          <w:color w:val="auto"/>
        </w:rPr>
        <w:t>$</w:t>
        <w:tab/>
        <w:t>(15,942)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(2,212)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(14,174)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4500" w:space="720"/>
            <w:col w:w="1420" w:space="180"/>
            <w:col w:w="3399"/>
          </w:cols>
          <w:pgMar w:left="240" w:top="969"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PRO FORMA BASIC LOSS PER SHARE</w:t>
      </w:r>
    </w:p>
    <w:p>
      <w:pPr>
        <w:sectPr>
          <w:pgSz w:w="11900" w:h="16838" w:orient="portrait"/>
          <w:cols w:equalWidth="0" w:num="1">
            <w:col w:w="10219"/>
          </w:cols>
          <w:pgMar w:left="240" w:top="969" w:right="1440" w:bottom="1440" w:gutter="0" w:footer="0" w:header="0"/>
          <w:type w:val="continuous"/>
        </w:sectPr>
      </w:pPr>
    </w:p>
    <w:p>
      <w:pPr>
        <w:spacing w:after="0" w:line="1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As reported</w:t>
      </w:r>
    </w:p>
    <w:p>
      <w:pPr>
        <w:spacing w:after="0" w:line="20" w:lineRule="exact"/>
        <w:rPr>
          <w:sz w:val="20"/>
          <w:szCs w:val="20"/>
          <w:color w:val="auto"/>
        </w:rPr>
      </w:pPr>
      <w:r>
        <w:rPr>
          <w:sz w:val="20"/>
          <w:szCs w:val="20"/>
          <w:color w:val="auto"/>
        </w:rPr>
        <w:br w:type="column"/>
      </w:r>
    </w:p>
    <w:p>
      <w:pPr>
        <w:jc w:val="center"/>
        <w:ind w:left="-179"/>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(0.33)</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40"/>
        <w:spacing w:after="0"/>
        <w:tabs>
          <w:tab w:leader="none" w:pos="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(0.47)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4500" w:space="720"/>
            <w:col w:w="1420" w:space="180"/>
            <w:col w:w="3399"/>
          </w:cols>
          <w:pgMar w:left="240" w:top="969" w:right="1440" w:bottom="1440" w:gutter="0" w:footer="0" w:header="0"/>
          <w:type w:val="continuous"/>
        </w:sectPr>
      </w:pP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Pro forma</w:t>
      </w:r>
    </w:p>
    <w:p>
      <w:pPr>
        <w:spacing w:after="0" w:line="20" w:lineRule="exact"/>
        <w:rPr>
          <w:sz w:val="20"/>
          <w:szCs w:val="20"/>
          <w:color w:val="auto"/>
        </w:rPr>
      </w:pPr>
      <w:r>
        <w:rPr>
          <w:sz w:val="20"/>
          <w:szCs w:val="20"/>
          <w:color w:val="auto"/>
        </w:rPr>
        <w:br w:type="column"/>
      </w:r>
    </w:p>
    <w:p>
      <w:pPr>
        <w:jc w:val="center"/>
        <w:ind w:left="-179"/>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(0.37)</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40"/>
        <w:spacing w:after="0"/>
        <w:tabs>
          <w:tab w:leader="none" w:pos="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(0.56)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500" w:space="720"/>
            <w:col w:w="1420" w:space="180"/>
            <w:col w:w="3399"/>
          </w:cols>
          <w:pgMar w:left="240" w:top="9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40" w:hanging="629"/>
        <w:spacing w:after="0"/>
        <w:tabs>
          <w:tab w:leader="none" w:pos="20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4" w:lineRule="exact"/>
        <w:rPr>
          <w:rFonts w:ascii="Courier New" w:cs="Courier New" w:eastAsia="Courier New" w:hAnsi="Courier New"/>
          <w:sz w:val="15"/>
          <w:szCs w:val="15"/>
          <w:color w:val="auto"/>
        </w:rPr>
      </w:pPr>
    </w:p>
    <w:p>
      <w:pPr>
        <w:ind w:left="204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March 31, 2003 and December 31, 2002 in the amount of $2,363 (net of $196 related issuance expenses), and a decrease in convertible debentures as of such dates in the amount of $2,559. The effect of the U.S. GAAP application on the convertible debentures' discount amortization for the three-month period ended March 31, 2003 is immaterial.</w:t>
      </w:r>
    </w:p>
    <w:p>
      <w:pPr>
        <w:spacing w:after="0" w:line="200" w:lineRule="exact"/>
        <w:rPr>
          <w:sz w:val="20"/>
          <w:szCs w:val="20"/>
          <w:color w:val="auto"/>
        </w:rPr>
      </w:pP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969" w:right="1440" w:bottom="1440" w:gutter="0" w:footer="0" w:header="0"/>
          <w:type w:val="continuous"/>
        </w:sectPr>
      </w:pPr>
    </w:p>
    <w:bookmarkStart w:id="22" w:name="page23"/>
    <w:bookmarkEnd w:id="22"/>
    <w:p>
      <w:pPr>
        <w:jc w:val="center"/>
        <w:ind w:right="30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FINANCIAL STATEMENTS AS OF MARCH 31, 2003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12"/>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1"/>
        </w:trPr>
        <w:tc>
          <w:tcPr>
            <w:tcW w:w="66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F.   BALANCE SHEET IN ACCORDANCE WITH U.S. GAAP</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Following are the condensed consolidated balance sheets in</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accordance with U.S. GAAP:</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83"/>
        </w:trPr>
        <w:tc>
          <w:tcPr>
            <w:tcW w:w="16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6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March 31,</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2003</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(unaudited)</w:t>
            </w:r>
          </w:p>
        </w:tc>
        <w:tc>
          <w:tcPr>
            <w:tcW w:w="1520" w:type="dxa"/>
            <w:vAlign w:val="bottom"/>
          </w:tcPr>
          <w:p>
            <w:pPr>
              <w:spacing w:after="0"/>
              <w:rPr>
                <w:sz w:val="14"/>
                <w:szCs w:val="14"/>
                <w:color w:val="auto"/>
              </w:rPr>
            </w:pPr>
          </w:p>
        </w:tc>
      </w:tr>
      <w:tr>
        <w:trPr>
          <w:trHeight w:val="512"/>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Current assets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$ 64,883</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$ 58,743</w:t>
            </w:r>
          </w:p>
        </w:tc>
      </w:tr>
      <w:tr>
        <w:trPr>
          <w:trHeight w:val="34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Long-term investments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18,958</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18,368</w:t>
            </w:r>
          </w:p>
        </w:tc>
      </w:tr>
      <w:tr>
        <w:trPr>
          <w:trHeight w:val="34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Property and equipment, net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521,441</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487,347</w:t>
            </w:r>
          </w:p>
        </w:tc>
      </w:tr>
      <w:tr>
        <w:trPr>
          <w:trHeight w:val="34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Other assets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105,522</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95,017</w:t>
            </w:r>
          </w:p>
        </w:tc>
      </w:tr>
      <w:tr>
        <w:trPr>
          <w:trHeight w:val="34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Cash, short-term and long-term interest-</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Courier New" w:cs="Courier New" w:eastAsia="Courier New" w:hAnsi="Courier New"/>
                <w:sz w:val="15"/>
                <w:szCs w:val="15"/>
                <w:color w:val="auto"/>
              </w:rPr>
              <w:t>bearing deposits designated for</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Courier New" w:cs="Courier New" w:eastAsia="Courier New" w:hAnsi="Courier New"/>
                <w:sz w:val="15"/>
                <w:szCs w:val="15"/>
                <w:color w:val="auto"/>
              </w:rPr>
              <w:t>investments relating to Fab 2</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33,980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63,231</w:t>
            </w: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744,784</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722,706</w:t>
            </w: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Current liabilities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94,763</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88,282</w:t>
            </w:r>
          </w:p>
        </w:tc>
      </w:tr>
      <w:tr>
        <w:trPr>
          <w:trHeight w:val="34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Long-term debt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282,000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253,000</w:t>
            </w:r>
          </w:p>
        </w:tc>
      </w:tr>
      <w:tr>
        <w:trPr>
          <w:trHeight w:val="34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Convertible debentures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21,946</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21,562</w:t>
            </w:r>
          </w:p>
        </w:tc>
      </w:tr>
      <w:tr>
        <w:trPr>
          <w:trHeight w:val="34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Long-term liability</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Courier New" w:cs="Courier New" w:eastAsia="Courier New" w:hAnsi="Courier New"/>
                <w:sz w:val="15"/>
                <w:szCs w:val="15"/>
                <w:color w:val="auto"/>
              </w:rPr>
              <w:t>in respect of customers' advances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47,246</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47,246</w:t>
            </w:r>
          </w:p>
        </w:tc>
      </w:tr>
      <w:tr>
        <w:trPr>
          <w:trHeight w:val="34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Other long-term liabilities</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31,938</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29,726</w:t>
            </w:r>
          </w:p>
        </w:tc>
      </w:tr>
      <w:tr>
        <w:trPr>
          <w:trHeight w:val="341"/>
        </w:trPr>
        <w:tc>
          <w:tcPr>
            <w:tcW w:w="664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Shareholders' equity (*)</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266,891</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282,890</w:t>
            </w: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$744,784</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$722,706</w:t>
            </w:r>
          </w:p>
        </w:tc>
      </w:tr>
      <w:tr>
        <w:trPr>
          <w:trHeight w:val="171"/>
        </w:trPr>
        <w:tc>
          <w:tcPr>
            <w:tcW w:w="16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1680" w:type="dxa"/>
            <w:vAlign w:val="bottom"/>
          </w:tcPr>
          <w:p>
            <w:pPr>
              <w:ind w:left="1420"/>
              <w:spacing w:after="0"/>
              <w:rPr>
                <w:sz w:val="20"/>
                <w:szCs w:val="20"/>
                <w:color w:val="auto"/>
              </w:rPr>
            </w:pPr>
            <w:r>
              <w:rPr>
                <w:rFonts w:ascii="Courier New" w:cs="Courier New" w:eastAsia="Courier New" w:hAnsi="Courier New"/>
                <w:sz w:val="15"/>
                <w:szCs w:val="15"/>
                <w:color w:val="auto"/>
                <w:w w:val="88"/>
              </w:rPr>
              <w:t>(*)</w:t>
            </w:r>
          </w:p>
        </w:tc>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rPr>
              <w:t>The balance as of March 31, 2003 includes</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1"/>
        </w:trPr>
        <w:tc>
          <w:tcPr>
            <w:tcW w:w="1680" w:type="dxa"/>
            <w:vAlign w:val="bottom"/>
          </w:tcPr>
          <w:p>
            <w:pPr>
              <w:spacing w:after="0"/>
              <w:rPr>
                <w:sz w:val="14"/>
                <w:szCs w:val="14"/>
                <w:color w:val="auto"/>
              </w:rPr>
            </w:pPr>
          </w:p>
        </w:tc>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rPr>
              <w:t>accumulated other comprehensive loss of $19,584</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rPr>
              <w:t>and net proceeds on account of options (Series 1)</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rPr>
              <w:t>in the amount of $2,363 - see also E above (as of</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rPr>
              <w:t>December 31, 2002 - $17,837 and $2,363,</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rPr>
              <w:t>respectively).</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1"/>
        </w:trPr>
        <w:tc>
          <w:tcPr>
            <w:tcW w:w="1680" w:type="dxa"/>
            <w:vAlign w:val="bottom"/>
          </w:tcPr>
          <w:p>
            <w:pPr>
              <w:spacing w:after="0"/>
              <w:rPr>
                <w:sz w:val="24"/>
                <w:szCs w:val="24"/>
                <w:color w:val="auto"/>
              </w:rPr>
            </w:pPr>
          </w:p>
        </w:tc>
        <w:tc>
          <w:tcPr>
            <w:tcW w:w="4960" w:type="dxa"/>
            <w:vAlign w:val="bottom"/>
          </w:tcPr>
          <w:p>
            <w:pPr>
              <w:ind w:left="1780"/>
              <w:spacing w:after="0"/>
              <w:rPr>
                <w:sz w:val="20"/>
                <w:szCs w:val="20"/>
                <w:color w:val="auto"/>
              </w:rPr>
            </w:pPr>
            <w:r>
              <w:rPr>
                <w:rFonts w:ascii="Courier New" w:cs="Courier New" w:eastAsia="Courier New" w:hAnsi="Courier New"/>
                <w:sz w:val="15"/>
                <w:szCs w:val="15"/>
                <w:color w:val="auto"/>
              </w:rPr>
              <w:t>13</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19"/>
          </w:cols>
          <w:pgMar w:left="240" w:top="969" w:right="1440" w:bottom="1440" w:gutter="0" w:footer="0" w:header="0"/>
        </w:sectPr>
      </w:pPr>
    </w:p>
    <w:bookmarkStart w:id="23" w:name="page24"/>
    <w:bookmarkEnd w:id="23"/>
    <w:p>
      <w:pPr>
        <w:ind w:left="20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NOTES TO UNAUDITED CONDENSED INTERIM CONSOLIDATED</w:t>
      </w:r>
    </w:p>
    <w:p>
      <w:pPr>
        <w:spacing w:after="0" w:line="3" w:lineRule="exact"/>
        <w:rPr>
          <w:sz w:val="20"/>
          <w:szCs w:val="20"/>
          <w:color w:val="auto"/>
        </w:rPr>
      </w:pPr>
    </w:p>
    <w:p>
      <w:pPr>
        <w:ind w:left="880" w:right="4019" w:firstLine="888"/>
        <w:spacing w:after="0" w:line="271" w:lineRule="auto"/>
        <w:rPr>
          <w:sz w:val="20"/>
          <w:szCs w:val="20"/>
          <w:color w:val="auto"/>
        </w:rPr>
      </w:pPr>
      <w:r>
        <w:rPr>
          <w:rFonts w:ascii="Courier New" w:cs="Courier New" w:eastAsia="Courier New" w:hAnsi="Courier New"/>
          <w:sz w:val="14"/>
          <w:szCs w:val="14"/>
          <w:color w:val="auto"/>
        </w:rPr>
        <w:t>FINANCIAL STATEMENTS AS OF MARCH 31, 2003 (dollars in thousands, except share data and per share data)</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MATERIAL DIFFERENCES BETWEEN ISRAELI AND U.S. GAAP (cont.)</w:t>
      </w:r>
    </w:p>
    <w:p>
      <w:pPr>
        <w:spacing w:after="0" w:line="171" w:lineRule="exact"/>
        <w:rPr>
          <w:sz w:val="20"/>
          <w:szCs w:val="20"/>
          <w:color w:val="auto"/>
        </w:rPr>
      </w:pPr>
    </w:p>
    <w:p>
      <w:pPr>
        <w:ind w:left="1320" w:hanging="442"/>
        <w:spacing w:after="0"/>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4" w:lineRule="exact"/>
        <w:rPr>
          <w:rFonts w:ascii="Courier New" w:cs="Courier New" w:eastAsia="Courier New" w:hAnsi="Courier New"/>
          <w:sz w:val="15"/>
          <w:szCs w:val="15"/>
          <w:color w:val="auto"/>
        </w:rPr>
      </w:pPr>
    </w:p>
    <w:p>
      <w:pPr>
        <w:ind w:left="1320"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(C above) and APB 14 (E above) would not have resulted in a material change in the Company's loss for the three-month periods ended March 31, 2003 and 2002.</w:t>
      </w:r>
    </w:p>
    <w:p>
      <w:pPr>
        <w:spacing w:after="0" w:line="173"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74" w:lineRule="exact"/>
        <w:rPr>
          <w:rFonts w:ascii="Courier New" w:cs="Courier New" w:eastAsia="Courier New" w:hAnsi="Courier New"/>
          <w:sz w:val="15"/>
          <w:szCs w:val="15"/>
          <w:color w:val="auto"/>
        </w:rPr>
      </w:pPr>
    </w:p>
    <w:p>
      <w:pPr>
        <w:ind w:left="132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(SFAS 128), including the implementation of SFAS 133 and SFAS 138 and APB 14 as described in G above, the basic and diluted loss per share for the three-month periods ended March 31, 2003 and 2002 would be $0.33 and $0.47, respectively.</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8" w:right="1440" w:bottom="1440"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lowerRoman"/>
      <w:start w:val="3"/>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upperLetter"/>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upperLetter"/>
      <w:start w:val="1"/>
    </w:lvl>
  </w:abstractNum>
  <w:abstractNum w:abstractNumId="7">
    <w:nsid w:val="1F16E9E8"/>
    <w:multiLevelType w:val="hybridMultilevel"/>
    <w:lvl w:ilvl="0">
      <w:lvlJc w:val="left"/>
      <w:lvlText w:val="%1."/>
      <w:numFmt w:val="upperLetter"/>
      <w:start w:val="1"/>
    </w:lvl>
  </w:abstractNum>
  <w:abstractNum w:abstractNumId="8">
    <w:nsid w:val="1190CDE7"/>
    <w:multiLevelType w:val="hybridMultilevel"/>
    <w:lvl w:ilvl="0">
      <w:lvlJc w:val="left"/>
      <w:lvlText w:val="%1."/>
      <w:numFmt w:val="upperLetter"/>
      <w:start w:val="2"/>
    </w:lvl>
  </w:abstractNum>
  <w:abstractNum w:abstractNumId="9">
    <w:nsid w:val="66EF438D"/>
    <w:multiLevelType w:val="hybridMultilevel"/>
    <w:lvl w:ilvl="0">
      <w:lvlJc w:val="left"/>
      <w:lvlText w:val="%1."/>
      <w:numFmt w:val="upperLetter"/>
      <w:start w:val="3"/>
    </w:lvl>
  </w:abstractNum>
  <w:abstractNum w:abstractNumId="10">
    <w:nsid w:val="140E0F76"/>
    <w:multiLevelType w:val="hybridMultilevel"/>
    <w:lvl w:ilvl="0">
      <w:lvlJc w:val="left"/>
      <w:lvlText w:val="%1."/>
      <w:numFmt w:val="upperLetter"/>
      <w:start w:val="1"/>
    </w:lvl>
  </w:abstractNum>
  <w:abstractNum w:abstractNumId="11">
    <w:nsid w:val="3352255A"/>
    <w:multiLevelType w:val="hybridMultilevel"/>
    <w:lvl w:ilvl="0">
      <w:lvlJc w:val="left"/>
      <w:lvlText w:val="%1."/>
      <w:numFmt w:val="upperLetter"/>
      <w:start w:val="4"/>
    </w:lvl>
  </w:abstractNum>
  <w:abstractNum w:abstractNumId="12">
    <w:nsid w:val="109CF92E"/>
    <w:multiLevelType w:val="hybridMultilevel"/>
    <w:lvl w:ilvl="0">
      <w:lvlJc w:val="left"/>
      <w:lvlText w:val="%1."/>
      <w:numFmt w:val="upperLetter"/>
      <w:start w:val="5"/>
    </w:lvl>
  </w:abstractNum>
  <w:abstractNum w:abstractNumId="13">
    <w:nsid w:val="DED7263"/>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2019-12-14T04:23:50Z</dcterms:created>
  <dcterms:modified xsi:type="dcterms:W3CDTF">2019-12-14T04:23:50Z</dcterms:modified>
</cp:coreProperties>
</file>