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8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7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 the month of February 2018 No. 1</w:t>
      </w:r>
    </w:p>
    <w:p>
      <w:pPr>
        <w:spacing w:after="0" w:line="27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(Translation of registrant's name into English)</w:t>
      </w:r>
    </w:p>
    <w:p>
      <w:pPr>
        <w:spacing w:after="0" w:line="25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Ramat Gavriel Industrial Park</w:t>
      </w:r>
    </w:p>
    <w:p>
      <w:pPr>
        <w:spacing w:after="0" w:line="27" w:lineRule="exact"/>
        <w:rPr>
          <w:sz w:val="24"/>
          <w:szCs w:val="24"/>
          <w:color w:val="auto"/>
        </w:rPr>
      </w:pPr>
    </w:p>
    <w:p>
      <w:pPr>
        <w:ind w:left="3960"/>
        <w:spacing w:after="0"/>
        <w:rPr>
          <w:sz w:val="20"/>
          <w:szCs w:val="20"/>
          <w:color w:val="auto"/>
        </w:rPr>
      </w:pPr>
      <w:r>
        <w:rPr>
          <w:rFonts w:ascii="Arial" w:cs="Arial" w:eastAsia="Arial" w:hAnsi="Arial"/>
          <w:sz w:val="18"/>
          <w:szCs w:val="18"/>
          <w:b w:val="1"/>
          <w:bCs w:val="1"/>
          <w:color w:val="auto"/>
        </w:rPr>
        <w:t>P.O. Box 619, Migdal Haemek, Israel 2310502</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8"/>
          <w:szCs w:val="18"/>
          <w:color w:val="auto"/>
        </w:rPr>
        <w:t>(Address of principal executive offices)</w:t>
      </w:r>
    </w:p>
    <w:p>
      <w:pPr>
        <w:spacing w:after="0" w:line="265" w:lineRule="exact"/>
        <w:rPr>
          <w:sz w:val="24"/>
          <w:szCs w:val="24"/>
          <w:color w:val="auto"/>
        </w:rPr>
      </w:pPr>
    </w:p>
    <w:p>
      <w:pPr>
        <w:ind w:left="320"/>
        <w:spacing w:after="0"/>
        <w:rPr>
          <w:sz w:val="20"/>
          <w:szCs w:val="20"/>
          <w:color w:val="auto"/>
        </w:rPr>
      </w:pPr>
      <w:r>
        <w:rPr>
          <w:rFonts w:ascii="Arial" w:cs="Arial" w:eastAsia="Arial" w:hAnsi="Arial"/>
          <w:sz w:val="18"/>
          <w:szCs w:val="18"/>
          <w:color w:val="auto"/>
        </w:rPr>
        <w:t>Indicate by check mark whether the registrant files or will file annual reports under cover Form 20-F or Form 40-F.</w:t>
      </w:r>
    </w:p>
    <w:p>
      <w:pPr>
        <w:spacing w:after="0" w:line="247"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312" w:lineRule="exact"/>
        <w:rPr>
          <w:sz w:val="24"/>
          <w:szCs w:val="24"/>
          <w:color w:val="auto"/>
        </w:rPr>
      </w:pPr>
    </w:p>
    <w:p>
      <w:pPr>
        <w:ind w:firstLine="429"/>
        <w:spacing w:after="0" w:line="277" w:lineRule="auto"/>
        <w:rPr>
          <w:sz w:val="20"/>
          <w:szCs w:val="20"/>
          <w:color w:val="auto"/>
        </w:rPr>
      </w:pPr>
      <w:r>
        <w:rPr>
          <w:rFonts w:ascii="Arial" w:cs="Arial" w:eastAsia="Arial" w:hAnsi="Arial"/>
          <w:sz w:val="18"/>
          <w:szCs w:val="18"/>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92" w:lineRule="exact"/>
        <w:rPr>
          <w:sz w:val="24"/>
          <w:szCs w:val="24"/>
          <w:color w:val="auto"/>
        </w:rPr>
      </w:pPr>
    </w:p>
    <w:p>
      <w:pPr>
        <w:jc w:val="center"/>
        <w:spacing w:after="0" w:line="207" w:lineRule="exact"/>
        <w:tabs>
          <w:tab w:leader="none" w:pos="44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147320</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86" w:right="239" w:bottom="1440" w:gutter="0" w:footer="0" w:header="0"/>
        </w:sectPr>
      </w:pPr>
    </w:p>
    <w:bookmarkStart w:id="1" w:name="page2"/>
    <w:bookmarkEnd w:id="1"/>
    <w:p>
      <w:pPr>
        <w:ind w:left="640"/>
        <w:spacing w:after="0"/>
        <w:rPr>
          <w:sz w:val="20"/>
          <w:szCs w:val="20"/>
          <w:color w:val="auto"/>
        </w:rPr>
      </w:pPr>
      <w:r>
        <w:rPr>
          <w:rFonts w:ascii="Arial" w:cs="Arial" w:eastAsia="Arial" w:hAnsi="Arial"/>
          <w:sz w:val="18"/>
          <w:szCs w:val="18"/>
          <w:color w:val="auto"/>
        </w:rPr>
        <w:t>On February 22, 2018, the Registrant announced its fourth quarter and full year 2017 results. Attached hereto is the following exhibit.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gridSpan w:val="3"/>
          </w:tcPr>
          <w:p>
            <w:pPr>
              <w:spacing w:after="0"/>
              <w:rPr>
                <w:sz w:val="20"/>
                <w:szCs w:val="20"/>
                <w:color w:val="auto"/>
              </w:rPr>
            </w:pPr>
            <w:r>
              <w:rPr>
                <w:rFonts w:ascii="Arial" w:cs="Arial" w:eastAsia="Arial" w:hAnsi="Arial"/>
                <w:sz w:val="18"/>
                <w:szCs w:val="18"/>
                <w:color w:val="0000EE"/>
              </w:rPr>
              <w:t>Exhibit</w:t>
            </w:r>
          </w:p>
        </w:tc>
        <w:tc>
          <w:tcPr>
            <w:tcW w:w="10720" w:type="dxa"/>
            <w:vAlign w:val="bottom"/>
            <w:gridSpan w:val="3"/>
          </w:tcPr>
          <w:p>
            <w:pPr>
              <w:ind w:left="160"/>
              <w:spacing w:after="0"/>
              <w:rPr>
                <w:sz w:val="20"/>
                <w:szCs w:val="20"/>
                <w:color w:val="auto"/>
              </w:rPr>
            </w:pPr>
            <w:r>
              <w:rPr>
                <w:rFonts w:ascii="Arial" w:cs="Arial" w:eastAsia="Arial" w:hAnsi="Arial"/>
                <w:sz w:val="18"/>
                <w:szCs w:val="18"/>
                <w:color w:val="0000EE"/>
              </w:rPr>
              <w:t>Press release dated February 22, 2018</w:t>
            </w:r>
          </w:p>
        </w:tc>
      </w:tr>
      <w:tr>
        <w:trPr>
          <w:trHeight w:val="196"/>
        </w:trPr>
        <w:tc>
          <w:tcPr>
            <w:tcW w:w="540" w:type="dxa"/>
            <w:vAlign w:val="bottom"/>
            <w:tcBorders>
              <w:top w:val="single" w:sz="8" w:color="0000EE"/>
            </w:tcBorders>
            <w:gridSpan w:val="2"/>
          </w:tcPr>
          <w:p>
            <w:pPr>
              <w:spacing w:after="0" w:line="196"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20" w:type="dxa"/>
            <w:vAlign w:val="bottom"/>
            <w:tcBorders>
              <w:top w:val="single" w:sz="8" w:color="0000EE"/>
            </w:tcBorders>
          </w:tcPr>
          <w:p>
            <w:pPr>
              <w:spacing w:after="0"/>
              <w:rPr>
                <w:sz w:val="17"/>
                <w:szCs w:val="17"/>
                <w:color w:val="auto"/>
              </w:rPr>
            </w:pPr>
          </w:p>
        </w:tc>
        <w:tc>
          <w:tcPr>
            <w:tcW w:w="7840" w:type="dxa"/>
            <w:vAlign w:val="bottom"/>
          </w:tcPr>
          <w:p>
            <w:pPr>
              <w:spacing w:after="0"/>
              <w:rPr>
                <w:sz w:val="17"/>
                <w:szCs w:val="17"/>
                <w:color w:val="auto"/>
              </w:rPr>
            </w:pPr>
          </w:p>
        </w:tc>
      </w:tr>
      <w:tr>
        <w:trPr>
          <w:trHeight w:val="419"/>
        </w:trPr>
        <w:tc>
          <w:tcPr>
            <w:tcW w:w="320" w:type="dxa"/>
            <w:vAlign w:val="bottom"/>
            <w:tcBorders>
              <w:top w:val="single" w:sz="8" w:color="0000EE"/>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78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 w:name="page3"/>
    <w:bookmarkEnd w:id="2"/>
    <w:p>
      <w:pPr>
        <w:jc w:val="center"/>
        <w:ind w:right="-17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680" w:val="left"/>
          <w:tab w:leader="none" w:pos="6160" w:val="left"/>
        </w:tabs>
        <w:rPr>
          <w:sz w:val="20"/>
          <w:szCs w:val="20"/>
          <w:color w:val="auto"/>
        </w:rPr>
      </w:pPr>
      <w:r>
        <w:rPr>
          <w:rFonts w:ascii="Arial" w:cs="Arial" w:eastAsia="Arial" w:hAnsi="Arial"/>
          <w:sz w:val="18"/>
          <w:szCs w:val="18"/>
          <w:color w:val="auto"/>
        </w:rPr>
        <w:t>Date: February 22,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24612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61260" cy="17145"/>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Name:Nati Somekh</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520065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614680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60"/>
          </w:cols>
          <w:pgMar w:left="240" w:top="391" w:right="3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186690</wp:posOffset>
            </wp:positionV>
            <wp:extent cx="1410335" cy="6045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10335" cy="60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TowerJazz Reports Fiscal Year 2017 Record Results</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Revenues, Gross Profit, Operating Profit, EBITDA, Net Profit,</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Cash from Operations and Free Cash Flow</w:t>
      </w:r>
    </w:p>
    <w:p>
      <w:pPr>
        <w:spacing w:after="0" w:line="207"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MIGDAL HAEMEK, ISRAEL – February 22, 2018 – </w:t>
      </w:r>
      <w:r>
        <w:rPr>
          <w:rFonts w:ascii="Arial" w:cs="Arial" w:eastAsia="Arial" w:hAnsi="Arial"/>
          <w:sz w:val="18"/>
          <w:szCs w:val="18"/>
          <w:color w:val="auto"/>
        </w:rPr>
        <w:t>TowerJazz (NASDAQ: TSEM &amp; TASE: TSEM) reported today its results for the fourth quarter and</w:t>
      </w:r>
      <w:r>
        <w:rPr>
          <w:rFonts w:ascii="Arial" w:cs="Arial" w:eastAsia="Arial" w:hAnsi="Arial"/>
          <w:sz w:val="18"/>
          <w:szCs w:val="18"/>
          <w:b w:val="1"/>
          <w:bCs w:val="1"/>
          <w:color w:val="auto"/>
        </w:rPr>
        <w:t xml:space="preserve"> </w:t>
      </w:r>
      <w:r>
        <w:rPr>
          <w:rFonts w:ascii="Arial" w:cs="Arial" w:eastAsia="Arial" w:hAnsi="Arial"/>
          <w:sz w:val="18"/>
          <w:szCs w:val="18"/>
          <w:color w:val="auto"/>
        </w:rPr>
        <w:t>full year ended December 31, 2017.</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the Full Year 2017:</w:t>
      </w:r>
    </w:p>
    <w:p>
      <w:pPr>
        <w:spacing w:after="0" w:line="229"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revenues of $1.39 billion, up 11% year over year;</w:t>
      </w:r>
    </w:p>
    <w:p>
      <w:pPr>
        <w:spacing w:after="0" w:line="23" w:lineRule="exact"/>
        <w:rPr>
          <w:rFonts w:ascii="Arial" w:cs="Arial" w:eastAsia="Arial" w:hAnsi="Arial"/>
          <w:sz w:val="18"/>
          <w:szCs w:val="18"/>
          <w:color w:val="auto"/>
        </w:rPr>
      </w:pPr>
    </w:p>
    <w:p>
      <w:pPr>
        <w:ind w:left="1300" w:hanging="320"/>
        <w:spacing w:after="0"/>
        <w:tabs>
          <w:tab w:leader="none" w:pos="1300" w:val="left"/>
        </w:tabs>
        <w:numPr>
          <w:ilvl w:val="1"/>
          <w:numId w:val="1"/>
        </w:numPr>
        <w:rPr>
          <w:rFonts w:ascii="Arial" w:cs="Arial" w:eastAsia="Arial" w:hAnsi="Arial"/>
          <w:sz w:val="18"/>
          <w:szCs w:val="18"/>
          <w:color w:val="auto"/>
        </w:rPr>
      </w:pPr>
      <w:r>
        <w:rPr>
          <w:rFonts w:ascii="Arial" w:cs="Arial" w:eastAsia="Arial" w:hAnsi="Arial"/>
          <w:sz w:val="18"/>
          <w:szCs w:val="18"/>
          <w:color w:val="auto"/>
        </w:rPr>
        <w:t>Organic revenues up 23% year over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EBITDA of $425 million, up 16% year over year;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net profit of $298 million, as compared to $204 million for the full year of 2016;</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Record free cash flow of $191 million, as compared to free cash flow of $118 million for the full year of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 of the Fourth Quarter of 2017:</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Record revenues of $358 million, as compared with $340 million in the fourth quarter of 2016;</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EBITDA of $107 million and net profit of $147 million, as compared to $105 million and $48 million in the fourth quarter of 2016, respectively;</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Free cash flow of $44 million, as compared to free cash flow of $39 million for the fourth quarter of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End of Year Commentary</w:t>
      </w:r>
    </w:p>
    <w:p>
      <w:pPr>
        <w:spacing w:after="0" w:line="22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Mr. Russell Ellwanger, Chief Executive Officer of TowerJazz</w:t>
      </w:r>
      <w:r>
        <w:rPr>
          <w:rFonts w:ascii="Arial" w:cs="Arial" w:eastAsia="Arial" w:hAnsi="Arial"/>
          <w:sz w:val="18"/>
          <w:szCs w:val="18"/>
          <w:color w:val="auto"/>
        </w:rPr>
        <w:t>,</w:t>
      </w:r>
      <w:r>
        <w:rPr>
          <w:rFonts w:ascii="Arial" w:cs="Arial" w:eastAsia="Arial" w:hAnsi="Arial"/>
          <w:sz w:val="18"/>
          <w:szCs w:val="18"/>
          <w:b w:val="1"/>
          <w:bCs w:val="1"/>
          <w:color w:val="auto"/>
        </w:rPr>
        <w:t xml:space="preserve"> commented</w:t>
      </w:r>
      <w:r>
        <w:rPr>
          <w:rFonts w:ascii="Arial" w:cs="Arial" w:eastAsia="Arial" w:hAnsi="Arial"/>
          <w:sz w:val="18"/>
          <w:szCs w:val="18"/>
          <w:color w:val="auto"/>
        </w:rPr>
        <w:t>: “2017 was the best year for the Company to date, as seen in the across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record financial results, as well as, and maybe more importantly, the realization of several key strategic initiatives, providing a palpable foundation for growth well into the next decade. We continue, as a team, to be committed and passionate to create value. We are confident that the strength and capabilities of the Company - our technology offerings, long-term customer and partner relationships, and devoted worldwide employee base, will propel us to even greater heights.”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891"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Full Year 2017 Financial Results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Revenues for 2017 were at a record of $1.39 billion, reflecting an 11% growth as compared to $1.25 billion for the prior year. Year over year organic growth, excluding the Panasonic and Maxim long-term committed contracts, was 23%.</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profit for 2017 was at a record of $354 million, an increase of 17% as compared to $303 million in the prior year.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profit for 2017 was at a record of $220 million, an increase of 26% as compared to $175 million in 2016.</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EBITDA for 2017 totaled to a record $425 million, or 31% EBITDA margin, representing a 16% increase as compared to $367 million in 2016.</w:t>
      </w:r>
    </w:p>
    <w:p>
      <w:pPr>
        <w:spacing w:after="0" w:line="23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Net profit for 2017 was at a record of $298 million, representing a record of $3.08 basic earnings per share and a record of $2.90 diluted earnings per share. Net profit for 2017 included two one-time income tax benefit items as follows: (i) $82 million income tax benefit resulting from Israeli deferred tax asset realization following the release of a valuation allowance, which the Company had over the net operating loss carry forward for tax in the Israeli parent Company, and (ii) $13 million income tax benefit resulting from the US tax reform and the reduction in federal income tax rate from 35% to 21%, which will reduce the Company’s future tax payments and already caused a reduction of certain deferred tax liabilities (net of certain deferred tax assets).</w:t>
      </w:r>
    </w:p>
    <w:p>
      <w:pPr>
        <w:spacing w:after="0" w:line="15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profit for 2016 was $204 million, representing $2.33 basic earnings per share and $2.09 diluted earnings per share. Net profit for 2016 included $50 million net gain from the San Antonio fab acquisition and $6 million income tax benefit related to the Nishiwaki fab closure offset by $7 million non-cash financing expense relating to the Israeli banks’ loans early repayment.</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an adjusted basis, as described and reconciled in the tables below, net profit for the full year of 2017 was $226 million, a 29% increase as compared to $175 million in 2016.</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Free cash flow for 2017 was a record of $191 million, with a record $356 million cash flow from operations and $165 million investments in fixed assets, net. The other main cash activities during the year were comprised of the following: $115 million invested in marketable securities, $31 million received from the exercise of warrants and options and $50 million debt repaid.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Fourth Quarter Results Overview</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Revenues for the fourth quarter of 2017 were a record $358 million, as compared to $340 million in the fourth quarter of 2016.</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Gross and operating profits for the fourth quarter of 2017 were $89 million and $54 million, respectively, as compared to $88 million and $55 million, respectively, in the fourth quarter of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EBITDA for the fourth quarter of 2017 was $107 million, or 30% EBITDA margin, as compared to $105 million in the fourth quarter of 2016.</w:t>
      </w:r>
    </w:p>
    <w:p>
      <w:pPr>
        <w:spacing w:after="0" w:line="237"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Net profit for the fourth quarter of 2017 was a record of $147 million as compared to $48 million in the fourth quarter of 2016. Basic earnings per share for the quarter was a record $1.50 and diluted earnings per share was a record $1.40, as compared to $0.53 and $0.49, respectively, in the fourth quarter of 2016. Net profit for the fourth quarter of 2017 included the two one-time income tax benefit items of $82 million and $13 million, as described above.</w:t>
      </w:r>
    </w:p>
    <w:p>
      <w:pPr>
        <w:spacing w:after="0" w:line="147" w:lineRule="exact"/>
        <w:rPr>
          <w:sz w:val="20"/>
          <w:szCs w:val="20"/>
          <w:color w:val="auto"/>
        </w:rPr>
      </w:pPr>
    </w:p>
    <w:p>
      <w:pPr>
        <w:jc w:val="both"/>
        <w:ind w:firstLine="699"/>
        <w:spacing w:after="0" w:line="277" w:lineRule="auto"/>
        <w:rPr>
          <w:sz w:val="20"/>
          <w:szCs w:val="20"/>
          <w:color w:val="auto"/>
        </w:rPr>
      </w:pPr>
      <w:r>
        <w:rPr>
          <w:rFonts w:ascii="Arial" w:cs="Arial" w:eastAsia="Arial" w:hAnsi="Arial"/>
          <w:sz w:val="18"/>
          <w:szCs w:val="18"/>
          <w:color w:val="auto"/>
        </w:rPr>
        <w:t>On an adjusted basis, as described and reconciled in the tables below, net profit for the fourth quarter of 2017 was $60 million, as compared to $53 million in the fourth quarter of 2016.</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Free cash flow for the fourth quarter of 2017 was $44 million, with $85 million cash flow from operations and $41 million investments in fixed assets, net. The other main cash activities during the fourth quarter of 2017 were $65 million invested in marketable securities, $17 million debt repaid and $3 million received for the exercise of warrants and options.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Cash (including short-term marketable securities), net of gross debt as of December 31, 2017, totaled to a record of $226 million, as compared to net cash of $37 million as of December 31, 2016.</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2018, Wells Fargo and Jazz Semiconductor, the US wholly-owned subsidiary of the Company, signed a 5-year extension of the existing credit line agreement, which has been originally set to mature in December 2018, under which Jazz Semiconductor will be able to drawdown up to $70 million through 2023. Any such drawdown will bear an interest rate ranging from Libor + 1.25% to Libor + 1.75%. As of December 31, 2017, and the date hereof, there were no loans drawdown under this credit line.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equity as of December 31, 2017 was a record of $1.03 billion, as compared to $683 million as of 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ind w:firstLine="758"/>
        <w:spacing w:after="0" w:line="277" w:lineRule="auto"/>
        <w:rPr>
          <w:sz w:val="20"/>
          <w:szCs w:val="20"/>
          <w:color w:val="auto"/>
        </w:rPr>
      </w:pPr>
      <w:r>
        <w:rPr>
          <w:rFonts w:ascii="Arial" w:cs="Arial" w:eastAsia="Arial" w:hAnsi="Arial"/>
          <w:sz w:val="18"/>
          <w:szCs w:val="18"/>
          <w:color w:val="auto"/>
        </w:rPr>
        <w:t>TowerJazz expects revenues for the first quarter of 2018 ending March 31, 2018 to be $325 million, with an upward or downward range of 5%, in line with present industry seasonality, and forecasts growth throughout the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Teleconference and Webcast</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TowerJazz will host an investor conference call today, February 22, 2018, at 10:00 a.m. Eastern time (9:00 a.m. Central time, 8:00 a.m. Mountain time, 7:00 a.m. Pacific time and 5:00 p.m. Israel time) to discuss the Company’s financial results for the fourth quarter of 2017, for fiscal year 2017 and its outlook.</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This call will be webcast and can be accessed via TowerJazz’s website at </w:t>
      </w:r>
      <w:r>
        <w:rPr>
          <w:rFonts w:ascii="Arial" w:cs="Arial" w:eastAsia="Arial" w:hAnsi="Arial"/>
          <w:sz w:val="18"/>
          <w:szCs w:val="18"/>
          <w:u w:val="single" w:color="auto"/>
          <w:color w:val="auto"/>
        </w:rPr>
        <w:t>www.towerjazz.com</w:t>
      </w:r>
      <w:r>
        <w:rPr>
          <w:rFonts w:ascii="Arial" w:cs="Arial" w:eastAsia="Arial" w:hAnsi="Arial"/>
          <w:sz w:val="18"/>
          <w:szCs w:val="18"/>
          <w:color w:val="auto"/>
        </w:rPr>
        <w:t>, or by calling: 1-888-668-9141 (U.S. Toll-Free), 03-918-0609 (Israel), +972-3-918-0609 (International). For those who are not available to listen to the live broadcast, the call will be archived on TowerJazz’s website for 90 days.</w:t>
      </w:r>
    </w:p>
    <w:p>
      <w:pPr>
        <w:spacing w:after="0" w:line="181"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The Company presents its financial statements in accordance with U.S. GAAP</w:t>
      </w:r>
      <w:r>
        <w:rPr>
          <w:rFonts w:ascii="Arial" w:cs="Arial" w:eastAsia="Arial" w:hAnsi="Arial"/>
          <w:sz w:val="16"/>
          <w:szCs w:val="16"/>
          <w:color w:val="auto"/>
        </w:rPr>
        <w:t>.</w:t>
      </w:r>
      <w:r>
        <w:rPr>
          <w:rFonts w:ascii="Arial" w:cs="Arial" w:eastAsia="Arial" w:hAnsi="Arial"/>
          <w:sz w:val="16"/>
          <w:szCs w:val="16"/>
          <w:i w:val="1"/>
          <w:iCs w:val="1"/>
          <w:color w:val="auto"/>
        </w:rPr>
        <w:t xml:space="preserve"> The financial information included in the tables below includes unaudited condensed financial data. Some of the financial information in this release,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(2) compensation expenses in respect of equity grants to directors, officers and employees; (3) financing costs resulted from banks loans early repayment, (4) gain from acquisition, net, (5) non-recurring items related to long-term investments, (6) income tax benefit resulted from Israeli deferred tax asset realization following valuation allowance release; (7) income tax benefit related to U.S. tax reform;(8) income tax benefit related to Nishiwaki closure; and (9) acquisition related costs.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w:t>
      </w:r>
      <w:r>
        <w:rPr>
          <w:rFonts w:ascii="Arial" w:cs="Arial" w:eastAsia="Arial" w:hAnsi="Arial"/>
          <w:sz w:val="16"/>
          <w:szCs w:val="16"/>
          <w:color w:val="auto"/>
        </w:rPr>
        <w:t>.</w:t>
      </w:r>
      <w:r>
        <w:rPr>
          <w:rFonts w:ascii="Arial" w:cs="Arial" w:eastAsia="Arial" w:hAnsi="Arial"/>
          <w:sz w:val="16"/>
          <w:szCs w:val="16"/>
          <w:i w:val="1"/>
          <w:iCs w:val="1"/>
          <w:color w:val="auto"/>
        </w:rPr>
        <w:t xml:space="preserve"> As used and/ or presented in this release, as well as calculated in the tables herein, the term Earnings Before Interest Tax Depreciation and Amortization (EBITDA) consists of net profit in accordance with GAAP, excluding gain from acquisition, net, interest and other financing expense, net, other income, net, taxes, non-controlling interest, depreciation and amortization expense, stock based compensation expense, acquisition related costs and Nishiwaki Fab restructuring and impairment cost (income), net. EBITDA is reconciled in the tables below from GAAP operating profit. EBITDA is not a required GAAP financial measure and may not be comparable to a similarly titled measure employed by other companies</w:t>
      </w:r>
      <w:r>
        <w:rPr>
          <w:rFonts w:ascii="Arial" w:cs="Arial" w:eastAsia="Arial" w:hAnsi="Arial"/>
          <w:sz w:val="16"/>
          <w:szCs w:val="16"/>
          <w:color w:val="auto"/>
        </w:rPr>
        <w:t>.</w:t>
      </w:r>
      <w:r>
        <w:rPr>
          <w:rFonts w:ascii="Arial" w:cs="Arial" w:eastAsia="Arial" w:hAnsi="Arial"/>
          <w:sz w:val="16"/>
          <w:szCs w:val="16"/>
          <w:i w:val="1"/>
          <w:iCs w:val="1"/>
          <w:color w:val="auto"/>
        </w:rPr>
        <w:t xml:space="preserve"> EBITDA and the adjusted financial information presented herein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is comprised of cash, cash equivalents, short-term deposits and short-term marketable securities (in the amounts of $560 million and $389 million as of December 31, 2017 and December 31, 2016, respectively) less the outstanding principal amount of bank loans (in the amounts of $138 million and $166 million as of December 31, 2017 and December 31, 2016, respectively), the outstanding principal amount of capital leases (in the amounts of $16 million as of December 31, 2017) and the outstanding principal amount of debentures including the related hedging effect (in the amounts of $180 million and $186 million as of December 31, 2017 and December 31, 2016, respectively).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In addition, the term Free Cash Flow, as used and/ or presented in this release, is calculated to be cash from operating activities (in the amounts of $356 million and $327 million for the years ended December 31, 2017 and December 31, 2016, respectively and in the amounts of $</w:t>
      </w:r>
      <w:r>
        <w:rPr>
          <w:rFonts w:ascii="Arial" w:cs="Arial" w:eastAsia="Arial" w:hAnsi="Arial"/>
          <w:sz w:val="16"/>
          <w:szCs w:val="16"/>
          <w:color w:val="auto"/>
        </w:rPr>
        <w:t>85</w:t>
      </w:r>
      <w:r>
        <w:rPr>
          <w:rFonts w:ascii="Arial" w:cs="Arial" w:eastAsia="Arial" w:hAnsi="Arial"/>
          <w:sz w:val="16"/>
          <w:szCs w:val="16"/>
          <w:i w:val="1"/>
          <w:iCs w:val="1"/>
          <w:color w:val="auto"/>
        </w:rPr>
        <w:t xml:space="preserve"> million and $82 million for the three months periods ended December 31, 2017 and December 31, 2016, respectively) less cash for investments in property and equipment, net (in the amounts of $165 million and $209 million for the years ended December 31, 2017 and December 31, 2016, respectively and in the amounts of $41 million and $43 million for the three months periods ended December 31, 2017 and December 31, 2016,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514985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About TowerJazz</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For more information, please visit </w:t>
      </w:r>
      <w:r>
        <w:rPr>
          <w:rFonts w:ascii="Arial" w:cs="Arial" w:eastAsia="Arial" w:hAnsi="Arial"/>
          <w:sz w:val="18"/>
          <w:szCs w:val="18"/>
          <w:u w:val="single" w:color="auto"/>
          <w:color w:val="auto"/>
        </w:rPr>
        <w:t>www.towerjazz.com</w:t>
      </w:r>
      <w:r>
        <w:rPr>
          <w:rFonts w:ascii="Arial" w:cs="Arial" w:eastAsia="Arial" w:hAnsi="Arial"/>
          <w:sz w:val="18"/>
          <w:szCs w:val="18"/>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r>
        <w:rPr>
          <w:rFonts w:ascii="Arial" w:cs="Arial" w:eastAsia="Arial" w:hAnsi="Arial"/>
          <w:sz w:val="18"/>
          <w:szCs w:val="18"/>
          <w:color w:val="auto"/>
        </w:rPr>
        <w:t>:</w:t>
      </w:r>
    </w:p>
    <w:p>
      <w:pPr>
        <w:spacing w:after="0" w:line="229" w:lineRule="exact"/>
        <w:rPr>
          <w:sz w:val="20"/>
          <w:szCs w:val="20"/>
          <w:color w:val="auto"/>
        </w:rPr>
      </w:pPr>
    </w:p>
    <w:p>
      <w:pPr>
        <w:ind w:right="5560"/>
        <w:spacing w:after="0" w:line="342" w:lineRule="auto"/>
        <w:rPr>
          <w:sz w:val="20"/>
          <w:szCs w:val="20"/>
          <w:color w:val="auto"/>
        </w:rPr>
      </w:pPr>
      <w:r>
        <w:rPr>
          <w:rFonts w:ascii="Arial" w:cs="Arial" w:eastAsia="Arial" w:hAnsi="Arial"/>
          <w:sz w:val="16"/>
          <w:szCs w:val="16"/>
          <w:color w:val="auto"/>
        </w:rPr>
        <w:t xml:space="preserve">Noit Levy-Karoubi | TowerJazz | +972 4 604 7066 | </w:t>
      </w:r>
      <w:r>
        <w:rPr>
          <w:rFonts w:ascii="Arial" w:cs="Arial" w:eastAsia="Arial" w:hAnsi="Arial"/>
          <w:sz w:val="16"/>
          <w:szCs w:val="16"/>
          <w:u w:val="single" w:color="auto"/>
          <w:color w:val="auto"/>
        </w:rPr>
        <w:t>Noit.levi@towerjazz.com</w:t>
      </w:r>
      <w:r>
        <w:rPr>
          <w:rFonts w:ascii="Arial" w:cs="Arial" w:eastAsia="Arial" w:hAnsi="Arial"/>
          <w:sz w:val="16"/>
          <w:szCs w:val="16"/>
          <w:color w:val="auto"/>
        </w:rPr>
        <w:t xml:space="preserve"> GK Investor Relations | Gavriel Frohwein, (646) 688 3559 | </w:t>
      </w:r>
      <w:r>
        <w:rPr>
          <w:rFonts w:ascii="Arial" w:cs="Arial" w:eastAsia="Arial" w:hAnsi="Arial"/>
          <w:sz w:val="16"/>
          <w:szCs w:val="16"/>
          <w:u w:val="single" w:color="auto"/>
          <w:color w:val="auto"/>
        </w:rPr>
        <w:t>towerjazz@gkir.com</w:t>
      </w:r>
    </w:p>
    <w:p>
      <w:pPr>
        <w:spacing w:after="0" w:line="12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December 31, 2017 we are in compliance with all such covenants included in our banks’ agreements, bond G indenture and others), (x) obtaining new customer engagements, products qualification and production ramp-up of the TPSCo facilities and our San Antonio facility, (xi) the closure of TJP within the scope of restructuring our activities and business in Japan, settling any future claims or potential claims,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(xxiii) achieving acceptable device yields, product performance and delivery times,</w:t>
      </w:r>
    </w:p>
    <w:p>
      <w:pPr>
        <w:spacing w:after="0" w:line="12" w:lineRule="exact"/>
        <w:rPr>
          <w:sz w:val="20"/>
          <w:szCs w:val="20"/>
          <w:color w:val="auto"/>
        </w:rPr>
      </w:pPr>
    </w:p>
    <w:p>
      <w:pPr>
        <w:jc w:val="both"/>
        <w:ind w:firstLine="8"/>
        <w:spacing w:after="0" w:line="285" w:lineRule="auto"/>
        <w:tabs>
          <w:tab w:leader="none" w:pos="462"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our dependence on intellectual property rights of others, our ability to operate our business without infringing others’ intellectual property rights and our ability to enforce our intellectual property against infringement, (xxx) retention of key employees and recruitment and retention of skilled qualified personnel, (xxxi) exposure to inflation, currency rates (mainly the Israeli Shekel and Japanese Yen) and interest rate fluctuations and risks associated with doing business locally and internationally, as well fluctuations in the market price of our traded securities, (xxxii)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(xxxiii) meeting regulatory requirements worldwide, including environmental and governmental regulations; (xxxiv) negotiation and closure of definitive agreements in relation to the fab establishment in China, as well as implementation of this project and licensing of technologies, subject to obtaining required funding and receipt of payment milestones, qualification and ramp of process flows and products to enable mass production for customers and attain revenue to levels that would cover the facility’s fixed costs; and (xxxv) business interruption due to fire and other natural disasters, the security situation in Israel and other events beyond our control such as power interruptions. We note that the risk disclosure included in previous releases related to the shareholder class action pending in Israel has been removed as a result of the Israeli court decision in February 2018 granting the Company's motion to dismiss the action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jc w:val="both"/>
        <w:spacing w:after="0" w:line="302" w:lineRule="auto"/>
        <w:rPr>
          <w:sz w:val="20"/>
          <w:szCs w:val="20"/>
          <w:color w:val="auto"/>
        </w:rPr>
      </w:pPr>
      <w:r>
        <w:rPr>
          <w:rFonts w:ascii="Arial" w:cs="Arial" w:eastAsia="Arial" w:hAnsi="Arial"/>
          <w:sz w:val="16"/>
          <w:szCs w:val="16"/>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366"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  #  #</w:t>
      </w:r>
    </w:p>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ind w:left="60"/>
              <w:spacing w:after="0"/>
              <w:rPr>
                <w:sz w:val="20"/>
                <w:szCs w:val="20"/>
                <w:color w:val="auto"/>
              </w:rPr>
            </w:pPr>
            <w:r>
              <w:rPr>
                <w:rFonts w:ascii="Arial" w:cs="Arial" w:eastAsia="Arial" w:hAnsi="Arial"/>
                <w:sz w:val="18"/>
                <w:szCs w:val="18"/>
                <w:b w:val="1"/>
                <w:bCs w:val="1"/>
                <w:color w:val="auto"/>
              </w:rPr>
              <w:t>December 31,</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89"/>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Cash, cash equivalents and short-term deposits</w:t>
            </w:r>
          </w:p>
        </w:tc>
        <w:tc>
          <w:tcPr>
            <w:tcW w:w="240" w:type="dxa"/>
            <w:vAlign w:val="bottom"/>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445,961</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480,407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389,377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113,874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49,738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149,666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150,039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143,315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143,300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137,532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2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21,516</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21,465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30,041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current assets</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874,332</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844,949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697,998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26,073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27,091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635,124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633,107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616,686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19,841</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GOODWILL</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ASSETS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111,269</w:t>
            </w:r>
          </w:p>
        </w:tc>
        <w:tc>
          <w:tcPr>
            <w:tcW w:w="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18,484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1,673,639</w:t>
            </w:r>
          </w:p>
        </w:tc>
        <w:tc>
          <w:tcPr>
            <w:tcW w:w="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1,552,258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1,379,884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Short-term debt</w:t>
            </w:r>
          </w:p>
        </w:tc>
        <w:tc>
          <w:tcPr>
            <w:tcW w:w="240" w:type="dxa"/>
            <w:vAlign w:val="bottom"/>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105,958</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45,664</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115,347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109,385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99,262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14,338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26,454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26,169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66,730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64,259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73,600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b w:val="1"/>
                <w:bCs w:val="1"/>
                <w:color w:val="auto"/>
              </w:rPr>
              <w:t>Total current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302,373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245,762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247,115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LONG-TERM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228,723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295,485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296,144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31,908</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37,674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41,874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14,662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DEFERRED TAX LIABILITY AND OTHER LONG-TERM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66,267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85,380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40"/>
              <w:spacing w:after="0"/>
              <w:rPr>
                <w:sz w:val="20"/>
                <w:szCs w:val="20"/>
                <w:color w:val="auto"/>
              </w:rPr>
            </w:pPr>
            <w:r>
              <w:rPr>
                <w:rFonts w:ascii="Arial" w:cs="Arial" w:eastAsia="Arial" w:hAnsi="Arial"/>
                <w:sz w:val="18"/>
                <w:szCs w:val="18"/>
                <w:b w:val="1"/>
                <w:bCs w:val="1"/>
                <w:color w:val="auto"/>
              </w:rPr>
              <w:t>TOTAL LIABILITIES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643,933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678,471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697,270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440"/>
              <w:spacing w:after="0"/>
              <w:rPr>
                <w:sz w:val="20"/>
                <w:szCs w:val="20"/>
                <w:color w:val="auto"/>
              </w:rPr>
            </w:pPr>
            <w:r>
              <w:rPr>
                <w:rFonts w:ascii="Arial" w:cs="Arial" w:eastAsia="Arial" w:hAnsi="Arial"/>
                <w:sz w:val="18"/>
                <w:szCs w:val="18"/>
                <w:b w:val="1"/>
                <w:bCs w:val="1"/>
                <w:color w:val="auto"/>
              </w:rPr>
              <w:t>TOTAL SHAREHOLDERS' EQUITY</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1,029,706</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873,787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682,614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740"/>
              <w:spacing w:after="0"/>
              <w:rPr>
                <w:sz w:val="20"/>
                <w:szCs w:val="20"/>
                <w:color w:val="auto"/>
              </w:rPr>
            </w:pPr>
            <w:r>
              <w:rPr>
                <w:rFonts w:ascii="Arial" w:cs="Arial" w:eastAsia="Arial" w:hAnsi="Arial"/>
                <w:sz w:val="18"/>
                <w:szCs w:val="18"/>
                <w:b w:val="1"/>
                <w:bCs w:val="1"/>
                <w:color w:val="auto"/>
              </w:rPr>
              <w:t>TOTAL LIABILITIES AND SHAREHOLDERS' EQUITY</w:t>
            </w:r>
          </w:p>
        </w:tc>
        <w:tc>
          <w:tcPr>
            <w:tcW w:w="240" w:type="dxa"/>
            <w:vAlign w:val="bottom"/>
          </w:tcPr>
          <w:p>
            <w:pPr>
              <w:jc w:val="right"/>
              <w:ind w:right="82"/>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1,673,639</w:t>
            </w:r>
          </w:p>
        </w:tc>
        <w:tc>
          <w:tcPr>
            <w:tcW w:w="2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1,552,258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1,379,884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364" w:right="239" w:bottom="1440" w:gutter="0" w:footer="0" w:header="0"/>
        </w:sectPr>
      </w:pPr>
    </w:p>
    <w:bookmarkStart w:id="10" w:name="page11"/>
    <w:bookmarkEnd w:id="10"/>
    <w:p>
      <w:pPr>
        <w:ind w:left="34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320"/>
        <w:spacing w:after="0"/>
        <w:rPr>
          <w:sz w:val="20"/>
          <w:szCs w:val="20"/>
          <w:color w:val="auto"/>
        </w:rPr>
      </w:pPr>
      <w:r>
        <w:rPr>
          <w:rFonts w:ascii="Arial" w:cs="Arial" w:eastAsia="Arial" w:hAnsi="Arial"/>
          <w:sz w:val="18"/>
          <w:szCs w:val="18"/>
          <w:b w:val="1"/>
          <w:bCs w:val="1"/>
          <w:color w:val="auto"/>
        </w:rPr>
        <w:t>CONDENSED CONSOLIDATED STATEMENTS OF OPERATIONS (UNAUDITED)</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80" w:type="dxa"/>
            <w:vAlign w:val="bottom"/>
            <w:gridSpan w:val="3"/>
          </w:tcPr>
          <w:p>
            <w:pPr>
              <w:ind w:left="3380"/>
              <w:spacing w:after="0"/>
              <w:rPr>
                <w:sz w:val="20"/>
                <w:szCs w:val="20"/>
                <w:color w:val="auto"/>
              </w:rPr>
            </w:pPr>
            <w:r>
              <w:rPr>
                <w:rFonts w:ascii="Arial" w:cs="Arial" w:eastAsia="Arial" w:hAnsi="Arial"/>
                <w:sz w:val="18"/>
                <w:szCs w:val="18"/>
                <w:b w:val="1"/>
                <w:bCs w:val="1"/>
                <w:color w:val="auto"/>
                <w:w w:val="96"/>
              </w:rPr>
              <w:t>(dollars and share count in thousands, except per share data)</w:t>
            </w: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48"/>
        </w:trPr>
        <w:tc>
          <w:tcPr>
            <w:tcW w:w="73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5"/>
          </w:tcPr>
          <w:p>
            <w:pPr>
              <w:ind w:left="60"/>
              <w:spacing w:after="0"/>
              <w:rPr>
                <w:sz w:val="20"/>
                <w:szCs w:val="20"/>
                <w:color w:val="auto"/>
              </w:rPr>
            </w:pPr>
            <w:r>
              <w:rPr>
                <w:rFonts w:ascii="Arial" w:cs="Arial" w:eastAsia="Arial" w:hAnsi="Arial"/>
                <w:sz w:val="18"/>
                <w:szCs w:val="18"/>
                <w:b w:val="1"/>
                <w:bCs w:val="1"/>
                <w:color w:val="auto"/>
                <w:w w:val="92"/>
              </w:rPr>
              <w:t>Three months ended</w:t>
            </w: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7320" w:type="dxa"/>
            <w:vAlign w:val="bottom"/>
          </w:tcPr>
          <w:p>
            <w:pPr>
              <w:spacing w:after="0"/>
              <w:rPr>
                <w:sz w:val="19"/>
                <w:szCs w:val="19"/>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December 31,</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6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r>
      <w:tr>
        <w:trPr>
          <w:trHeight w:val="223"/>
        </w:trPr>
        <w:tc>
          <w:tcPr>
            <w:tcW w:w="73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00" w:type="dxa"/>
            <w:vAlign w:val="bottom"/>
            <w:gridSpan w:val="2"/>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357,614</w:t>
            </w: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354,557</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340,379</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73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268,256</w:t>
            </w:r>
          </w:p>
        </w:tc>
        <w:tc>
          <w:tcPr>
            <w:tcW w:w="30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265,439</w:t>
            </w:r>
          </w:p>
        </w:tc>
        <w:tc>
          <w:tcPr>
            <w:tcW w:w="2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252,648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23"/>
        </w:trPr>
        <w:tc>
          <w:tcPr>
            <w:tcW w:w="73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89,358</w:t>
            </w:r>
          </w:p>
        </w:tc>
        <w:tc>
          <w:tcPr>
            <w:tcW w:w="3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89,118</w:t>
            </w:r>
          </w:p>
        </w:tc>
        <w:tc>
          <w:tcPr>
            <w:tcW w:w="2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87,731</w:t>
            </w:r>
          </w:p>
        </w:tc>
      </w:tr>
      <w:tr>
        <w:trPr>
          <w:trHeight w:val="216"/>
        </w:trPr>
        <w:tc>
          <w:tcPr>
            <w:tcW w:w="73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73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18,370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17,094</w:t>
            </w: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16,320</w:t>
            </w:r>
          </w:p>
        </w:tc>
      </w:tr>
      <w:tr>
        <w:trPr>
          <w:trHeight w:val="223"/>
        </w:trPr>
        <w:tc>
          <w:tcPr>
            <w:tcW w:w="732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16,502</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16,822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16,209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34,872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33,916</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32,529</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54,486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55,202</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55,202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INTEREST EXPENSE, NET</w:t>
            </w:r>
          </w:p>
        </w:tc>
        <w:tc>
          <w:tcPr>
            <w:tcW w:w="2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(1,783)</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(1,776)</w:t>
            </w:r>
          </w:p>
        </w:tc>
        <w:tc>
          <w:tcPr>
            <w:tcW w:w="2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(2,230)</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OTHER FINANCING INCOME (EXPENSE), NET</w:t>
            </w:r>
          </w:p>
        </w:tc>
        <w:tc>
          <w:tcPr>
            <w:tcW w:w="240" w:type="dxa"/>
            <w:vAlign w:val="bottom"/>
          </w:tcPr>
          <w:p>
            <w:pPr>
              <w:spacing w:after="0"/>
              <w:rPr>
                <w:sz w:val="18"/>
                <w:szCs w:val="18"/>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(2,270)</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(2,266)</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1,215</w:t>
            </w:r>
          </w:p>
        </w:tc>
        <w:tc>
          <w:tcPr>
            <w:tcW w:w="100" w:type="dxa"/>
            <w:vAlign w:val="bottom"/>
          </w:tcPr>
          <w:p>
            <w:pPr>
              <w:spacing w:after="0"/>
              <w:rPr>
                <w:sz w:val="18"/>
                <w:szCs w:val="18"/>
                <w:color w:val="auto"/>
              </w:rPr>
            </w:pP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OTHER EXPENSE, NET</w:t>
            </w:r>
          </w:p>
        </w:tc>
        <w:tc>
          <w:tcPr>
            <w:tcW w:w="24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(3,027)</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(948)</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43"/>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47,406</w:t>
            </w: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50,907</w:t>
            </w:r>
          </w:p>
        </w:tc>
        <w:tc>
          <w:tcPr>
            <w:tcW w:w="2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53,239</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101,236</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3,334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(986)</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148,642</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54,241</w:t>
            </w: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52,253</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240" w:type="dxa"/>
            <w:vAlign w:val="bottom"/>
          </w:tcPr>
          <w:p>
            <w:pPr>
              <w:spacing w:after="0"/>
              <w:rPr>
                <w:sz w:val="19"/>
                <w:szCs w:val="19"/>
                <w:color w:val="auto"/>
              </w:rPr>
            </w:pPr>
          </w:p>
        </w:tc>
        <w:tc>
          <w:tcPr>
            <w:tcW w:w="1220" w:type="dxa"/>
            <w:vAlign w:val="bottom"/>
            <w:gridSpan w:val="2"/>
          </w:tcPr>
          <w:p>
            <w:pPr>
              <w:jc w:val="right"/>
              <w:ind w:right="150"/>
              <w:spacing w:after="0"/>
              <w:rPr>
                <w:sz w:val="20"/>
                <w:szCs w:val="20"/>
                <w:color w:val="auto"/>
              </w:rPr>
            </w:pPr>
            <w:r>
              <w:rPr>
                <w:rFonts w:ascii="Arial" w:cs="Arial" w:eastAsia="Arial" w:hAnsi="Arial"/>
                <w:sz w:val="18"/>
                <w:szCs w:val="18"/>
                <w:b w:val="1"/>
                <w:bCs w:val="1"/>
                <w:color w:val="auto"/>
              </w:rPr>
              <w:t>(1,431)</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1,033</w:t>
            </w:r>
          </w:p>
        </w:tc>
        <w:tc>
          <w:tcPr>
            <w:tcW w:w="22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(3,972)</w:t>
            </w:r>
          </w:p>
        </w:tc>
      </w:tr>
      <w:tr>
        <w:trPr>
          <w:trHeight w:val="216"/>
        </w:trPr>
        <w:tc>
          <w:tcPr>
            <w:tcW w:w="73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50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147,211</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55,274</w:t>
            </w:r>
          </w:p>
        </w:tc>
        <w:tc>
          <w:tcPr>
            <w:tcW w:w="2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48,281</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0" w:type="dxa"/>
            <w:vAlign w:val="bottom"/>
            <w:gridSpan w:val="3"/>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1.50</w:t>
            </w:r>
          </w:p>
        </w:tc>
        <w:tc>
          <w:tcPr>
            <w:tcW w:w="600" w:type="dxa"/>
            <w:vAlign w:val="bottom"/>
            <w:gridSpan w:val="3"/>
          </w:tcPr>
          <w:p>
            <w:pPr>
              <w:ind w:left="40"/>
              <w:spacing w:after="0"/>
              <w:rPr>
                <w:sz w:val="20"/>
                <w:szCs w:val="20"/>
                <w:color w:val="auto"/>
              </w:rPr>
            </w:pPr>
            <w:r>
              <w:rPr>
                <w:rFonts w:ascii="Arial" w:cs="Arial" w:eastAsia="Arial" w:hAnsi="Arial"/>
                <w:sz w:val="18"/>
                <w:szCs w:val="18"/>
                <w:b w:val="1"/>
                <w:bCs w:val="1"/>
                <w:color w:val="auto"/>
              </w:rPr>
              <w:t>(a)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0.56</w:t>
            </w: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0.53</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98,312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97,947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91,235</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3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spacing w:after="0"/>
              <w:rPr>
                <w:sz w:val="20"/>
                <w:szCs w:val="20"/>
                <w:color w:val="auto"/>
              </w:rPr>
            </w:pPr>
          </w:p>
        </w:tc>
        <w:tc>
          <w:tcPr>
            <w:tcW w:w="1120" w:type="dxa"/>
            <w:vAlign w:val="bottom"/>
            <w:gridSpan w:val="2"/>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spacing w:after="0"/>
              <w:rPr>
                <w:sz w:val="20"/>
                <w:szCs w:val="20"/>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600" w:type="dxa"/>
            <w:vAlign w:val="bottom"/>
            <w:gridSpan w:val="3"/>
          </w:tcPr>
          <w:p>
            <w:pPr>
              <w:ind w:left="40"/>
              <w:spacing w:after="0"/>
              <w:rPr>
                <w:sz w:val="20"/>
                <w:szCs w:val="20"/>
                <w:color w:val="auto"/>
              </w:rPr>
            </w:pPr>
            <w:r>
              <w:rPr>
                <w:rFonts w:ascii="Arial" w:cs="Arial" w:eastAsia="Arial" w:hAnsi="Arial"/>
                <w:sz w:val="18"/>
                <w:szCs w:val="18"/>
                <w:b w:val="1"/>
                <w:bCs w:val="1"/>
                <w:color w:val="auto"/>
              </w:rPr>
              <w:t>(a) $</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0.54</w:t>
            </w: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0.49</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149,502</w:t>
            </w:r>
          </w:p>
        </w:tc>
        <w:tc>
          <w:tcPr>
            <w:tcW w:w="300" w:type="dxa"/>
            <w:vAlign w:val="bottom"/>
          </w:tcPr>
          <w:p>
            <w:pPr>
              <w:ind w:left="40"/>
              <w:spacing w:after="0"/>
              <w:rPr>
                <w:sz w:val="20"/>
                <w:szCs w:val="20"/>
                <w:color w:val="auto"/>
              </w:rPr>
            </w:pPr>
            <w:r>
              <w:rPr>
                <w:rFonts w:ascii="Arial" w:cs="Arial" w:eastAsia="Arial" w:hAnsi="Arial"/>
                <w:sz w:val="18"/>
                <w:szCs w:val="18"/>
                <w:b w:val="1"/>
                <w:bCs w:val="1"/>
                <w:color w:val="auto"/>
              </w:rPr>
              <w:t>(a)</w:t>
            </w:r>
          </w:p>
        </w:tc>
        <w:tc>
          <w:tcPr>
            <w:tcW w:w="6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57,519</w:t>
            </w:r>
          </w:p>
        </w:tc>
        <w:tc>
          <w:tcPr>
            <w:tcW w:w="220" w:type="dxa"/>
            <w:vAlign w:val="bottom"/>
          </w:tcPr>
          <w:p>
            <w:pPr>
              <w:spacing w:after="0"/>
              <w:rPr>
                <w:sz w:val="18"/>
                <w:szCs w:val="18"/>
                <w:color w:val="auto"/>
              </w:rPr>
            </w:pPr>
          </w:p>
        </w:tc>
        <w:tc>
          <w:tcPr>
            <w:tcW w:w="220" w:type="dxa"/>
            <w:vAlign w:val="bottom"/>
          </w:tcPr>
          <w:p>
            <w:pPr>
              <w:jc w:val="right"/>
              <w:ind w:right="62"/>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50,397</w:t>
            </w: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106,776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106,384</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103,613</w:t>
            </w:r>
          </w:p>
        </w:tc>
        <w:tc>
          <w:tcPr>
            <w:tcW w:w="100" w:type="dxa"/>
            <w:vAlign w:val="bottom"/>
          </w:tcPr>
          <w:p>
            <w:pPr>
              <w:spacing w:after="0"/>
              <w:rPr>
                <w:sz w:val="18"/>
                <w:szCs w:val="18"/>
                <w:color w:val="auto"/>
              </w:rPr>
            </w:pPr>
          </w:p>
        </w:tc>
      </w:tr>
      <w:tr>
        <w:trPr>
          <w:trHeight w:val="21"/>
        </w:trPr>
        <w:tc>
          <w:tcPr>
            <w:tcW w:w="7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5" w:lineRule="exact"/>
        <w:rPr>
          <w:sz w:val="20"/>
          <w:szCs w:val="20"/>
          <w:color w:val="auto"/>
        </w:rPr>
      </w:pPr>
    </w:p>
    <w:p>
      <w:pPr>
        <w:ind w:left="320" w:right="40" w:hanging="312"/>
        <w:spacing w:after="0" w:line="282" w:lineRule="auto"/>
        <w:tabs>
          <w:tab w:leader="none" w:pos="3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Three months ended December 31, 2017 included $82,370 Israeli deferred tax asset realization following valuation allowance release and $12,970 income tax benefit related to U.S. tax reform.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397510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5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88"/>
              </w:rPr>
              <w:t>Year ended</w:t>
            </w:r>
          </w:p>
        </w:tc>
        <w:tc>
          <w:tcPr>
            <w:tcW w:w="82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r>
      <w:tr>
        <w:trPr>
          <w:trHeight w:val="223"/>
        </w:trPr>
        <w:tc>
          <w:tcPr>
            <w:tcW w:w="8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gridSpan w:val="3"/>
          </w:tcPr>
          <w:p>
            <w:pPr>
              <w:jc w:val="center"/>
              <w:ind w:left="370"/>
              <w:spacing w:after="0"/>
              <w:rPr>
                <w:sz w:val="20"/>
                <w:szCs w:val="20"/>
                <w:color w:val="auto"/>
              </w:rPr>
            </w:pPr>
            <w:r>
              <w:rPr>
                <w:rFonts w:ascii="Arial" w:cs="Arial" w:eastAsia="Arial" w:hAnsi="Arial"/>
                <w:sz w:val="18"/>
                <w:szCs w:val="18"/>
                <w:b w:val="1"/>
                <w:bCs w:val="1"/>
                <w:color w:val="auto"/>
                <w:w w:val="90"/>
              </w:rPr>
              <w:t>December 31,</w:t>
            </w:r>
          </w:p>
        </w:tc>
        <w:tc>
          <w:tcPr>
            <w:tcW w:w="8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r>
      <w:tr>
        <w:trPr>
          <w:trHeight w:val="223"/>
        </w:trPr>
        <w:tc>
          <w:tcPr>
            <w:tcW w:w="85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2016</w:t>
            </w:r>
          </w:p>
        </w:tc>
        <w:tc>
          <w:tcPr>
            <w:tcW w:w="240" w:type="dxa"/>
            <w:vAlign w:val="bottom"/>
          </w:tcPr>
          <w:p>
            <w:pPr>
              <w:spacing w:after="0"/>
              <w:rPr>
                <w:sz w:val="19"/>
                <w:szCs w:val="19"/>
                <w:color w:val="auto"/>
              </w:rPr>
            </w:pP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1,387,310</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1,249,634</w:t>
            </w:r>
          </w:p>
        </w:tc>
        <w:tc>
          <w:tcPr>
            <w:tcW w:w="24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26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1,033,005</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946,534</w:t>
            </w:r>
          </w:p>
        </w:tc>
        <w:tc>
          <w:tcPr>
            <w:tcW w:w="240" w:type="dxa"/>
            <w:vAlign w:val="bottom"/>
            <w:shd w:val="clear" w:color="auto" w:fill="CCEEFF"/>
          </w:tcPr>
          <w:p>
            <w:pPr>
              <w:spacing w:after="0"/>
              <w:rPr>
                <w:sz w:val="19"/>
                <w:szCs w:val="19"/>
                <w:color w:val="auto"/>
              </w:rPr>
            </w:pPr>
          </w:p>
        </w:tc>
      </w:tr>
      <w:tr>
        <w:trPr>
          <w:trHeight w:val="216"/>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23"/>
        </w:trPr>
        <w:tc>
          <w:tcPr>
            <w:tcW w:w="85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26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354,305</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303,100</w:t>
            </w:r>
          </w:p>
        </w:tc>
        <w:tc>
          <w:tcPr>
            <w:tcW w:w="240" w:type="dxa"/>
            <w:vAlign w:val="bottom"/>
            <w:shd w:val="clear" w:color="auto" w:fill="CCEEFF"/>
          </w:tcPr>
          <w:p>
            <w:pPr>
              <w:spacing w:after="0"/>
              <w:rPr>
                <w:sz w:val="19"/>
                <w:szCs w:val="19"/>
                <w:color w:val="auto"/>
              </w:rPr>
            </w:pPr>
          </w:p>
        </w:tc>
      </w:tr>
      <w:tr>
        <w:trPr>
          <w:trHeight w:val="216"/>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67,664</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63,134</w:t>
            </w:r>
          </w:p>
        </w:tc>
        <w:tc>
          <w:tcPr>
            <w:tcW w:w="240" w:type="dxa"/>
            <w:vAlign w:val="bottom"/>
            <w:shd w:val="clear" w:color="auto" w:fill="CCEEFF"/>
          </w:tcPr>
          <w:p>
            <w:pPr>
              <w:spacing w:after="0"/>
              <w:rPr>
                <w:sz w:val="18"/>
                <w:szCs w:val="18"/>
                <w:color w:val="auto"/>
              </w:rPr>
            </w:pPr>
          </w:p>
        </w:tc>
      </w:tr>
      <w:tr>
        <w:trPr>
          <w:trHeight w:val="216"/>
        </w:trPr>
        <w:tc>
          <w:tcPr>
            <w:tcW w:w="850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66,799</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65,439</w:t>
            </w:r>
          </w:p>
        </w:tc>
        <w:tc>
          <w:tcPr>
            <w:tcW w:w="240" w:type="dxa"/>
            <w:vAlign w:val="bottom"/>
          </w:tcPr>
          <w:p>
            <w:pPr>
              <w:spacing w:after="0"/>
              <w:rPr>
                <w:sz w:val="18"/>
                <w:szCs w:val="18"/>
                <w:color w:val="auto"/>
              </w:rPr>
            </w:pPr>
          </w:p>
        </w:tc>
      </w:tr>
      <w:tr>
        <w:trPr>
          <w:trHeight w:val="223"/>
        </w:trPr>
        <w:tc>
          <w:tcPr>
            <w:tcW w:w="8500" w:type="dxa"/>
            <w:vAlign w:val="bottom"/>
            <w:tcBorders>
              <w:right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Nishiwaki Fab restructuring and impairment cost (income), net</w:t>
            </w:r>
          </w:p>
        </w:tc>
        <w:tc>
          <w:tcPr>
            <w:tcW w:w="26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(627)</w:t>
            </w:r>
          </w:p>
        </w:tc>
      </w:tr>
      <w:tr>
        <w:trPr>
          <w:trHeight w:val="284"/>
        </w:trPr>
        <w:tc>
          <w:tcPr>
            <w:tcW w:w="85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6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7"/>
        </w:trPr>
        <w:tc>
          <w:tcPr>
            <w:tcW w:w="8500" w:type="dxa"/>
            <w:vAlign w:val="bottom"/>
            <w:tcBorders>
              <w:right w:val="single" w:sz="8" w:color="CCEEFF"/>
            </w:tcBorders>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134,463</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127,946</w:t>
            </w:r>
          </w:p>
        </w:tc>
        <w:tc>
          <w:tcPr>
            <w:tcW w:w="240" w:type="dxa"/>
            <w:vAlign w:val="bottom"/>
            <w:shd w:val="clear" w:color="auto" w:fill="CCEEFF"/>
          </w:tcPr>
          <w:p>
            <w:pPr>
              <w:spacing w:after="0"/>
              <w:rPr>
                <w:sz w:val="22"/>
                <w:szCs w:val="22"/>
                <w:color w:val="auto"/>
              </w:rPr>
            </w:pPr>
          </w:p>
        </w:tc>
      </w:tr>
      <w:tr>
        <w:trPr>
          <w:trHeight w:val="210"/>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OPERATING PROFIT</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219,842</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175,154</w:t>
            </w:r>
          </w:p>
        </w:tc>
        <w:tc>
          <w:tcPr>
            <w:tcW w:w="240" w:type="dxa"/>
            <w:vAlign w:val="bottom"/>
            <w:shd w:val="clear" w:color="auto" w:fill="CCEEFF"/>
          </w:tcPr>
          <w:p>
            <w:pPr>
              <w:spacing w:after="0"/>
              <w:rPr>
                <w:sz w:val="18"/>
                <w:szCs w:val="18"/>
                <w:color w:val="auto"/>
              </w:rPr>
            </w:pP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INTEREST EXPENSE, NET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(7,840)</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(11,857)</w:t>
            </w: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FINANCING EXPENSE, NET</w:t>
            </w:r>
          </w:p>
        </w:tc>
        <w:tc>
          <w:tcPr>
            <w:tcW w:w="2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(7,607)</w:t>
            </w:r>
          </w:p>
        </w:tc>
        <w:tc>
          <w:tcPr>
            <w:tcW w:w="3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(12,492)</w:t>
            </w: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GAIN FROM ACQUISITION, NET</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23"/>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OTHER INCOME (EXPENSE), NET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(2,627)</w:t>
            </w:r>
          </w:p>
        </w:tc>
        <w:tc>
          <w:tcPr>
            <w:tcW w:w="340" w:type="dxa"/>
            <w:vAlign w:val="bottom"/>
            <w:shd w:val="clear" w:color="auto" w:fill="CCEEFF"/>
          </w:tcPr>
          <w:p>
            <w:pPr>
              <w:spacing w:after="0"/>
              <w:rPr>
                <w:sz w:val="19"/>
                <w:szCs w:val="19"/>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9,322</w:t>
            </w:r>
          </w:p>
        </w:tc>
        <w:tc>
          <w:tcPr>
            <w:tcW w:w="240" w:type="dxa"/>
            <w:vAlign w:val="bottom"/>
            <w:shd w:val="clear" w:color="auto" w:fill="CCEEFF"/>
          </w:tcPr>
          <w:p>
            <w:pPr>
              <w:spacing w:after="0"/>
              <w:rPr>
                <w:sz w:val="19"/>
                <w:szCs w:val="19"/>
                <w:color w:val="auto"/>
              </w:rPr>
            </w:pPr>
          </w:p>
        </w:tc>
      </w:tr>
      <w:tr>
        <w:trPr>
          <w:trHeight w:val="216"/>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16"/>
        </w:trPr>
        <w:tc>
          <w:tcPr>
            <w:tcW w:w="85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260" w:type="dxa"/>
            <w:vAlign w:val="bottom"/>
            <w:shd w:val="clear" w:color="auto" w:fill="CCEEFF"/>
          </w:tcPr>
          <w:p>
            <w:pPr>
              <w:spacing w:after="0"/>
              <w:rPr>
                <w:sz w:val="18"/>
                <w:szCs w:val="18"/>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201,768</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210,598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INCOME TAX BENEFIT (EXPENSE), NET</w:t>
            </w:r>
          </w:p>
        </w:tc>
        <w:tc>
          <w:tcPr>
            <w:tcW w:w="260" w:type="dxa"/>
            <w:vAlign w:val="bottom"/>
            <w:shd w:val="clear" w:color="auto" w:fill="CCEEFF"/>
          </w:tcPr>
          <w:p>
            <w:pPr>
              <w:spacing w:after="0"/>
              <w:rPr>
                <w:sz w:val="19"/>
                <w:szCs w:val="19"/>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99,888</w:t>
            </w:r>
          </w:p>
        </w:tc>
        <w:tc>
          <w:tcPr>
            <w:tcW w:w="3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(1,432)</w:t>
            </w:r>
          </w:p>
        </w:tc>
      </w:tr>
      <w:tr>
        <w:trPr>
          <w:trHeight w:val="216"/>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70"/>
        </w:trPr>
        <w:tc>
          <w:tcPr>
            <w:tcW w:w="85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260" w:type="dxa"/>
            <w:vAlign w:val="bottom"/>
            <w:shd w:val="clear" w:color="auto" w:fill="CCEEFF"/>
          </w:tcPr>
          <w:p>
            <w:pPr>
              <w:spacing w:after="0"/>
              <w:rPr>
                <w:sz w:val="23"/>
                <w:szCs w:val="23"/>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301,656</w:t>
            </w:r>
          </w:p>
        </w:tc>
        <w:tc>
          <w:tcPr>
            <w:tcW w:w="3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340" w:type="dxa"/>
            <w:vAlign w:val="bottom"/>
            <w:shd w:val="clear" w:color="auto" w:fill="CCEEFF"/>
          </w:tcPr>
          <w:p>
            <w:pPr>
              <w:spacing w:after="0"/>
              <w:rPr>
                <w:sz w:val="23"/>
                <w:szCs w:val="23"/>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209,166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(c)</w:t>
            </w:r>
          </w:p>
        </w:tc>
      </w:tr>
      <w:tr>
        <w:trPr>
          <w:trHeight w:val="216"/>
        </w:trPr>
        <w:tc>
          <w:tcPr>
            <w:tcW w:w="8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r>
      <w:tr>
        <w:trPr>
          <w:trHeight w:val="223"/>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b w:val="1"/>
                <w:bCs w:val="1"/>
                <w:color w:val="auto"/>
              </w:rPr>
              <w:t>(3,645)</w:t>
            </w:r>
          </w:p>
        </w:tc>
        <w:tc>
          <w:tcPr>
            <w:tcW w:w="3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(5,242)</w:t>
            </w:r>
          </w:p>
        </w:tc>
      </w:tr>
      <w:tr>
        <w:trPr>
          <w:trHeight w:val="216"/>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57"/>
        </w:trPr>
        <w:tc>
          <w:tcPr>
            <w:tcW w:w="8500" w:type="dxa"/>
            <w:vAlign w:val="bottom"/>
            <w:tcBorders>
              <w:right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NET PROFIT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298,011</w:t>
            </w:r>
          </w:p>
        </w:tc>
        <w:tc>
          <w:tcPr>
            <w:tcW w:w="3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203,924</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(c)</w:t>
            </w:r>
          </w:p>
        </w:tc>
      </w:tr>
      <w:tr>
        <w:trPr>
          <w:trHeight w:val="210"/>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57"/>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w:t>
            </w:r>
          </w:p>
        </w:tc>
        <w:tc>
          <w:tcPr>
            <w:tcW w:w="3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(c)</w:t>
            </w:r>
          </w:p>
        </w:tc>
      </w:tr>
      <w:tr>
        <w:trPr>
          <w:trHeight w:val="210"/>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97"/>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60" w:type="dxa"/>
            <w:vAlign w:val="bottom"/>
            <w:shd w:val="clear" w:color="auto" w:fill="CCEEFF"/>
          </w:tcPr>
          <w:p>
            <w:pPr>
              <w:spacing w:after="0"/>
              <w:rPr>
                <w:sz w:val="24"/>
                <w:szCs w:val="24"/>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96,647</w:t>
            </w:r>
          </w:p>
        </w:tc>
        <w:tc>
          <w:tcPr>
            <w:tcW w:w="36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87,480</w:t>
            </w:r>
          </w:p>
        </w:tc>
        <w:tc>
          <w:tcPr>
            <w:tcW w:w="240" w:type="dxa"/>
            <w:vAlign w:val="bottom"/>
            <w:shd w:val="clear" w:color="auto" w:fill="CCEEFF"/>
          </w:tcPr>
          <w:p>
            <w:pPr>
              <w:spacing w:after="0"/>
              <w:rPr>
                <w:sz w:val="24"/>
                <w:szCs w:val="24"/>
                <w:color w:val="auto"/>
              </w:rPr>
            </w:pPr>
          </w:p>
        </w:tc>
      </w:tr>
      <w:tr>
        <w:trPr>
          <w:trHeight w:val="210"/>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57"/>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2.90</w:t>
            </w:r>
          </w:p>
        </w:tc>
        <w:tc>
          <w:tcPr>
            <w:tcW w:w="3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(c)</w:t>
            </w:r>
          </w:p>
        </w:tc>
      </w:tr>
      <w:tr>
        <w:trPr>
          <w:trHeight w:val="210"/>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57"/>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306,905</w:t>
            </w:r>
          </w:p>
        </w:tc>
        <w:tc>
          <w:tcPr>
            <w:tcW w:w="360" w:type="dxa"/>
            <w:vAlign w:val="bottom"/>
            <w:shd w:val="clear" w:color="auto" w:fill="CCEEFF"/>
          </w:tcPr>
          <w:p>
            <w:pPr>
              <w:jc w:val="center"/>
              <w:ind w:right="10"/>
              <w:spacing w:after="0"/>
              <w:rPr>
                <w:sz w:val="20"/>
                <w:szCs w:val="20"/>
                <w:color w:val="auto"/>
              </w:rPr>
            </w:pPr>
            <w:r>
              <w:rPr>
                <w:rFonts w:ascii="Arial" w:cs="Arial" w:eastAsia="Arial" w:hAnsi="Arial"/>
                <w:sz w:val="18"/>
                <w:szCs w:val="18"/>
                <w:b w:val="1"/>
                <w:bCs w:val="1"/>
                <w:color w:val="auto"/>
                <w:w w:val="95"/>
              </w:rPr>
              <w:t>(b)</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212,160</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(c)</w:t>
            </w:r>
          </w:p>
        </w:tc>
      </w:tr>
      <w:tr>
        <w:trPr>
          <w:trHeight w:val="210"/>
        </w:trPr>
        <w:tc>
          <w:tcPr>
            <w:tcW w:w="8500" w:type="dxa"/>
            <w:vAlign w:val="bottom"/>
            <w:tcBorders>
              <w:top w:val="single" w:sz="8" w:color="CCEEFF"/>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r>
      <w:tr>
        <w:trPr>
          <w:trHeight w:val="264"/>
        </w:trPr>
        <w:tc>
          <w:tcPr>
            <w:tcW w:w="8500" w:type="dxa"/>
            <w:vAlign w:val="bottom"/>
            <w:tcBorders>
              <w:right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60" w:type="dxa"/>
            <w:vAlign w:val="bottom"/>
            <w:shd w:val="clear" w:color="auto" w:fill="CCEEFF"/>
          </w:tcPr>
          <w:p>
            <w:pPr>
              <w:spacing w:after="0"/>
              <w:rPr>
                <w:sz w:val="22"/>
                <w:szCs w:val="22"/>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105,947</w:t>
            </w:r>
          </w:p>
        </w:tc>
        <w:tc>
          <w:tcPr>
            <w:tcW w:w="36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101,303</w:t>
            </w:r>
          </w:p>
        </w:tc>
        <w:tc>
          <w:tcPr>
            <w:tcW w:w="240" w:type="dxa"/>
            <w:vAlign w:val="bottom"/>
            <w:shd w:val="clear" w:color="auto" w:fill="CCEEFF"/>
          </w:tcPr>
          <w:p>
            <w:pPr>
              <w:spacing w:after="0"/>
              <w:rPr>
                <w:sz w:val="22"/>
                <w:szCs w:val="22"/>
                <w:color w:val="auto"/>
              </w:rPr>
            </w:pPr>
          </w:p>
        </w:tc>
      </w:tr>
      <w:tr>
        <w:trPr>
          <w:trHeight w:val="20"/>
        </w:trPr>
        <w:tc>
          <w:tcPr>
            <w:tcW w:w="85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r>
    </w:tbl>
    <w:p>
      <w:pPr>
        <w:spacing w:after="0" w:line="225" w:lineRule="exact"/>
        <w:rPr>
          <w:sz w:val="20"/>
          <w:szCs w:val="20"/>
          <w:color w:val="auto"/>
        </w:rPr>
      </w:pPr>
    </w:p>
    <w:p>
      <w:pPr>
        <w:ind w:left="360" w:right="300" w:hanging="352"/>
        <w:spacing w:after="0" w:line="261" w:lineRule="auto"/>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Year ended December 31, 2017 included $82,370 tax benefit resulted from Israeli deferred tax asset realization following valuation allowance release and $12,970 income tax benefit related to U.S. tax reform.</w:t>
      </w: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Year ended December 31, 2016 included $50,471 net gain from San-Antonio fab acquisition from Maxim.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12" w:name="page13"/>
    <w:bookmarkEnd w:id="12"/>
    <w:p>
      <w:pPr>
        <w:ind w:left="336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2920"/>
        <w:spacing w:after="0"/>
        <w:rPr>
          <w:sz w:val="20"/>
          <w:szCs w:val="20"/>
          <w:color w:val="auto"/>
        </w:rPr>
      </w:pPr>
      <w:r>
        <w:rPr>
          <w:rFonts w:ascii="Arial" w:cs="Arial" w:eastAsia="Arial" w:hAnsi="Arial"/>
          <w:sz w:val="18"/>
          <w:szCs w:val="18"/>
          <w:b w:val="1"/>
          <w:bCs w:val="1"/>
          <w:color w:val="auto"/>
        </w:rPr>
        <w:t>UNAUDITED RECONCILIATION OF CERTAIN FINANCIAL DATA</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gridSpan w:val="4"/>
          </w:tcPr>
          <w:p>
            <w:pPr>
              <w:ind w:left="3360"/>
              <w:spacing w:after="0"/>
              <w:rPr>
                <w:sz w:val="20"/>
                <w:szCs w:val="20"/>
                <w:color w:val="auto"/>
              </w:rPr>
            </w:pPr>
            <w:r>
              <w:rPr>
                <w:rFonts w:ascii="Arial" w:cs="Arial" w:eastAsia="Arial" w:hAnsi="Arial"/>
                <w:sz w:val="18"/>
                <w:szCs w:val="18"/>
                <w:b w:val="1"/>
                <w:bCs w:val="1"/>
                <w:color w:val="auto"/>
              </w:rPr>
              <w:t>(dollars and share count in thousands, except per share data)</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7"/>
          </w:tcPr>
          <w:p>
            <w:pPr>
              <w:jc w:val="center"/>
              <w:ind w:left="550"/>
              <w:spacing w:after="0"/>
              <w:rPr>
                <w:sz w:val="20"/>
                <w:szCs w:val="20"/>
                <w:color w:val="auto"/>
              </w:rPr>
            </w:pPr>
            <w:r>
              <w:rPr>
                <w:rFonts w:ascii="Arial" w:cs="Arial" w:eastAsia="Arial" w:hAnsi="Arial"/>
                <w:sz w:val="18"/>
                <w:szCs w:val="18"/>
                <w:b w:val="1"/>
                <w:bCs w:val="1"/>
                <w:color w:val="auto"/>
                <w:w w:val="93"/>
              </w:rPr>
              <w:t>Three months ended</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2"/>
              </w:rPr>
              <w:t>December 31,</w:t>
            </w:r>
          </w:p>
        </w:tc>
        <w:tc>
          <w:tcPr>
            <w:tcW w:w="124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September 30,</w:t>
            </w:r>
          </w:p>
        </w:tc>
        <w:tc>
          <w:tcPr>
            <w:tcW w:w="1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b w:val="1"/>
                <w:bCs w:val="1"/>
                <w:color w:val="auto"/>
                <w:w w:val="90"/>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7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147,211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55,274</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48,281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3,481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3,750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2,161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Non-recurring items related to long term investments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3,009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shd w:val="clear" w:color="auto" w:fill="CCEEFF"/>
          </w:tcPr>
          <w:p>
            <w:pPr>
              <w:ind w:left="320"/>
              <w:spacing w:after="0" w:line="198" w:lineRule="exact"/>
              <w:rPr>
                <w:sz w:val="20"/>
                <w:szCs w:val="20"/>
                <w:color w:val="auto"/>
              </w:rPr>
            </w:pPr>
            <w:r>
              <w:rPr>
                <w:rFonts w:ascii="Arial" w:cs="Arial" w:eastAsia="Arial" w:hAnsi="Arial"/>
                <w:sz w:val="18"/>
                <w:szCs w:val="18"/>
                <w:b w:val="1"/>
                <w:bCs w:val="1"/>
                <w:color w:val="auto"/>
                <w:w w:val="93"/>
              </w:rPr>
              <w:t>Income tax benefit resulted from Israeli deferred tax asset realization following valuation</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allowance release as described above</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(82,370)</w:t>
            </w: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Income tax benefit related to U.S. tax reform</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(12,970)</w:t>
            </w: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59,925</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61,185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53,439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ADJUSTED NET PROFIT PER SHARE:</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0.61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0.59</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0.58</w:t>
            </w:r>
          </w:p>
        </w:tc>
        <w:tc>
          <w:tcPr>
            <w:tcW w:w="220" w:type="dxa"/>
            <w:vAlign w:val="bottom"/>
          </w:tcPr>
          <w:p>
            <w:pPr>
              <w:spacing w:after="0"/>
              <w:rPr>
                <w:sz w:val="23"/>
                <w:szCs w:val="23"/>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0.60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0.54</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Fully diluted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0.58</w:t>
            </w:r>
          </w:p>
        </w:tc>
        <w:tc>
          <w:tcPr>
            <w:tcW w:w="2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0.59</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 USED TO CALCULATE PER SHARE DATA:</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59,925</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61,185</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53,439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62,216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63,430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62,216</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63,430</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55,555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42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NUMBER OF SHARES AND OTHER SECURITIES USED TO CALCULATE PER</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SHARE DATA:</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98,312</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97,947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91,235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106,776</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106,384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Fully diluted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107,721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107,729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107,121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EBITDA CALCULATION: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54,486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55,202</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47,741</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47,544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44,874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3,481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3,750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2,381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1,564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2,161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2,777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jc w:val="right"/>
              <w:ind w:right="84"/>
              <w:spacing w:after="0"/>
              <w:rPr>
                <w:sz w:val="20"/>
                <w:szCs w:val="20"/>
                <w:color w:val="auto"/>
              </w:rPr>
            </w:pPr>
            <w:r>
              <w:rPr>
                <w:rFonts w:ascii="Arial" w:cs="Arial" w:eastAsia="Arial" w:hAnsi="Arial"/>
                <w:sz w:val="15"/>
                <w:szCs w:val="15"/>
                <w:b w:val="1"/>
                <w:bCs w:val="1"/>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107,272</w:t>
            </w:r>
          </w:p>
        </w:tc>
        <w:tc>
          <w:tcPr>
            <w:tcW w:w="22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108,657</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105,234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CERTAIN FINANCIAL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and share count in thousands, except per share data)</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20" w:type="dxa"/>
            <w:vAlign w:val="bottom"/>
            <w:gridSpan w:val="2"/>
          </w:tcPr>
          <w:p>
            <w:pPr>
              <w:spacing w:after="0"/>
              <w:rPr>
                <w:sz w:val="4"/>
                <w:szCs w:val="4"/>
                <w:color w:val="auto"/>
              </w:rPr>
            </w:pPr>
          </w:p>
        </w:tc>
        <w:tc>
          <w:tcPr>
            <w:tcW w:w="1240" w:type="dxa"/>
            <w:vAlign w:val="bottom"/>
            <w:gridSpan w:val="3"/>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2260" w:type="dxa"/>
            <w:vAlign w:val="bottom"/>
            <w:tcBorders>
              <w:top w:val="single" w:sz="8" w:color="auto"/>
              <w:bottom w:val="single" w:sz="8" w:color="auto"/>
            </w:tcBorders>
            <w:gridSpan w:val="5"/>
          </w:tcPr>
          <w:p>
            <w:pPr>
              <w:jc w:val="right"/>
              <w:ind w:right="650"/>
              <w:spacing w:after="0"/>
              <w:rPr>
                <w:sz w:val="20"/>
                <w:szCs w:val="20"/>
                <w:color w:val="auto"/>
              </w:rPr>
            </w:pPr>
            <w:r>
              <w:rPr>
                <w:rFonts w:ascii="Arial" w:cs="Arial" w:eastAsia="Arial" w:hAnsi="Arial"/>
                <w:sz w:val="18"/>
                <w:szCs w:val="18"/>
                <w:b w:val="1"/>
                <w:bCs w:val="1"/>
                <w:color w:val="auto"/>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gridSpan w:val="2"/>
          </w:tcPr>
          <w:p>
            <w:pPr>
              <w:spacing w:after="0"/>
              <w:rPr>
                <w:sz w:val="18"/>
                <w:szCs w:val="18"/>
                <w:color w:val="auto"/>
              </w:rPr>
            </w:pPr>
          </w:p>
        </w:tc>
        <w:tc>
          <w:tcPr>
            <w:tcW w:w="9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298,011</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203,924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Financing cost resulted from banks loans early repayment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Gain from acquisition, net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(50,471)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Non-recurring items related to long term investments</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3,009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2,378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800" w:type="dxa"/>
            <w:vAlign w:val="bottom"/>
            <w:shd w:val="clear" w:color="auto" w:fill="CCEEFF"/>
          </w:tcPr>
          <w:p>
            <w:pPr>
              <w:ind w:left="320"/>
              <w:spacing w:after="0" w:line="198" w:lineRule="exact"/>
              <w:rPr>
                <w:sz w:val="20"/>
                <w:szCs w:val="20"/>
                <w:color w:val="auto"/>
              </w:rPr>
            </w:pPr>
            <w:r>
              <w:rPr>
                <w:rFonts w:ascii="Arial" w:cs="Arial" w:eastAsia="Arial" w:hAnsi="Arial"/>
                <w:sz w:val="18"/>
                <w:szCs w:val="18"/>
                <w:b w:val="1"/>
                <w:bCs w:val="1"/>
                <w:color w:val="auto"/>
                <w:w w:val="92"/>
              </w:rPr>
              <w:t>Income tax benefit resulted from Israeli deferred tax asset realization following valuation allowance release</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as described above</w:t>
            </w:r>
          </w:p>
        </w:tc>
        <w:tc>
          <w:tcPr>
            <w:tcW w:w="24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(82,370)</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Income tax benefit related to U.S. tax reform</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(12,970)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Income tax benefit in relation to Nishiwaki closure</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225,635</w:t>
            </w:r>
          </w:p>
        </w:tc>
        <w:tc>
          <w:tcPr>
            <w:tcW w:w="14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175,198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ADJUSTED NET PROFIT PER SHARE: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2.33</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2.21</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2.18</w:t>
            </w: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ADJUSTED NET PROFIT USED TO CALCULATE PER SHARE DATA:</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225,635</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175,198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234,529</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Fully diluted</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234,529</w:t>
            </w: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183,434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NUMBER OF SHARES AND OTHER SECURITIES USED TO CALCULATE PER SHARE DATA:</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Basic</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96,647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87,480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Diluted</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105,947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Fully diluted</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107,721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107,121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b w:val="1"/>
                <w:bCs w:val="1"/>
                <w:color w:val="auto"/>
              </w:rPr>
              <w:t>EBITDA CALCULATION:</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219,842</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175,154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185,464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169,958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tcPr>
          <w:p>
            <w:pPr>
              <w:spacing w:after="0"/>
              <w:rPr>
                <w:sz w:val="18"/>
                <w:szCs w:val="18"/>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11,648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8,307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320"/>
              <w:spacing w:after="0"/>
              <w:rPr>
                <w:sz w:val="20"/>
                <w:szCs w:val="20"/>
                <w:color w:val="auto"/>
              </w:rPr>
            </w:pPr>
            <w:r>
              <w:rPr>
                <w:rFonts w:ascii="Arial" w:cs="Arial" w:eastAsia="Arial" w:hAnsi="Arial"/>
                <w:sz w:val="18"/>
                <w:szCs w:val="18"/>
                <w:b w:val="1"/>
                <w:bCs w:val="1"/>
                <w:color w:val="auto"/>
              </w:rPr>
              <w:t>Non-recurring items related to long term investments</w:t>
            </w: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spacing w:after="0"/>
              <w:rPr>
                <w:sz w:val="18"/>
                <w:szCs w:val="18"/>
                <w:color w:val="auto"/>
              </w:rPr>
            </w:pPr>
          </w:p>
        </w:tc>
        <w:tc>
          <w:tcPr>
            <w:tcW w:w="9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160"/>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425,261</w:t>
            </w:r>
          </w:p>
        </w:tc>
        <w:tc>
          <w:tcPr>
            <w:tcW w:w="140" w:type="dxa"/>
            <w:vAlign w:val="bottom"/>
          </w:tcPr>
          <w:p>
            <w:pPr>
              <w:spacing w:after="0"/>
              <w:rPr>
                <w:sz w:val="18"/>
                <w:szCs w:val="18"/>
                <w:color w:val="auto"/>
              </w:rPr>
            </w:pPr>
          </w:p>
        </w:tc>
        <w:tc>
          <w:tcPr>
            <w:tcW w:w="4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366,676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62"/>
        </w:trPr>
        <w:tc>
          <w:tcPr>
            <w:tcW w:w="20" w:type="dxa"/>
            <w:vAlign w:val="bottom"/>
          </w:tcPr>
          <w:p>
            <w:pPr>
              <w:spacing w:after="0"/>
              <w:rPr>
                <w:sz w:val="24"/>
                <w:szCs w:val="24"/>
                <w:color w:val="auto"/>
              </w:rPr>
            </w:pPr>
          </w:p>
        </w:tc>
        <w:tc>
          <w:tcPr>
            <w:tcW w:w="8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14" w:name="page15"/>
    <w:bookmarkEnd w:id="14"/>
    <w:p>
      <w:pPr>
        <w:ind w:left="344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ind w:left="3060"/>
        <w:spacing w:after="0"/>
        <w:rPr>
          <w:sz w:val="20"/>
          <w:szCs w:val="20"/>
          <w:color w:val="auto"/>
        </w:rPr>
      </w:pPr>
      <w:r>
        <w:rPr>
          <w:rFonts w:ascii="Arial" w:cs="Arial" w:eastAsia="Arial" w:hAnsi="Arial"/>
          <w:sz w:val="18"/>
          <w:szCs w:val="18"/>
          <w:b w:val="1"/>
          <w:bCs w:val="1"/>
          <w:color w:val="auto"/>
        </w:rPr>
        <w:t>CONSOLIDATED SOURCES AND USES REPORT (UNAUDITED)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82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40" w:type="dxa"/>
            <w:vAlign w:val="bottom"/>
            <w:gridSpan w:val="7"/>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tcBorders>
              <w:top w:val="single" w:sz="8" w:color="auto"/>
            </w:tcBorders>
            <w:gridSpan w:val="5"/>
          </w:tcPr>
          <w:p>
            <w:pPr>
              <w:jc w:val="right"/>
              <w:ind w:right="260"/>
              <w:spacing w:after="0"/>
              <w:rPr>
                <w:sz w:val="20"/>
                <w:szCs w:val="20"/>
                <w:color w:val="auto"/>
              </w:rPr>
            </w:pPr>
            <w:r>
              <w:rPr>
                <w:rFonts w:ascii="Arial" w:cs="Arial" w:eastAsia="Arial" w:hAnsi="Arial"/>
                <w:sz w:val="18"/>
                <w:szCs w:val="18"/>
                <w:b w:val="1"/>
                <w:bCs w:val="1"/>
                <w:color w:val="auto"/>
                <w:w w:val="90"/>
              </w:rPr>
              <w:t>December 31,</w:t>
            </w: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short-term deposits - beginning of period</w:t>
            </w:r>
          </w:p>
        </w:tc>
        <w:tc>
          <w:tcPr>
            <w:tcW w:w="214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480,407</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362,833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from operations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85,285</w:t>
            </w: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81,835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(41,349)</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3,278</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(16,863)</w:t>
            </w: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70</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(17,353)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Investments in marketable securities and deposits</w:t>
            </w:r>
          </w:p>
        </w:tc>
        <w:tc>
          <w:tcPr>
            <w:tcW w:w="1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(64,867)</w:t>
            </w: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Cash and short-term deposits - end of period</w:t>
            </w: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445,961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389,377</w:t>
            </w:r>
          </w:p>
        </w:tc>
        <w:tc>
          <w:tcPr>
            <w:tcW w:w="0" w:type="dxa"/>
            <w:vAlign w:val="bottom"/>
          </w:tcPr>
          <w:p>
            <w:pPr>
              <w:spacing w:after="0"/>
              <w:rPr>
                <w:sz w:val="1"/>
                <w:szCs w:val="1"/>
                <w:color w:val="auto"/>
              </w:rPr>
            </w:pPr>
          </w:p>
        </w:tc>
      </w:tr>
      <w:tr>
        <w:trPr>
          <w:trHeight w:val="21"/>
        </w:trPr>
        <w:tc>
          <w:tcPr>
            <w:tcW w:w="6840" w:type="dxa"/>
            <w:vAlign w:val="bottom"/>
            <w:gridSpan w:val="2"/>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320" w:type="dxa"/>
            <w:vAlign w:val="bottom"/>
            <w:gridSpan w:val="3"/>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140" w:type="dxa"/>
            <w:vAlign w:val="bottom"/>
            <w:gridSpan w:val="4"/>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43,936</w:t>
            </w:r>
          </w:p>
        </w:tc>
        <w:tc>
          <w:tcPr>
            <w:tcW w:w="20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38,906</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68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5"/>
          </w:tcPr>
          <w:p>
            <w:pPr>
              <w:jc w:val="right"/>
              <w:ind w:right="1"/>
              <w:spacing w:after="0"/>
              <w:rPr>
                <w:sz w:val="20"/>
                <w:szCs w:val="20"/>
                <w:color w:val="auto"/>
              </w:rPr>
            </w:pPr>
            <w:r>
              <w:rPr>
                <w:rFonts w:ascii="Arial" w:cs="Arial" w:eastAsia="Arial" w:hAnsi="Arial"/>
                <w:sz w:val="18"/>
                <w:szCs w:val="18"/>
                <w:b w:val="1"/>
                <w:bCs w:val="1"/>
                <w:color w:val="auto"/>
              </w:rPr>
              <w:t>Year ended</w:t>
            </w:r>
          </w:p>
        </w:tc>
        <w:tc>
          <w:tcPr>
            <w:tcW w:w="8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520" w:type="dxa"/>
            <w:vAlign w:val="bottom"/>
            <w:gridSpan w:val="7"/>
          </w:tcPr>
          <w:p>
            <w:pPr>
              <w:jc w:val="right"/>
              <w:ind w:right="420"/>
              <w:spacing w:after="0"/>
              <w:rPr>
                <w:sz w:val="20"/>
                <w:szCs w:val="20"/>
                <w:color w:val="auto"/>
              </w:rPr>
            </w:pPr>
            <w:r>
              <w:rPr>
                <w:rFonts w:ascii="Arial" w:cs="Arial" w:eastAsia="Arial" w:hAnsi="Arial"/>
                <w:sz w:val="18"/>
                <w:szCs w:val="18"/>
                <w:b w:val="1"/>
                <w:bCs w:val="1"/>
                <w:color w:val="auto"/>
                <w:w w:val="92"/>
              </w:rPr>
              <w:t>December 31,</w:t>
            </w:r>
          </w:p>
        </w:tc>
        <w:tc>
          <w:tcPr>
            <w:tcW w:w="11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Pr>
          <w:p>
            <w:pPr>
              <w:spacing w:after="0"/>
              <w:rPr>
                <w:sz w:val="18"/>
                <w:szCs w:val="18"/>
                <w:color w:val="auto"/>
              </w:rPr>
            </w:pPr>
          </w:p>
        </w:tc>
        <w:tc>
          <w:tcPr>
            <w:tcW w:w="1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short-term deposits - beginning of period</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389,377</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4"/>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Cash from operations</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w w:val="98"/>
              </w:rPr>
              <w:t>355,635 (d)</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327,468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(164,717)</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(209,624)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31,315</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Debt received (repaid), net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(50,255)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37,091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1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3,720</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20" w:type="dxa"/>
            <w:vAlign w:val="bottom"/>
          </w:tcPr>
          <w:p>
            <w:pPr>
              <w:ind w:left="160"/>
              <w:spacing w:after="0"/>
              <w:rPr>
                <w:sz w:val="20"/>
                <w:szCs w:val="20"/>
                <w:color w:val="auto"/>
              </w:rPr>
            </w:pPr>
            <w:r>
              <w:rPr>
                <w:rFonts w:ascii="Arial" w:cs="Arial" w:eastAsia="Arial" w:hAnsi="Arial"/>
                <w:sz w:val="18"/>
                <w:szCs w:val="18"/>
                <w:b w:val="1"/>
                <w:bCs w:val="1"/>
                <w:color w:val="auto"/>
              </w:rPr>
              <w:t>TPSCo dividend to Panasonic</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(4,378)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marketable securities and deposits</w:t>
            </w:r>
          </w:p>
        </w:tc>
        <w:tc>
          <w:tcPr>
            <w:tcW w:w="18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(114,736)</w:t>
            </w:r>
          </w:p>
        </w:tc>
        <w:tc>
          <w:tcPr>
            <w:tcW w:w="20" w:type="dxa"/>
            <w:vAlign w:val="bottom"/>
            <w:shd w:val="clear" w:color="auto" w:fill="CCEEFF"/>
          </w:tcPr>
          <w:p>
            <w:pPr>
              <w:spacing w:after="0"/>
              <w:rPr>
                <w:sz w:val="19"/>
                <w:szCs w:val="19"/>
                <w:color w:val="auto"/>
              </w:rPr>
            </w:pPr>
          </w:p>
        </w:tc>
        <w:tc>
          <w:tcPr>
            <w:tcW w:w="200" w:type="dxa"/>
            <w:vAlign w:val="bottom"/>
            <w:tcBorders>
              <w:right w:val="single" w:sz="8" w:color="CCEEFF"/>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short-term deposits - end of period</w:t>
            </w:r>
          </w:p>
        </w:tc>
        <w:tc>
          <w:tcPr>
            <w:tcW w:w="18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445,961</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00" w:type="dxa"/>
            <w:vAlign w:val="bottom"/>
            <w:tcBorders>
              <w:right w:val="single" w:sz="8" w:color="CCEEFF"/>
            </w:tcBorders>
            <w:shd w:val="clear" w:color="auto" w:fill="CCEEFF"/>
          </w:tcPr>
          <w:p>
            <w:pPr>
              <w:spacing w:after="0"/>
              <w:rPr>
                <w:sz w:val="22"/>
                <w:szCs w:val="22"/>
                <w:color w:val="auto"/>
              </w:rPr>
            </w:pP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389,377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820" w:type="dxa"/>
            <w:vAlign w:val="bottom"/>
            <w:tcBorders>
              <w:top w:val="single" w:sz="8" w:color="CCEEFF"/>
            </w:tcBorders>
          </w:tcPr>
          <w:p>
            <w:pPr>
              <w:spacing w:after="0"/>
              <w:rPr>
                <w:sz w:val="18"/>
                <w:szCs w:val="18"/>
                <w:color w:val="auto"/>
              </w:rPr>
            </w:pPr>
          </w:p>
        </w:tc>
        <w:tc>
          <w:tcPr>
            <w:tcW w:w="18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gridSpan w:val="3"/>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Free Cash Flow</w:t>
            </w:r>
          </w:p>
        </w:tc>
        <w:tc>
          <w:tcPr>
            <w:tcW w:w="18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tcBorders>
              <w:right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w w:val="98"/>
              </w:rPr>
              <w:t>190,918 (d)</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b w:val="1"/>
                <w:bCs w:val="1"/>
                <w:color w:val="auto"/>
                <w:w w:val="71"/>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117,844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20" w:type="dxa"/>
            <w:vAlign w:val="bottom"/>
            <w:tcBorders>
              <w:top w:val="single" w:sz="8" w:color="CCEEFF"/>
            </w:tcBorders>
            <w:shd w:val="clear" w:color="auto" w:fill="CCEEFF"/>
          </w:tcPr>
          <w:p>
            <w:pPr>
              <w:spacing w:after="0" w:line="20" w:lineRule="exact"/>
              <w:rPr>
                <w:sz w:val="1"/>
                <w:szCs w:val="1"/>
                <w:color w:val="auto"/>
              </w:rPr>
            </w:pPr>
          </w:p>
        </w:tc>
        <w:tc>
          <w:tcPr>
            <w:tcW w:w="18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 Cash from operations for the year ended December 31, 2017 included $18,000 received from Tacoma as announced on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479425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center"/>
        <w:ind w:right="80"/>
        <w:spacing w:after="0"/>
        <w:rPr>
          <w:sz w:val="20"/>
          <w:szCs w:val="20"/>
          <w:color w:val="auto"/>
        </w:rPr>
      </w:pPr>
      <w:r>
        <w:rPr>
          <w:rFonts w:ascii="Arial" w:cs="Arial" w:eastAsia="Arial" w:hAnsi="Arial"/>
          <w:sz w:val="18"/>
          <w:szCs w:val="18"/>
          <w:b w:val="1"/>
          <w:bCs w:val="1"/>
          <w:color w:val="auto"/>
        </w:rPr>
        <w:t>TOWER SEMICONDUCTOR LTD.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740" w:type="dxa"/>
            <w:vAlign w:val="bottom"/>
            <w:gridSpan w:val="3"/>
          </w:tcPr>
          <w:p>
            <w:pPr>
              <w:jc w:val="right"/>
              <w:spacing w:after="0"/>
              <w:rPr>
                <w:sz w:val="20"/>
                <w:szCs w:val="20"/>
                <w:color w:val="auto"/>
              </w:rPr>
            </w:pPr>
            <w:r>
              <w:rPr>
                <w:rFonts w:ascii="Arial" w:cs="Arial" w:eastAsia="Arial" w:hAnsi="Arial"/>
                <w:sz w:val="18"/>
                <w:szCs w:val="18"/>
                <w:b w:val="1"/>
                <w:bCs w:val="1"/>
                <w:color w:val="auto"/>
              </w:rPr>
              <w:t>Year ended</w:t>
            </w: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1400" w:type="dxa"/>
            <w:vAlign w:val="bottom"/>
            <w:tcBorders>
              <w:top w:val="single" w:sz="8" w:color="auto"/>
            </w:tcBorders>
            <w:gridSpan w:val="2"/>
          </w:tcPr>
          <w:p>
            <w:pPr>
              <w:jc w:val="right"/>
              <w:ind w:right="500"/>
              <w:spacing w:after="0" w:line="198" w:lineRule="exact"/>
              <w:rPr>
                <w:sz w:val="20"/>
                <w:szCs w:val="20"/>
                <w:color w:val="auto"/>
              </w:rPr>
            </w:pPr>
            <w:r>
              <w:rPr>
                <w:rFonts w:ascii="Arial" w:cs="Arial" w:eastAsia="Arial" w:hAnsi="Arial"/>
                <w:sz w:val="18"/>
                <w:szCs w:val="18"/>
                <w:b w:val="1"/>
                <w:bCs w:val="1"/>
                <w:color w:val="auto"/>
              </w:rPr>
              <w:t>December</w:t>
            </w:r>
          </w:p>
        </w:tc>
        <w:tc>
          <w:tcPr>
            <w:tcW w:w="1140" w:type="dxa"/>
            <w:vAlign w:val="bottom"/>
            <w:tcBorders>
              <w:top w:val="single" w:sz="8" w:color="auto"/>
            </w:tcBorders>
            <w:gridSpan w:val="2"/>
          </w:tcPr>
          <w:p>
            <w:pPr>
              <w:jc w:val="right"/>
              <w:spacing w:after="0" w:line="198" w:lineRule="exact"/>
              <w:rPr>
                <w:sz w:val="20"/>
                <w:szCs w:val="20"/>
                <w:color w:val="auto"/>
              </w:rPr>
            </w:pPr>
            <w:r>
              <w:rPr>
                <w:rFonts w:ascii="Arial" w:cs="Arial" w:eastAsia="Arial" w:hAnsi="Arial"/>
                <w:sz w:val="18"/>
                <w:szCs w:val="18"/>
                <w:b w:val="1"/>
                <w:bCs w:val="1"/>
                <w:color w:val="auto"/>
                <w:w w:val="90"/>
              </w:rPr>
              <w:t>December 31,</w:t>
            </w:r>
          </w:p>
        </w:tc>
        <w:tc>
          <w:tcPr>
            <w:tcW w:w="200" w:type="dxa"/>
            <w:vAlign w:val="bottom"/>
          </w:tcPr>
          <w:p>
            <w:pPr>
              <w:spacing w:after="0"/>
              <w:rPr>
                <w:sz w:val="17"/>
                <w:szCs w:val="17"/>
                <w:color w:val="auto"/>
              </w:rPr>
            </w:pPr>
          </w:p>
        </w:tc>
        <w:tc>
          <w:tcPr>
            <w:tcW w:w="1280" w:type="dxa"/>
            <w:vAlign w:val="bottom"/>
            <w:tcBorders>
              <w:top w:val="single" w:sz="8" w:color="auto"/>
            </w:tcBorders>
            <w:gridSpan w:val="3"/>
          </w:tcPr>
          <w:p>
            <w:pPr>
              <w:jc w:val="center"/>
              <w:ind w:right="140"/>
              <w:spacing w:after="0" w:line="198" w:lineRule="exact"/>
              <w:rPr>
                <w:sz w:val="20"/>
                <w:szCs w:val="20"/>
                <w:color w:val="auto"/>
              </w:rPr>
            </w:pPr>
            <w:r>
              <w:rPr>
                <w:rFonts w:ascii="Arial" w:cs="Arial" w:eastAsia="Arial" w:hAnsi="Arial"/>
                <w:sz w:val="18"/>
                <w:szCs w:val="18"/>
                <w:b w:val="1"/>
                <w:bCs w:val="1"/>
                <w:color w:val="auto"/>
                <w:w w:val="90"/>
              </w:rPr>
              <w:t>December 31,</w:t>
            </w:r>
          </w:p>
        </w:tc>
        <w:tc>
          <w:tcPr>
            <w:tcW w:w="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gridSpan w:val="2"/>
          </w:tcPr>
          <w:p>
            <w:pPr>
              <w:jc w:val="center"/>
              <w:spacing w:after="0" w:line="198" w:lineRule="exact"/>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31,</w:t>
            </w:r>
          </w:p>
        </w:tc>
        <w:tc>
          <w:tcPr>
            <w:tcW w:w="3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4"/>
              </w:rPr>
              <w:t>2016</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10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180" w:type="dxa"/>
            <w:vAlign w:val="bottom"/>
            <w:gridSpan w:val="2"/>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301,656</w:t>
            </w: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209,166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148,642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10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10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208,411</w:t>
            </w: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197,606</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51,310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Arial" w:cs="Arial" w:eastAsia="Arial" w:hAnsi="Arial"/>
                <w:sz w:val="18"/>
                <w:szCs w:val="18"/>
                <w:b w:val="1"/>
                <w:bCs w:val="1"/>
                <w:color w:val="auto"/>
                <w:w w:val="92"/>
              </w:rPr>
              <w:t>Effect of indexation, translation and fair value measurement on debt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12,865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8,442</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2,281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expense (income), net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2,627</w:t>
            </w: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(9,322)</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3,027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Arial" w:cs="Arial" w:eastAsia="Arial" w:hAnsi="Arial"/>
                <w:sz w:val="18"/>
                <w:szCs w:val="18"/>
                <w:b w:val="1"/>
                <w:bCs w:val="1"/>
                <w:color w:val="auto"/>
              </w:rPr>
              <w:t>Gain from acquisition,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(50,471)</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10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(6,564)</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(30,104)</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788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(18,200)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current assets</w:t>
            </w:r>
          </w:p>
        </w:tc>
        <w:tc>
          <w:tcPr>
            <w:tcW w:w="14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(8,321)</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(265)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Arial" w:cs="Arial" w:eastAsia="Arial" w:hAnsi="Arial"/>
                <w:sz w:val="18"/>
                <w:szCs w:val="18"/>
                <w:b w:val="1"/>
                <w:bCs w:val="1"/>
                <w:color w:val="auto"/>
              </w:rPr>
              <w:t>Inventories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(4,277)</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(22,069)</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14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(8,649)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5,550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(2,786)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(7,347)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(21,803)</w:t>
            </w: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23,581</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(17,882)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14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(8,219)</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(145)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1,765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(3,247)</w:t>
            </w:r>
          </w:p>
        </w:tc>
        <w:tc>
          <w:tcPr>
            <w:tcW w:w="340" w:type="dxa"/>
            <w:vAlign w:val="bottom"/>
          </w:tcPr>
          <w:p>
            <w:pPr>
              <w:spacing w:after="0"/>
              <w:rPr>
                <w:sz w:val="18"/>
                <w:szCs w:val="18"/>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(798)</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(2,482)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tax, net</w:t>
            </w:r>
          </w:p>
        </w:tc>
        <w:tc>
          <w:tcPr>
            <w:tcW w:w="14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(108,844)</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(3,703)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(99,915)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2,375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355,635 (d)</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327,468</w:t>
            </w:r>
          </w:p>
        </w:tc>
        <w:tc>
          <w:tcPr>
            <w:tcW w:w="120" w:type="dxa"/>
            <w:vAlign w:val="bottom"/>
          </w:tcPr>
          <w:p>
            <w:pPr>
              <w:spacing w:after="0"/>
              <w:rPr>
                <w:sz w:val="19"/>
                <w:szCs w:val="19"/>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85,285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81,835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14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(164,717)</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(209,624)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(41,349)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(42,929)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Investments in marketable securities and deposits, net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(114,736)</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16,992</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(64,867)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(279,453)</w:t>
            </w:r>
          </w:p>
        </w:tc>
        <w:tc>
          <w:tcPr>
            <w:tcW w:w="380" w:type="dxa"/>
            <w:vAlign w:val="bottom"/>
            <w:tcBorders>
              <w:bottom w:val="single" w:sz="8" w:color="CCEEFF"/>
              <w:right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(192,632)</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(106,216)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(42,929)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10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Debt received (repaid), net</w:t>
            </w:r>
          </w:p>
        </w:tc>
        <w:tc>
          <w:tcPr>
            <w:tcW w:w="14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(50,255)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37,091</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(16,863)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b w:val="1"/>
                <w:bCs w:val="1"/>
                <w:color w:val="auto"/>
              </w:rPr>
              <w:t>Exercise of warrants and options, net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31,315</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38,803</w:t>
            </w: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3,278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Dividend payment to Panasonic</w:t>
            </w:r>
          </w:p>
        </w:tc>
        <w:tc>
          <w:tcPr>
            <w:tcW w:w="1400" w:type="dxa"/>
            <w:vAlign w:val="bottom"/>
            <w:tcBorders>
              <w:right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(4,378)</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(2,563)</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60" w:type="dxa"/>
            <w:vAlign w:val="bottom"/>
            <w:shd w:val="clear" w:color="auto" w:fill="CCEEFF"/>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80" w:type="dxa"/>
            <w:vAlign w:val="bottom"/>
            <w:tcBorders>
              <w:right w:val="single" w:sz="8" w:color="CCEEFF"/>
            </w:tcBorders>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Pr>
          <w:p>
            <w:pPr>
              <w:ind w:left="800"/>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(23,318)</w:t>
            </w:r>
          </w:p>
        </w:tc>
        <w:tc>
          <w:tcPr>
            <w:tcW w:w="34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73,331</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(13,585)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3,720</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5,635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(17,353)</w:t>
            </w: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b w:val="1"/>
                <w:bCs w:val="1"/>
                <w:color w:val="auto"/>
              </w:rPr>
              <w:t>INCREASE (DECREASE) IN CASH AND SHORT-TERM DEPOSITS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56,584</w:t>
            </w: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213,802</w:t>
            </w:r>
          </w:p>
        </w:tc>
        <w:tc>
          <w:tcPr>
            <w:tcW w:w="12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(34,446)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26,544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SHORT-TERM DEPOSITS - BEGINNING OF PERIOD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389,377</w:t>
            </w:r>
          </w:p>
        </w:tc>
        <w:tc>
          <w:tcPr>
            <w:tcW w:w="380" w:type="dxa"/>
            <w:vAlign w:val="bottom"/>
            <w:tcBorders>
              <w:right w:val="single" w:sz="8" w:color="CCEEFF"/>
            </w:tcBorders>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175,575</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480,407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362,833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060" w:type="dxa"/>
            <w:vAlign w:val="bottom"/>
            <w:tcBorders>
              <w:top w:val="single" w:sz="8" w:color="CCEEFF"/>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SHORT-TERM DEPOSITS - END OF PERIOD</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445,961</w:t>
            </w:r>
          </w:p>
        </w:tc>
        <w:tc>
          <w:tcPr>
            <w:tcW w:w="380" w:type="dxa"/>
            <w:vAlign w:val="bottom"/>
            <w:tcBorders>
              <w:right w:val="single" w:sz="8" w:color="CCEEFF"/>
            </w:tcBorders>
            <w:shd w:val="clear" w:color="auto" w:fill="CCEEFF"/>
          </w:tcPr>
          <w:p>
            <w:pPr>
              <w:spacing w:after="0"/>
              <w:rPr>
                <w:sz w:val="20"/>
                <w:szCs w:val="20"/>
                <w:color w:val="auto"/>
              </w:rPr>
            </w:pPr>
          </w:p>
        </w:tc>
        <w:tc>
          <w:tcPr>
            <w:tcW w:w="340" w:type="dxa"/>
            <w:vAlign w:val="bottom"/>
            <w:shd w:val="clear" w:color="auto" w:fill="CCEEFF"/>
          </w:tcPr>
          <w:p>
            <w:pPr>
              <w:jc w:val="right"/>
              <w:ind w:right="180"/>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389,377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445,961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389,377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320" w:right="20" w:hanging="312"/>
        <w:spacing w:after="0" w:line="282" w:lineRule="auto"/>
        <w:tabs>
          <w:tab w:leader="none" w:pos="3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Net cash provided by operating activities for the year ended December 31, 2017 included $18,000 received from Tacoma as announced on August 21,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200025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lvl w:ilvl="1">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Roman"/>
      <w:start w:val="29"/>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2"/>
    </w:lvl>
  </w:abstractNum>
  <w:abstractNum w:abstractNumId="5">
    <w:nsid w:val="507ED7AB"/>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2019-12-06T02:52:26Z</dcterms:created>
  <dcterms:modified xsi:type="dcterms:W3CDTF">2019-12-06T02:52:26Z</dcterms:modified>
</cp:coreProperties>
</file>