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u w:val="single" w:color="auto"/>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Ordinary Shares, par value New Israeli Shekels 15.00 per share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(Title of Class of Securities)</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M87915274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2017</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79" w:lineRule="exact"/>
        <w:rPr>
          <w:sz w:val="24"/>
          <w:szCs w:val="24"/>
          <w:color w:val="auto"/>
        </w:rPr>
      </w:pPr>
    </w:p>
    <w:p>
      <w:pPr>
        <w:ind w:left="860" w:hanging="204"/>
        <w:spacing w:after="0"/>
        <w:tabs>
          <w:tab w:leader="none" w:pos="8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79" w:lineRule="exact"/>
        <w:rPr>
          <w:sz w:val="24"/>
          <w:szCs w:val="24"/>
          <w:color w:val="auto"/>
        </w:rPr>
      </w:pPr>
    </w:p>
    <w:p>
      <w:pPr>
        <w:ind w:left="860" w:hanging="204"/>
        <w:spacing w:after="0"/>
        <w:tabs>
          <w:tab w:leader="none" w:pos="8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w:t>
      </w:r>
      <w:r>
        <w:rPr>
          <w:rFonts w:ascii="Arial" w:cs="Arial" w:eastAsia="Arial" w:hAnsi="Arial"/>
          <w:sz w:val="16"/>
          <w:szCs w:val="16"/>
          <w:i w:val="1"/>
          <w:iCs w:val="1"/>
          <w:color w:val="auto"/>
        </w:rPr>
        <w:t>Securities Exchange Act</w:t>
      </w:r>
      <w:r>
        <w:rPr>
          <w:rFonts w:ascii="Arial" w:cs="Arial" w:eastAsia="Arial" w:hAnsi="Arial"/>
          <w:sz w:val="16"/>
          <w:szCs w:val="16"/>
          <w:color w:val="auto"/>
        </w:rPr>
        <w:t xml:space="preserve">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171450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2"/>
        </w:trPr>
        <w:tc>
          <w:tcPr>
            <w:tcW w:w="4180" w:type="dxa"/>
            <w:vAlign w:val="bottom"/>
            <w:tcBorders>
              <w:bottom w:val="single" w:sz="8" w:color="auto"/>
            </w:tcBorders>
          </w:tcPr>
          <w:p>
            <w:pPr>
              <w:spacing w:after="0" w:line="20" w:lineRule="exact"/>
              <w:rPr>
                <w:sz w:val="1"/>
                <w:szCs w:val="1"/>
                <w:color w:val="auto"/>
              </w:rPr>
            </w:pPr>
          </w:p>
        </w:tc>
        <w:tc>
          <w:tcPr>
            <w:tcW w:w="404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13G</w:t>
            </w:r>
          </w:p>
        </w:tc>
        <w:tc>
          <w:tcPr>
            <w:tcW w:w="3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M87915274</w:t>
            </w:r>
          </w:p>
        </w:tc>
        <w:tc>
          <w:tcPr>
            <w:tcW w:w="4040" w:type="dxa"/>
            <w:vAlign w:val="bottom"/>
            <w:vMerge w:val="continue"/>
          </w:tcPr>
          <w:p>
            <w:pPr>
              <w:spacing w:after="0"/>
              <w:rPr>
                <w:sz w:val="19"/>
                <w:szCs w:val="19"/>
                <w:color w:val="auto"/>
              </w:rPr>
            </w:pPr>
          </w:p>
        </w:tc>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Page 2 of 10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6148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148705"/>
                    </a:xfrm>
                    <a:prstGeom prst="rect">
                      <a:avLst/>
                    </a:prstGeom>
                    <a:noFill/>
                  </pic:spPr>
                </pic:pic>
              </a:graphicData>
            </a:graphic>
          </wp:anchor>
        </w:drawing>
      </w:r>
    </w:p>
    <w:p>
      <w:pPr>
        <w:spacing w:after="0" w:line="204" w:lineRule="exact"/>
        <w:rPr>
          <w:sz w:val="20"/>
          <w:szCs w:val="20"/>
          <w:color w:val="auto"/>
        </w:rPr>
      </w:pPr>
    </w:p>
    <w:p>
      <w:pPr>
        <w:ind w:left="1980" w:hanging="1056"/>
        <w:spacing w:after="0"/>
        <w:tabs>
          <w:tab w:leader="none" w:pos="1980" w:val="left"/>
        </w:tabs>
        <w:numPr>
          <w:ilvl w:val="0"/>
          <w:numId w:val="4"/>
        </w:numPr>
        <w:rPr>
          <w:rFonts w:ascii="Arial" w:cs="Arial" w:eastAsia="Arial" w:hAnsi="Arial"/>
          <w:sz w:val="29"/>
          <w:szCs w:val="29"/>
          <w:b w:val="1"/>
          <w:bCs w:val="1"/>
          <w:color w:val="auto"/>
          <w:vertAlign w:val="superscript"/>
        </w:rPr>
      </w:pPr>
      <w:r>
        <w:rPr>
          <w:rFonts w:ascii="Arial" w:cs="Arial" w:eastAsia="Arial" w:hAnsi="Arial"/>
          <w:sz w:val="18"/>
          <w:szCs w:val="18"/>
          <w:color w:val="auto"/>
        </w:rPr>
        <w:t>NAME OF REPORTING PERSONS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Itshak Sharon (Tshuva)</w:t>
      </w:r>
    </w:p>
    <w:p>
      <w:pPr>
        <w:spacing w:after="0" w:line="68" w:lineRule="exact"/>
        <w:rPr>
          <w:sz w:val="20"/>
          <w:szCs w:val="20"/>
          <w:color w:val="auto"/>
        </w:rPr>
      </w:pPr>
    </w:p>
    <w:p>
      <w:pPr>
        <w:ind w:left="1980" w:hanging="1056"/>
        <w:spacing w:after="0"/>
        <w:tabs>
          <w:tab w:leader="none" w:pos="1980" w:val="left"/>
        </w:tabs>
        <w:numPr>
          <w:ilvl w:val="0"/>
          <w:numId w:val="5"/>
        </w:numPr>
        <w:rPr>
          <w:rFonts w:ascii="Arial" w:cs="Arial" w:eastAsia="Arial" w:hAnsi="Arial"/>
          <w:sz w:val="29"/>
          <w:szCs w:val="29"/>
          <w:b w:val="1"/>
          <w:bCs w:val="1"/>
          <w:color w:val="auto"/>
          <w:vertAlign w:val="superscript"/>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9"/>
          <w:szCs w:val="29"/>
          <w:b w:val="1"/>
          <w:bCs w:val="1"/>
          <w:color w:val="auto"/>
          <w:vertAlign w:val="superscript"/>
        </w:rPr>
      </w:pPr>
    </w:p>
    <w:p>
      <w:pPr>
        <w:ind w:left="2380" w:hanging="238"/>
        <w:spacing w:after="0"/>
        <w:tabs>
          <w:tab w:leader="none" w:pos="2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7" w:lineRule="exact"/>
        <w:rPr>
          <w:rFonts w:ascii="Arial" w:cs="Arial" w:eastAsia="Arial" w:hAnsi="Arial"/>
          <w:sz w:val="18"/>
          <w:szCs w:val="18"/>
          <w:color w:val="auto"/>
        </w:rPr>
      </w:pPr>
    </w:p>
    <w:p>
      <w:pPr>
        <w:ind w:left="2400" w:hanging="258"/>
        <w:spacing w:after="0"/>
        <w:tabs>
          <w:tab w:leader="none" w:pos="2400" w:val="left"/>
        </w:tabs>
        <w:numPr>
          <w:ilvl w:val="1"/>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4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SEC USE ONLY</w:t>
            </w:r>
          </w:p>
        </w:tc>
        <w:tc>
          <w:tcPr>
            <w:tcW w:w="8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80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Israel</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5</w:t>
            </w:r>
          </w:p>
        </w:tc>
        <w:tc>
          <w:tcPr>
            <w:tcW w:w="80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w w:val="96"/>
              </w:rPr>
              <w:t>NUMBER OF</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6</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920" w:type="dxa"/>
            <w:vAlign w:val="bottom"/>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Arial" w:cs="Arial" w:eastAsia="Arial" w:hAnsi="Arial"/>
                <w:sz w:val="18"/>
                <w:szCs w:val="18"/>
                <w:color w:val="auto"/>
                <w:w w:val="94"/>
              </w:rPr>
              <w:t>SHARES</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4,849,655.23 (*)</w:t>
            </w:r>
          </w:p>
        </w:tc>
        <w:tc>
          <w:tcPr>
            <w:tcW w:w="0" w:type="dxa"/>
            <w:vAlign w:val="bottom"/>
          </w:tcPr>
          <w:p>
            <w:pPr>
              <w:spacing w:after="0"/>
              <w:rPr>
                <w:sz w:val="1"/>
                <w:szCs w:val="1"/>
                <w:color w:val="auto"/>
              </w:rPr>
            </w:pPr>
          </w:p>
        </w:tc>
      </w:tr>
      <w:tr>
        <w:trPr>
          <w:trHeight w:val="149"/>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rPr>
              <w:t>BENEFICIALLY</w:t>
            </w: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920" w:type="dxa"/>
            <w:vAlign w:val="bottom"/>
          </w:tcPr>
          <w:p>
            <w:pPr>
              <w:jc w:val="center"/>
              <w:ind w:left="118"/>
              <w:spacing w:after="0" w:line="189" w:lineRule="exact"/>
              <w:rPr>
                <w:sz w:val="20"/>
                <w:szCs w:val="20"/>
                <w:color w:val="auto"/>
              </w:rPr>
            </w:pPr>
            <w:r>
              <w:rPr>
                <w:rFonts w:ascii="Arial" w:cs="Arial" w:eastAsia="Arial" w:hAnsi="Arial"/>
                <w:sz w:val="18"/>
                <w:szCs w:val="18"/>
                <w:color w:val="auto"/>
                <w:w w:val="97"/>
              </w:rPr>
              <w:t>OWNED BY</w:t>
            </w:r>
          </w:p>
        </w:tc>
        <w:tc>
          <w:tcPr>
            <w:tcW w:w="7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7</w:t>
            </w: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EACH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118"/>
              <w:spacing w:after="0"/>
              <w:rPr>
                <w:sz w:val="20"/>
                <w:szCs w:val="20"/>
                <w:color w:val="auto"/>
              </w:rPr>
            </w:pPr>
            <w:r>
              <w:rPr>
                <w:rFonts w:ascii="Arial" w:cs="Arial" w:eastAsia="Arial" w:hAnsi="Arial"/>
                <w:sz w:val="18"/>
                <w:szCs w:val="18"/>
                <w:color w:val="auto"/>
                <w:w w:val="93"/>
              </w:rPr>
              <w:t>REPORTING</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118"/>
              <w:spacing w:after="0" w:line="170" w:lineRule="exact"/>
              <w:rPr>
                <w:sz w:val="20"/>
                <w:szCs w:val="20"/>
                <w:color w:val="auto"/>
              </w:rPr>
            </w:pPr>
            <w:r>
              <w:rPr>
                <w:rFonts w:ascii="Arial" w:cs="Arial" w:eastAsia="Arial" w:hAnsi="Arial"/>
                <w:sz w:val="18"/>
                <w:szCs w:val="18"/>
                <w:color w:val="auto"/>
                <w:w w:val="94"/>
              </w:rPr>
              <w:t>PERSON WITH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8</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4,849,655.23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4,849,655.23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11</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4.93% (*)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IN</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The beneficial ownership of the securities reported herein is described in Item 4(a).</w:t>
      </w:r>
    </w:p>
    <w:p>
      <w:pPr>
        <w:spacing w:after="0" w:line="225" w:lineRule="exact"/>
        <w:rPr>
          <w:sz w:val="20"/>
          <w:szCs w:val="20"/>
          <w:color w:val="auto"/>
        </w:rPr>
      </w:pPr>
    </w:p>
    <w:p>
      <w:pPr>
        <w:ind w:left="5660" w:right="3340" w:hanging="5652"/>
        <w:spacing w:after="0" w:line="277" w:lineRule="auto"/>
        <w:tabs>
          <w:tab w:leader="none" w:pos="34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98,457,717 Ordinary Shares outstanding as of February 14, 2018 (as reported on Bloomberg LP).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22"/>
        </w:trPr>
        <w:tc>
          <w:tcPr>
            <w:tcW w:w="4180" w:type="dxa"/>
            <w:vAlign w:val="bottom"/>
            <w:tcBorders>
              <w:bottom w:val="single" w:sz="8" w:color="auto"/>
            </w:tcBorders>
          </w:tcPr>
          <w:p>
            <w:pPr>
              <w:spacing w:after="0" w:line="20" w:lineRule="exact"/>
              <w:rPr>
                <w:sz w:val="1"/>
                <w:szCs w:val="1"/>
                <w:color w:val="auto"/>
              </w:rPr>
            </w:pPr>
          </w:p>
        </w:tc>
        <w:tc>
          <w:tcPr>
            <w:tcW w:w="404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13G</w:t>
            </w:r>
          </w:p>
        </w:tc>
        <w:tc>
          <w:tcPr>
            <w:tcW w:w="3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M87915274</w:t>
            </w:r>
          </w:p>
        </w:tc>
        <w:tc>
          <w:tcPr>
            <w:tcW w:w="4040" w:type="dxa"/>
            <w:vAlign w:val="bottom"/>
            <w:vMerge w:val="continue"/>
          </w:tcPr>
          <w:p>
            <w:pPr>
              <w:spacing w:after="0"/>
              <w:rPr>
                <w:sz w:val="19"/>
                <w:szCs w:val="19"/>
                <w:color w:val="auto"/>
              </w:rPr>
            </w:pPr>
          </w:p>
        </w:tc>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Page 3 of 10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6148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6148705"/>
                    </a:xfrm>
                    <a:prstGeom prst="rect">
                      <a:avLst/>
                    </a:prstGeom>
                    <a:noFill/>
                  </pic:spPr>
                </pic:pic>
              </a:graphicData>
            </a:graphic>
          </wp:anchor>
        </w:drawing>
      </w:r>
    </w:p>
    <w:p>
      <w:pPr>
        <w:spacing w:after="0" w:line="204" w:lineRule="exact"/>
        <w:rPr>
          <w:sz w:val="20"/>
          <w:szCs w:val="20"/>
          <w:color w:val="auto"/>
        </w:rPr>
      </w:pPr>
    </w:p>
    <w:p>
      <w:pPr>
        <w:ind w:left="1980" w:hanging="1056"/>
        <w:spacing w:after="0"/>
        <w:tabs>
          <w:tab w:leader="none" w:pos="1980" w:val="left"/>
        </w:tabs>
        <w:numPr>
          <w:ilvl w:val="0"/>
          <w:numId w:val="7"/>
        </w:numPr>
        <w:rPr>
          <w:rFonts w:ascii="Arial" w:cs="Arial" w:eastAsia="Arial" w:hAnsi="Arial"/>
          <w:sz w:val="29"/>
          <w:szCs w:val="29"/>
          <w:b w:val="1"/>
          <w:bCs w:val="1"/>
          <w:color w:val="auto"/>
          <w:vertAlign w:val="superscript"/>
        </w:rPr>
      </w:pPr>
      <w:r>
        <w:rPr>
          <w:rFonts w:ascii="Arial" w:cs="Arial" w:eastAsia="Arial" w:hAnsi="Arial"/>
          <w:sz w:val="18"/>
          <w:szCs w:val="18"/>
          <w:color w:val="auto"/>
        </w:rPr>
        <w:t>NAME OF REPORTING PERSONS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Delek Group Ltd.</w:t>
      </w:r>
    </w:p>
    <w:p>
      <w:pPr>
        <w:spacing w:after="0" w:line="68" w:lineRule="exact"/>
        <w:rPr>
          <w:sz w:val="20"/>
          <w:szCs w:val="20"/>
          <w:color w:val="auto"/>
        </w:rPr>
      </w:pPr>
    </w:p>
    <w:p>
      <w:pPr>
        <w:ind w:left="1980" w:hanging="1056"/>
        <w:spacing w:after="0"/>
        <w:tabs>
          <w:tab w:leader="none" w:pos="1980" w:val="left"/>
        </w:tabs>
        <w:numPr>
          <w:ilvl w:val="0"/>
          <w:numId w:val="8"/>
        </w:numPr>
        <w:rPr>
          <w:rFonts w:ascii="Arial" w:cs="Arial" w:eastAsia="Arial" w:hAnsi="Arial"/>
          <w:sz w:val="29"/>
          <w:szCs w:val="29"/>
          <w:b w:val="1"/>
          <w:bCs w:val="1"/>
          <w:color w:val="auto"/>
          <w:vertAlign w:val="superscript"/>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9"/>
          <w:szCs w:val="29"/>
          <w:b w:val="1"/>
          <w:bCs w:val="1"/>
          <w:color w:val="auto"/>
          <w:vertAlign w:val="superscript"/>
        </w:rPr>
      </w:pPr>
    </w:p>
    <w:p>
      <w:pPr>
        <w:ind w:left="2380" w:hanging="238"/>
        <w:spacing w:after="0"/>
        <w:tabs>
          <w:tab w:leader="none" w:pos="2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7" w:lineRule="exact"/>
        <w:rPr>
          <w:rFonts w:ascii="Arial" w:cs="Arial" w:eastAsia="Arial" w:hAnsi="Arial"/>
          <w:sz w:val="18"/>
          <w:szCs w:val="18"/>
          <w:color w:val="auto"/>
        </w:rPr>
      </w:pPr>
    </w:p>
    <w:p>
      <w:pPr>
        <w:ind w:left="2400" w:hanging="258"/>
        <w:spacing w:after="0"/>
        <w:tabs>
          <w:tab w:leader="none" w:pos="2400"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4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SEC USE ONLY</w:t>
            </w:r>
          </w:p>
        </w:tc>
        <w:tc>
          <w:tcPr>
            <w:tcW w:w="8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80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Israel</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5</w:t>
            </w:r>
          </w:p>
        </w:tc>
        <w:tc>
          <w:tcPr>
            <w:tcW w:w="80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w w:val="96"/>
              </w:rPr>
              <w:t>NUMBER OF</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6</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920" w:type="dxa"/>
            <w:vAlign w:val="bottom"/>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Arial" w:cs="Arial" w:eastAsia="Arial" w:hAnsi="Arial"/>
                <w:sz w:val="18"/>
                <w:szCs w:val="18"/>
                <w:color w:val="auto"/>
                <w:w w:val="94"/>
              </w:rPr>
              <w:t>SHARES</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4,849,655.23 (*)</w:t>
            </w:r>
          </w:p>
        </w:tc>
        <w:tc>
          <w:tcPr>
            <w:tcW w:w="0" w:type="dxa"/>
            <w:vAlign w:val="bottom"/>
          </w:tcPr>
          <w:p>
            <w:pPr>
              <w:spacing w:after="0"/>
              <w:rPr>
                <w:sz w:val="1"/>
                <w:szCs w:val="1"/>
                <w:color w:val="auto"/>
              </w:rPr>
            </w:pPr>
          </w:p>
        </w:tc>
      </w:tr>
      <w:tr>
        <w:trPr>
          <w:trHeight w:val="149"/>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rPr>
              <w:t>BENEFICIALLY</w:t>
            </w: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920" w:type="dxa"/>
            <w:vAlign w:val="bottom"/>
          </w:tcPr>
          <w:p>
            <w:pPr>
              <w:jc w:val="center"/>
              <w:ind w:left="118"/>
              <w:spacing w:after="0" w:line="189" w:lineRule="exact"/>
              <w:rPr>
                <w:sz w:val="20"/>
                <w:szCs w:val="20"/>
                <w:color w:val="auto"/>
              </w:rPr>
            </w:pPr>
            <w:r>
              <w:rPr>
                <w:rFonts w:ascii="Arial" w:cs="Arial" w:eastAsia="Arial" w:hAnsi="Arial"/>
                <w:sz w:val="18"/>
                <w:szCs w:val="18"/>
                <w:color w:val="auto"/>
                <w:w w:val="97"/>
              </w:rPr>
              <w:t>OWNED BY</w:t>
            </w:r>
          </w:p>
        </w:tc>
        <w:tc>
          <w:tcPr>
            <w:tcW w:w="7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7</w:t>
            </w: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EACH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118"/>
              <w:spacing w:after="0"/>
              <w:rPr>
                <w:sz w:val="20"/>
                <w:szCs w:val="20"/>
                <w:color w:val="auto"/>
              </w:rPr>
            </w:pPr>
            <w:r>
              <w:rPr>
                <w:rFonts w:ascii="Arial" w:cs="Arial" w:eastAsia="Arial" w:hAnsi="Arial"/>
                <w:sz w:val="18"/>
                <w:szCs w:val="18"/>
                <w:color w:val="auto"/>
                <w:w w:val="93"/>
              </w:rPr>
              <w:t>REPORTING</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118"/>
              <w:spacing w:after="0" w:line="170" w:lineRule="exact"/>
              <w:rPr>
                <w:sz w:val="20"/>
                <w:szCs w:val="20"/>
                <w:color w:val="auto"/>
              </w:rPr>
            </w:pPr>
            <w:r>
              <w:rPr>
                <w:rFonts w:ascii="Arial" w:cs="Arial" w:eastAsia="Arial" w:hAnsi="Arial"/>
                <w:sz w:val="18"/>
                <w:szCs w:val="18"/>
                <w:color w:val="auto"/>
                <w:w w:val="94"/>
              </w:rPr>
              <w:t>PERSON WITH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8</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4,849,655.23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4,849,655.23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11</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4.93% (*)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CO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beneficial ownership of the securities reported herein is described in Item 4(a).</w:t>
      </w:r>
    </w:p>
    <w:p>
      <w:pPr>
        <w:spacing w:after="0" w:line="225" w:lineRule="exact"/>
        <w:rPr>
          <w:sz w:val="20"/>
          <w:szCs w:val="20"/>
          <w:color w:val="auto"/>
        </w:rPr>
      </w:pPr>
    </w:p>
    <w:p>
      <w:pPr>
        <w:ind w:left="5660" w:right="3340" w:hanging="5652"/>
        <w:spacing w:after="0" w:line="277" w:lineRule="auto"/>
        <w:tabs>
          <w:tab w:leader="none" w:pos="34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98,457,717 Ordinary Shares outstanding as of February 14, 2018 (as reported on Bloomberg LP).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22"/>
        </w:trPr>
        <w:tc>
          <w:tcPr>
            <w:tcW w:w="4180" w:type="dxa"/>
            <w:vAlign w:val="bottom"/>
            <w:tcBorders>
              <w:bottom w:val="single" w:sz="8" w:color="auto"/>
            </w:tcBorders>
          </w:tcPr>
          <w:p>
            <w:pPr>
              <w:spacing w:after="0" w:line="20" w:lineRule="exact"/>
              <w:rPr>
                <w:sz w:val="1"/>
                <w:szCs w:val="1"/>
                <w:color w:val="auto"/>
              </w:rPr>
            </w:pPr>
          </w:p>
        </w:tc>
        <w:tc>
          <w:tcPr>
            <w:tcW w:w="404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13G</w:t>
            </w:r>
          </w:p>
        </w:tc>
        <w:tc>
          <w:tcPr>
            <w:tcW w:w="3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M87915274</w:t>
            </w:r>
          </w:p>
        </w:tc>
        <w:tc>
          <w:tcPr>
            <w:tcW w:w="4040" w:type="dxa"/>
            <w:vAlign w:val="bottom"/>
            <w:vMerge w:val="continue"/>
          </w:tcPr>
          <w:p>
            <w:pPr>
              <w:spacing w:after="0"/>
              <w:rPr>
                <w:sz w:val="19"/>
                <w:szCs w:val="19"/>
                <w:color w:val="auto"/>
              </w:rPr>
            </w:pPr>
          </w:p>
        </w:tc>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Page 4 of 10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6106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106160"/>
                    </a:xfrm>
                    <a:prstGeom prst="rect">
                      <a:avLst/>
                    </a:prstGeom>
                    <a:noFill/>
                  </pic:spPr>
                </pic:pic>
              </a:graphicData>
            </a:graphic>
          </wp:anchor>
        </w:drawing>
      </w:r>
    </w:p>
    <w:p>
      <w:pPr>
        <w:spacing w:after="0" w:line="204" w:lineRule="exact"/>
        <w:rPr>
          <w:sz w:val="20"/>
          <w:szCs w:val="20"/>
          <w:color w:val="auto"/>
        </w:rPr>
      </w:pPr>
    </w:p>
    <w:p>
      <w:pPr>
        <w:ind w:left="1980" w:hanging="1056"/>
        <w:spacing w:after="0"/>
        <w:tabs>
          <w:tab w:leader="none" w:pos="1980" w:val="left"/>
        </w:tabs>
        <w:numPr>
          <w:ilvl w:val="0"/>
          <w:numId w:val="10"/>
        </w:numPr>
        <w:rPr>
          <w:rFonts w:ascii="Arial" w:cs="Arial" w:eastAsia="Arial" w:hAnsi="Arial"/>
          <w:sz w:val="29"/>
          <w:szCs w:val="29"/>
          <w:b w:val="1"/>
          <w:bCs w:val="1"/>
          <w:color w:val="auto"/>
          <w:vertAlign w:val="superscript"/>
        </w:rPr>
      </w:pPr>
      <w:r>
        <w:rPr>
          <w:rFonts w:ascii="Arial" w:cs="Arial" w:eastAsia="Arial" w:hAnsi="Arial"/>
          <w:sz w:val="18"/>
          <w:szCs w:val="18"/>
          <w:color w:val="auto"/>
        </w:rPr>
        <w:t>NAME OF REPORTING PERSONS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Phoenix Holding Ltd.</w:t>
      </w:r>
    </w:p>
    <w:p>
      <w:pPr>
        <w:spacing w:after="0" w:line="68" w:lineRule="exact"/>
        <w:rPr>
          <w:sz w:val="20"/>
          <w:szCs w:val="20"/>
          <w:color w:val="auto"/>
        </w:rPr>
      </w:pPr>
    </w:p>
    <w:p>
      <w:pPr>
        <w:ind w:left="1980" w:hanging="1056"/>
        <w:spacing w:after="0"/>
        <w:tabs>
          <w:tab w:leader="none" w:pos="1980" w:val="left"/>
        </w:tabs>
        <w:numPr>
          <w:ilvl w:val="0"/>
          <w:numId w:val="11"/>
        </w:numPr>
        <w:rPr>
          <w:rFonts w:ascii="Arial" w:cs="Arial" w:eastAsia="Arial" w:hAnsi="Arial"/>
          <w:sz w:val="29"/>
          <w:szCs w:val="29"/>
          <w:b w:val="1"/>
          <w:bCs w:val="1"/>
          <w:color w:val="auto"/>
          <w:vertAlign w:val="superscript"/>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9"/>
          <w:szCs w:val="29"/>
          <w:b w:val="1"/>
          <w:bCs w:val="1"/>
          <w:color w:val="auto"/>
          <w:vertAlign w:val="superscript"/>
        </w:rPr>
      </w:pPr>
    </w:p>
    <w:p>
      <w:pPr>
        <w:ind w:left="2380" w:hanging="238"/>
        <w:spacing w:after="0"/>
        <w:tabs>
          <w:tab w:leader="none" w:pos="23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7" w:lineRule="exact"/>
        <w:rPr>
          <w:rFonts w:ascii="Arial" w:cs="Arial" w:eastAsia="Arial" w:hAnsi="Arial"/>
          <w:sz w:val="18"/>
          <w:szCs w:val="18"/>
          <w:color w:val="auto"/>
        </w:rPr>
      </w:pPr>
    </w:p>
    <w:p>
      <w:pPr>
        <w:ind w:left="2400" w:hanging="258"/>
        <w:spacing w:after="0"/>
        <w:tabs>
          <w:tab w:leader="none" w:pos="24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x</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42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9"/>
              </w:rPr>
              <w:t>SEC USE ONLY</w:t>
            </w:r>
          </w:p>
        </w:tc>
        <w:tc>
          <w:tcPr>
            <w:tcW w:w="8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CCEEFF"/>
            </w:tcBorders>
            <w:shd w:val="clear" w:color="auto" w:fill="CCEEFF"/>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808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Israel</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5</w:t>
            </w:r>
          </w:p>
        </w:tc>
        <w:tc>
          <w:tcPr>
            <w:tcW w:w="808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w w:val="96"/>
              </w:rPr>
              <w:t>NUMBER OF</w:t>
            </w: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6</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920" w:type="dxa"/>
            <w:vAlign w:val="bottom"/>
            <w:vMerge w:val="continue"/>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8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Arial" w:cs="Arial" w:eastAsia="Arial" w:hAnsi="Arial"/>
                <w:sz w:val="18"/>
                <w:szCs w:val="18"/>
                <w:color w:val="auto"/>
                <w:w w:val="94"/>
              </w:rPr>
              <w:t>SHARES</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4,849,655.23 (*)</w:t>
            </w:r>
          </w:p>
        </w:tc>
        <w:tc>
          <w:tcPr>
            <w:tcW w:w="0" w:type="dxa"/>
            <w:vAlign w:val="bottom"/>
          </w:tcPr>
          <w:p>
            <w:pPr>
              <w:spacing w:after="0"/>
              <w:rPr>
                <w:sz w:val="1"/>
                <w:szCs w:val="1"/>
                <w:color w:val="auto"/>
              </w:rPr>
            </w:pPr>
          </w:p>
        </w:tc>
      </w:tr>
      <w:tr>
        <w:trPr>
          <w:trHeight w:val="149"/>
        </w:trPr>
        <w:tc>
          <w:tcPr>
            <w:tcW w:w="1920" w:type="dxa"/>
            <w:vAlign w:val="bottom"/>
            <w:vMerge w:val="restart"/>
          </w:tcPr>
          <w:p>
            <w:pPr>
              <w:jc w:val="center"/>
              <w:ind w:left="118"/>
              <w:spacing w:after="0"/>
              <w:rPr>
                <w:sz w:val="20"/>
                <w:szCs w:val="20"/>
                <w:color w:val="auto"/>
              </w:rPr>
            </w:pPr>
            <w:r>
              <w:rPr>
                <w:rFonts w:ascii="Arial" w:cs="Arial" w:eastAsia="Arial" w:hAnsi="Arial"/>
                <w:sz w:val="18"/>
                <w:szCs w:val="18"/>
                <w:color w:val="auto"/>
              </w:rPr>
              <w:t>BENEFICIALLY</w:t>
            </w: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920" w:type="dxa"/>
            <w:vAlign w:val="bottom"/>
          </w:tcPr>
          <w:p>
            <w:pPr>
              <w:jc w:val="center"/>
              <w:ind w:left="118"/>
              <w:spacing w:after="0" w:line="189" w:lineRule="exact"/>
              <w:rPr>
                <w:sz w:val="20"/>
                <w:szCs w:val="20"/>
                <w:color w:val="auto"/>
              </w:rPr>
            </w:pPr>
            <w:r>
              <w:rPr>
                <w:rFonts w:ascii="Arial" w:cs="Arial" w:eastAsia="Arial" w:hAnsi="Arial"/>
                <w:sz w:val="18"/>
                <w:szCs w:val="18"/>
                <w:color w:val="auto"/>
                <w:w w:val="97"/>
              </w:rPr>
              <w:t>OWNED BY</w:t>
            </w:r>
          </w:p>
        </w:tc>
        <w:tc>
          <w:tcPr>
            <w:tcW w:w="72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vMerge w:val="restart"/>
          </w:tcPr>
          <w:p>
            <w:pPr>
              <w:jc w:val="right"/>
              <w:ind w:right="268"/>
              <w:spacing w:after="0"/>
              <w:rPr>
                <w:sz w:val="20"/>
                <w:szCs w:val="20"/>
                <w:color w:val="auto"/>
              </w:rPr>
            </w:pPr>
            <w:r>
              <w:rPr>
                <w:rFonts w:ascii="Arial" w:cs="Arial" w:eastAsia="Arial" w:hAnsi="Arial"/>
                <w:sz w:val="14"/>
                <w:szCs w:val="14"/>
                <w:b w:val="1"/>
                <w:bCs w:val="1"/>
                <w:color w:val="auto"/>
              </w:rPr>
              <w:t>7</w:t>
            </w: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EACH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vMerge w:val="continue"/>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8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118"/>
              <w:spacing w:after="0"/>
              <w:rPr>
                <w:sz w:val="20"/>
                <w:szCs w:val="20"/>
                <w:color w:val="auto"/>
              </w:rPr>
            </w:pPr>
            <w:r>
              <w:rPr>
                <w:rFonts w:ascii="Arial" w:cs="Arial" w:eastAsia="Arial" w:hAnsi="Arial"/>
                <w:sz w:val="18"/>
                <w:szCs w:val="18"/>
                <w:color w:val="auto"/>
                <w:w w:val="93"/>
              </w:rPr>
              <w:t>REPORTING</w:t>
            </w:r>
          </w:p>
        </w:tc>
        <w:tc>
          <w:tcPr>
            <w:tcW w:w="7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08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118"/>
              <w:spacing w:after="0" w:line="170" w:lineRule="exact"/>
              <w:rPr>
                <w:sz w:val="20"/>
                <w:szCs w:val="20"/>
                <w:color w:val="auto"/>
              </w:rPr>
            </w:pPr>
            <w:r>
              <w:rPr>
                <w:rFonts w:ascii="Arial" w:cs="Arial" w:eastAsia="Arial" w:hAnsi="Arial"/>
                <w:sz w:val="18"/>
                <w:szCs w:val="18"/>
                <w:color w:val="auto"/>
                <w:w w:val="94"/>
              </w:rPr>
              <w:t>PERSON WITH</w:t>
            </w:r>
          </w:p>
        </w:tc>
        <w:tc>
          <w:tcPr>
            <w:tcW w:w="72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920" w:type="dxa"/>
            <w:vAlign w:val="bottom"/>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8</w:t>
            </w:r>
          </w:p>
        </w:tc>
        <w:tc>
          <w:tcPr>
            <w:tcW w:w="808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4,849,655.23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4,849,655.23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11</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4.93% (*) (**)</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50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w:t>
            </w:r>
          </w:p>
        </w:tc>
        <w:tc>
          <w:tcPr>
            <w:tcW w:w="950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CO</w:t>
            </w:r>
          </w:p>
        </w:tc>
        <w:tc>
          <w:tcPr>
            <w:tcW w:w="8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beneficial ownership of the securities reported herein is described in Item 4(a).</w:t>
      </w:r>
    </w:p>
    <w:p>
      <w:pPr>
        <w:spacing w:after="0" w:line="225" w:lineRule="exact"/>
        <w:rPr>
          <w:sz w:val="20"/>
          <w:szCs w:val="20"/>
          <w:color w:val="auto"/>
        </w:rPr>
      </w:pPr>
    </w:p>
    <w:p>
      <w:pPr>
        <w:ind w:left="5660" w:right="3340" w:hanging="5652"/>
        <w:spacing w:after="0" w:line="277"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98,457,717 Ordinary Shares outstanding as of February 14, 2018 (as reported on Bloomberg LP).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spacing w:after="0"/>
        <w:tabs>
          <w:tab w:leader="none" w:pos="1580" w:val="left"/>
        </w:tabs>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Tower Semiconductor Ltd.</w:t>
      </w:r>
    </w:p>
    <w:p>
      <w:pPr>
        <w:spacing w:after="0" w:line="252" w:lineRule="exact"/>
        <w:rPr>
          <w:sz w:val="20"/>
          <w:szCs w:val="20"/>
          <w:color w:val="auto"/>
        </w:rPr>
      </w:pPr>
    </w:p>
    <w:p>
      <w:pPr>
        <w:ind w:left="1460" w:hanging="86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5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Ramat Gavriel Industrial Park, P.O. Box 619, Migdal Haemek 23105, Israel</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56" w:lineRule="exact"/>
        <w:rPr>
          <w:sz w:val="20"/>
          <w:szCs w:val="20"/>
          <w:color w:val="auto"/>
        </w:rPr>
      </w:pPr>
    </w:p>
    <w:p>
      <w:pPr>
        <w:ind w:left="1640" w:hanging="182"/>
        <w:spacing w:after="0"/>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Itshak Sharon (Tshuva)</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Delek Group Ltd.</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Phoenix Holding Ltd.</w:t>
      </w:r>
    </w:p>
    <w:p>
      <w:pPr>
        <w:spacing w:after="0" w:line="252" w:lineRule="exact"/>
        <w:rPr>
          <w:sz w:val="20"/>
          <w:szCs w:val="20"/>
          <w:color w:val="auto"/>
        </w:rPr>
      </w:pPr>
    </w:p>
    <w:p>
      <w:pPr>
        <w:jc w:val="both"/>
        <w:ind w:left="1460"/>
        <w:spacing w:after="0" w:line="257" w:lineRule="auto"/>
        <w:rPr>
          <w:sz w:val="20"/>
          <w:szCs w:val="20"/>
          <w:color w:val="auto"/>
        </w:rPr>
      </w:pPr>
      <w:r>
        <w:rPr>
          <w:rFonts w:ascii="Arial" w:cs="Arial" w:eastAsia="Arial" w:hAnsi="Arial"/>
          <w:sz w:val="18"/>
          <w:szCs w:val="18"/>
          <w:color w:val="auto"/>
        </w:rPr>
        <w:t>The securities reported herein are beneficially owned by various direct or indirect, majority or wholly-owned subsidiaries of the Phoenix Holding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spacing w:after="0" w:line="188" w:lineRule="exact"/>
        <w:rPr>
          <w:sz w:val="20"/>
          <w:szCs w:val="20"/>
          <w:color w:val="auto"/>
        </w:rPr>
      </w:pPr>
    </w:p>
    <w:p>
      <w:pPr>
        <w:jc w:val="both"/>
        <w:ind w:left="1460"/>
        <w:spacing w:after="0" w:line="264" w:lineRule="auto"/>
        <w:rPr>
          <w:sz w:val="20"/>
          <w:szCs w:val="20"/>
          <w:color w:val="auto"/>
        </w:rPr>
      </w:pPr>
      <w:r>
        <w:rPr>
          <w:rFonts w:ascii="Arial" w:cs="Arial" w:eastAsia="Arial" w:hAnsi="Arial"/>
          <w:sz w:val="18"/>
          <w:szCs w:val="18"/>
          <w:color w:val="auto"/>
        </w:rPr>
        <w:t>The Phoenix Holding Ltd. is an majority-owned subsidiary of Delek Group Ltd. The majority of Delek Group Ltd.'s outstanding share capital and voting rights are owned, directly and indirectly, by Itshak Sharon (Tshuva) through private companies wholly-owned by him, and the remainder is held by the public.</w:t>
      </w:r>
    </w:p>
    <w:p>
      <w:pPr>
        <w:spacing w:after="0" w:line="208" w:lineRule="exact"/>
        <w:rPr>
          <w:sz w:val="20"/>
          <w:szCs w:val="20"/>
          <w:color w:val="auto"/>
        </w:rPr>
      </w:pPr>
    </w:p>
    <w:p>
      <w:pPr>
        <w:ind w:left="1480" w:hanging="648"/>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60" w:right="1020"/>
        <w:spacing w:after="0" w:line="532" w:lineRule="auto"/>
        <w:rPr>
          <w:rFonts w:ascii="Arial" w:cs="Arial" w:eastAsia="Arial" w:hAnsi="Arial"/>
          <w:sz w:val="18"/>
          <w:szCs w:val="18"/>
          <w:color w:val="auto"/>
        </w:rPr>
      </w:pPr>
      <w:r>
        <w:rPr>
          <w:rFonts w:ascii="Arial" w:cs="Arial" w:eastAsia="Arial" w:hAnsi="Arial"/>
          <w:sz w:val="18"/>
          <w:szCs w:val="18"/>
          <w:color w:val="auto"/>
        </w:rPr>
        <w:t>The address of Itshak Sharon (Tshuva) and Delek Group Ltd. is 19 Abba Eban blvd, P.O.B. 2054, Herzliya, 4612001, Israel. The address of the Phoenix Holding Ltd. is Derech Hashalom 53, Givataim, 53454, Israel.</w:t>
      </w:r>
    </w:p>
    <w:p>
      <w:pPr>
        <w:ind w:left="1480" w:hanging="648"/>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Itshak Sharon (Tshuva) - Israel</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Delek Group Ltd. - Israel</w:t>
      </w:r>
    </w:p>
    <w:p>
      <w:pPr>
        <w:spacing w:after="0" w:line="252" w:lineRule="exact"/>
        <w:rPr>
          <w:rFonts w:ascii="Arial" w:cs="Arial" w:eastAsia="Arial" w:hAnsi="Arial"/>
          <w:sz w:val="18"/>
          <w:szCs w:val="18"/>
          <w:color w:val="auto"/>
        </w:rPr>
      </w:pPr>
    </w:p>
    <w:p>
      <w:pPr>
        <w:ind w:left="1640" w:hanging="182"/>
        <w:spacing w:after="0"/>
        <w:tabs>
          <w:tab w:leader="none" w:pos="1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Phoenix Holding Ltd. - Israel</w:t>
      </w:r>
    </w:p>
    <w:p>
      <w:pPr>
        <w:spacing w:after="0" w:line="252" w:lineRule="exact"/>
        <w:rPr>
          <w:rFonts w:ascii="Arial" w:cs="Arial" w:eastAsia="Arial" w:hAnsi="Arial"/>
          <w:sz w:val="18"/>
          <w:szCs w:val="18"/>
          <w:color w:val="auto"/>
        </w:rPr>
      </w:pPr>
    </w:p>
    <w:p>
      <w:pPr>
        <w:ind w:left="1480" w:hanging="648"/>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Ordinary Shares, par value New Israeli Shekels 15.00 per share</w:t>
      </w:r>
    </w:p>
    <w:p>
      <w:pPr>
        <w:spacing w:after="0" w:line="252" w:lineRule="exact"/>
        <w:rPr>
          <w:rFonts w:ascii="Arial" w:cs="Arial" w:eastAsia="Arial" w:hAnsi="Arial"/>
          <w:sz w:val="18"/>
          <w:szCs w:val="18"/>
          <w:color w:val="auto"/>
        </w:rPr>
      </w:pPr>
    </w:p>
    <w:p>
      <w:pPr>
        <w:ind w:left="1460" w:right="8740" w:hanging="628"/>
        <w:spacing w:after="0" w:line="598" w:lineRule="auto"/>
        <w:tabs>
          <w:tab w:leader="none" w:pos="1474"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CUSIP Number</w:t>
      </w:r>
      <w:r>
        <w:rPr>
          <w:rFonts w:ascii="Arial" w:cs="Arial" w:eastAsia="Arial" w:hAnsi="Arial"/>
          <w:sz w:val="16"/>
          <w:szCs w:val="16"/>
          <w:color w:val="auto"/>
        </w:rPr>
        <w:t>: M87915274</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p>
        </w:tc>
        <w:tc>
          <w:tcPr>
            <w:tcW w:w="1100" w:type="dxa"/>
            <w:vAlign w:val="bottom"/>
            <w:gridSpan w:val="2"/>
          </w:tcPr>
          <w:p>
            <w:pPr>
              <w:spacing w:after="0"/>
              <w:rPr>
                <w:sz w:val="20"/>
                <w:szCs w:val="20"/>
                <w:color w:val="auto"/>
              </w:rPr>
            </w:pPr>
            <w:r>
              <w:rPr>
                <w:rFonts w:ascii="Arial" w:cs="Arial" w:eastAsia="Arial" w:hAnsi="Arial"/>
                <w:sz w:val="18"/>
                <w:szCs w:val="18"/>
                <w:color w:val="auto"/>
                <w:w w:val="90"/>
              </w:rPr>
              <w:t>Not applicable.</w:t>
            </w:r>
          </w:p>
        </w:tc>
      </w:tr>
      <w:tr>
        <w:trPr>
          <w:trHeight w:val="419"/>
        </w:trPr>
        <w:tc>
          <w:tcPr>
            <w:tcW w:w="1460" w:type="dxa"/>
            <w:vAlign w:val="bottom"/>
          </w:tcPr>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p>
        </w:tc>
        <w:tc>
          <w:tcPr>
            <w:tcW w:w="1100" w:type="dxa"/>
            <w:vAlign w:val="bottom"/>
            <w:gridSpan w:val="2"/>
          </w:tcPr>
          <w:p>
            <w:pPr>
              <w:spacing w:after="0"/>
              <w:rPr>
                <w:sz w:val="20"/>
                <w:szCs w:val="20"/>
                <w:color w:val="auto"/>
              </w:rPr>
            </w:pPr>
            <w:r>
              <w:rPr>
                <w:rFonts w:ascii="Arial" w:cs="Arial" w:eastAsia="Arial" w:hAnsi="Arial"/>
                <w:sz w:val="18"/>
                <w:szCs w:val="18"/>
                <w:color w:val="auto"/>
              </w:rPr>
              <w:t>Ownership:</w:t>
            </w:r>
          </w:p>
        </w:tc>
      </w:tr>
      <w:tr>
        <w:trPr>
          <w:trHeight w:val="20"/>
        </w:trPr>
        <w:tc>
          <w:tcPr>
            <w:tcW w:w="1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420" w:hanging="656"/>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9 of cover page of each reporting person.</w:t>
      </w:r>
    </w:p>
    <w:p>
      <w:pPr>
        <w:spacing w:after="0" w:line="252" w:lineRule="exact"/>
        <w:rPr>
          <w:rFonts w:ascii="Arial" w:cs="Arial" w:eastAsia="Arial" w:hAnsi="Arial"/>
          <w:sz w:val="18"/>
          <w:szCs w:val="18"/>
          <w:color w:val="auto"/>
        </w:rPr>
      </w:pPr>
    </w:p>
    <w:p>
      <w:pPr>
        <w:jc w:val="both"/>
        <w:ind w:left="1420"/>
        <w:spacing w:after="0" w:line="291" w:lineRule="auto"/>
        <w:rPr>
          <w:rFonts w:ascii="Arial" w:cs="Arial" w:eastAsia="Arial" w:hAnsi="Arial"/>
          <w:sz w:val="18"/>
          <w:szCs w:val="18"/>
          <w:color w:val="auto"/>
        </w:rPr>
      </w:pPr>
      <w:r>
        <w:rPr>
          <w:rFonts w:ascii="Arial" w:cs="Arial" w:eastAsia="Arial" w:hAnsi="Arial"/>
          <w:sz w:val="16"/>
          <w:szCs w:val="16"/>
          <w:color w:val="auto"/>
        </w:rPr>
        <w:t>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 person disclaims the existence of any such group.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 beneficial owners of any of the Ordinary Shares covered by this Statement, and each of Filing Persons and Subsidiaries disclaims beneficial ownership of any such Ordinary Shares.</w:t>
      </w:r>
    </w:p>
    <w:p>
      <w:pPr>
        <w:spacing w:after="0" w:line="16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As of December 31, 2017, the securities reported herein were held as follows: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Excellence "nostro"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-121920</wp:posOffset>
            </wp:positionV>
            <wp:extent cx="644906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906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Excellence pension and provident funds</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Excellence trust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-121920</wp:posOffset>
            </wp:positionV>
            <wp:extent cx="644906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906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Excellence ETF's</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Phoenix "nostro"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-121920</wp:posOffset>
            </wp:positionV>
            <wp:extent cx="644906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4906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Phoenix pension and provident funds</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Linked insurance policies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-121920</wp:posOffset>
            </wp:positionV>
            <wp:extent cx="644906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49060"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Linked insurance policies of Phoenix - Partnership for Israeli shares (1)</w:t>
      </w:r>
    </w:p>
    <w:p>
      <w:pPr>
        <w:spacing w:after="0" w:line="3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Linked insurance policies of Phoenix - Partnership for investing in the TA 125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-107315</wp:posOffset>
            </wp:positionV>
            <wp:extent cx="644906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49060" cy="154305"/>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Partnership for international shares (1)</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of total</w:t>
            </w: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8"/>
              </w:rPr>
              <w:t>Ordinary</w:t>
            </w:r>
          </w:p>
        </w:tc>
      </w:tr>
      <w:tr>
        <w:trPr>
          <w:trHeight w:val="216"/>
        </w:trPr>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Ordinary</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r>
      <w:tr>
        <w:trPr>
          <w:trHeight w:val="241"/>
        </w:trPr>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outstanding</w:t>
            </w:r>
          </w:p>
        </w:tc>
      </w:tr>
      <w:tr>
        <w:trPr>
          <w:trHeight w:val="24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175,261.77</w:t>
            </w:r>
          </w:p>
        </w:tc>
        <w:tc>
          <w:tcPr>
            <w:tcW w:w="1000" w:type="dxa"/>
            <w:vAlign w:val="bottom"/>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1,306,793.41</w:t>
            </w:r>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259,950.24</w:t>
            </w:r>
          </w:p>
        </w:tc>
        <w:tc>
          <w:tcPr>
            <w:tcW w:w="100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4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112,027.20</w:t>
            </w:r>
          </w:p>
        </w:tc>
        <w:tc>
          <w:tcPr>
            <w:tcW w:w="100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4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32,205.71</w:t>
            </w:r>
          </w:p>
        </w:tc>
        <w:tc>
          <w:tcPr>
            <w:tcW w:w="100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4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2,615,942.54</w:t>
            </w:r>
          </w:p>
        </w:tc>
        <w:tc>
          <w:tcPr>
            <w:tcW w:w="100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4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347,474.36</w:t>
            </w:r>
          </w:p>
        </w:tc>
        <w:tc>
          <w:tcPr>
            <w:tcW w:w="100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4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8380" w:space="720"/>
            <w:col w:w="2320"/>
          </w:cols>
          <w:pgMar w:left="240" w:top="364" w:right="239" w:bottom="1440" w:gutter="0" w:footer="0" w:header="0"/>
          <w:type w:val="continuous"/>
        </w:sectPr>
      </w:pPr>
    </w:p>
    <w:p>
      <w:pPr>
        <w:spacing w:after="0" w:line="29" w:lineRule="exact"/>
        <w:rPr>
          <w:sz w:val="20"/>
          <w:szCs w:val="20"/>
          <w:color w:val="auto"/>
        </w:rPr>
      </w:pPr>
    </w:p>
    <w:p>
      <w:pPr>
        <w:ind w:left="1460" w:right="140" w:firstLine="7"/>
        <w:spacing w:after="0" w:line="308" w:lineRule="auto"/>
        <w:tabs>
          <w:tab w:leader="none" w:pos="1705"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ownership rights in this partnership belong to companies that are part of Phoenix Group. The amount of ownership rights held by such companies in the partnership changes frequently according to a mechanism provided in the partnership agreement.</w:t>
      </w:r>
    </w:p>
    <w:p>
      <w:pPr>
        <w:spacing w:after="0" w:line="173" w:lineRule="exact"/>
        <w:rPr>
          <w:rFonts w:ascii="Arial" w:cs="Arial" w:eastAsia="Arial" w:hAnsi="Arial"/>
          <w:sz w:val="17"/>
          <w:szCs w:val="17"/>
          <w:color w:val="auto"/>
        </w:rPr>
      </w:pPr>
    </w:p>
    <w:p>
      <w:pPr>
        <w:ind w:left="1420" w:hanging="656"/>
        <w:spacing w:after="0"/>
        <w:tabs>
          <w:tab w:leader="none" w:pos="14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11 of cover page of each reporting person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6" w:name="page7"/>
    <w:bookmarkEnd w:id="6"/>
    <w:p>
      <w:pPr>
        <w:ind w:left="1420" w:hanging="656"/>
        <w:spacing w:after="0"/>
        <w:tabs>
          <w:tab w:leader="none" w:pos="14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2180" w:hanging="646"/>
        <w:spacing w:after="0"/>
        <w:tabs>
          <w:tab w:leader="none" w:pos="2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See row 5 of cover page of each reporting person</w:t>
      </w:r>
    </w:p>
    <w:p>
      <w:pPr>
        <w:spacing w:after="0" w:line="252" w:lineRule="exact"/>
        <w:rPr>
          <w:rFonts w:ascii="Arial" w:cs="Arial" w:eastAsia="Arial" w:hAnsi="Arial"/>
          <w:sz w:val="18"/>
          <w:szCs w:val="18"/>
          <w:color w:val="auto"/>
        </w:rPr>
      </w:pPr>
    </w:p>
    <w:p>
      <w:pPr>
        <w:ind w:left="2180" w:hanging="646"/>
        <w:spacing w:after="0"/>
        <w:tabs>
          <w:tab w:leader="none" w:pos="2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See row 6 of cover page of each reporting person and note in Item 4(a) above</w:t>
      </w:r>
    </w:p>
    <w:p>
      <w:pPr>
        <w:spacing w:after="0" w:line="23" w:lineRule="exact"/>
        <w:rPr>
          <w:rFonts w:ascii="Arial" w:cs="Arial" w:eastAsia="Arial" w:hAnsi="Arial"/>
          <w:sz w:val="18"/>
          <w:szCs w:val="18"/>
          <w:color w:val="auto"/>
        </w:rPr>
      </w:pPr>
    </w:p>
    <w:p>
      <w:pPr>
        <w:ind w:left="2180" w:right="5300" w:hanging="646"/>
        <w:spacing w:after="0" w:line="572" w:lineRule="auto"/>
        <w:tabs>
          <w:tab w:leader="none" w:pos="21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of each reporting person</w:t>
      </w:r>
    </w:p>
    <w:p>
      <w:pPr>
        <w:ind w:left="2180" w:hanging="646"/>
        <w:spacing w:after="0"/>
        <w:tabs>
          <w:tab w:leader="none" w:pos="21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See row 8 of cover page of each reporting person and note in Item 4(a) above</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56" w:lineRule="exact"/>
        <w:rPr>
          <w:sz w:val="20"/>
          <w:szCs w:val="20"/>
          <w:color w:val="auto"/>
        </w:rPr>
      </w:pPr>
    </w:p>
    <w:p>
      <w:pPr>
        <w:ind w:left="14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w:t>
      </w:r>
      <w:r>
        <w:rPr>
          <w:rFonts w:ascii="Arial" w:cs="Arial" w:eastAsia="Arial" w:hAnsi="Arial"/>
          <w:sz w:val="16"/>
          <w:szCs w:val="16"/>
          <w:color w:val="auto"/>
        </w:rPr>
        <w:t>:</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auto"/>
        </w:rPr>
        <w:t>Control Person</w:t>
      </w:r>
      <w:r>
        <w:rPr>
          <w:rFonts w:ascii="Arial" w:cs="Arial" w:eastAsia="Arial" w:hAnsi="Arial"/>
          <w:sz w:val="18"/>
          <w:szCs w:val="18"/>
          <w:color w:val="auto"/>
        </w:rPr>
        <w:t>:</w:t>
      </w:r>
    </w:p>
    <w:p>
      <w:pPr>
        <w:spacing w:after="0" w:line="238"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5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7" w:name="page8"/>
    <w:bookmarkEnd w:id="7"/>
    <w:p>
      <w:pPr>
        <w:spacing w:after="0"/>
        <w:tabs>
          <w:tab w:leader="none" w:pos="14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February 19, 2018</w:t>
      </w:r>
    </w:p>
    <w:p>
      <w:pPr>
        <w:spacing w:after="0" w:line="2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Itshak Sharon (Tshuva)</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Itshak Sharon (Tshuva)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Itshak Sharon (Tshuva)</w:t>
      </w:r>
    </w:p>
    <w:p>
      <w:pPr>
        <w:spacing w:after="0" w:line="23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Delek Group Ltd.</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Leora Pratt Levin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Leora Pratt Levin*</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V.P. Legal Affairs</w:t>
      </w:r>
    </w:p>
    <w:p>
      <w:pPr>
        <w:spacing w:after="0" w:line="238"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Gabi Last</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Gabi Last*</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Chairman</w:t>
      </w:r>
    </w:p>
    <w:p>
      <w:pPr>
        <w:spacing w:after="0" w:line="23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The Phoenix Holding Ltd.</w:t>
      </w:r>
    </w:p>
    <w:p>
      <w:pPr>
        <w:spacing w:after="0" w:line="229"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Eli Schwartz</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Eli Schwartz**</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/s/Menachem Neeman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Menachem Neeman**</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Legal Counsel and Company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Signature duly authorized by resolution of the Board of Directors, notice of which is attached as Exhibit 2 to this Schedule 13G.</w:t>
      </w:r>
    </w:p>
    <w:p>
      <w:pPr>
        <w:spacing w:after="0" w:line="225" w:lineRule="exact"/>
        <w:rPr>
          <w:sz w:val="20"/>
          <w:szCs w:val="20"/>
          <w:color w:val="auto"/>
        </w:rPr>
      </w:pPr>
    </w:p>
    <w:p>
      <w:pPr>
        <w:ind w:left="5660" w:right="1660" w:hanging="5652"/>
        <w:spacing w:after="0" w:line="277" w:lineRule="auto"/>
        <w:tabs>
          <w:tab w:leader="none" w:pos="2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Signature duly authorized by resolution of the Board of Directors, notice of which is attached as Exhibit 3 to this Schedule 13G.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46990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20"/>
          </w:cols>
          <w:pgMar w:left="240" w:top="364" w:right="539" w:bottom="1440" w:gutter="0" w:footer="0" w:header="0"/>
        </w:sectPr>
      </w:pPr>
    </w:p>
    <w:bookmarkStart w:id="9" w:name="page10"/>
    <w:bookmarkEnd w:id="9"/>
    <w:p>
      <w:pPr>
        <w:spacing w:after="0"/>
        <w:tabs>
          <w:tab w:leader="none" w:pos="11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11" w:lineRule="exact"/>
        <w:rPr>
          <w:sz w:val="20"/>
          <w:szCs w:val="20"/>
          <w:color w:val="auto"/>
        </w:rPr>
      </w:pPr>
    </w:p>
    <w:p>
      <w:pPr>
        <w:ind w:left="1120" w:hanging="1120"/>
        <w:spacing w:after="0" w:line="277" w:lineRule="auto"/>
        <w:tabs>
          <w:tab w:leader="none" w:pos="11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Agreement of Joint Filing by and among the Reporting Persons, dated as of August 22, 2017 (included herein by reference to Exhibit 1 to the Schedule 13G filed on August 23, 2017).</w:t>
      </w:r>
    </w:p>
    <w:p>
      <w:pPr>
        <w:spacing w:after="0" w:line="170" w:lineRule="exact"/>
        <w:rPr>
          <w:sz w:val="20"/>
          <w:szCs w:val="20"/>
          <w:color w:val="auto"/>
        </w:rPr>
      </w:pPr>
    </w:p>
    <w:p>
      <w:pPr>
        <w:ind w:left="1120" w:right="20" w:hanging="1120"/>
        <w:spacing w:after="0" w:line="277" w:lineRule="auto"/>
        <w:tabs>
          <w:tab w:leader="none" w:pos="1100" w:val="left"/>
        </w:tabs>
        <w:rPr>
          <w:sz w:val="20"/>
          <w:szCs w:val="20"/>
          <w:color w:val="auto"/>
        </w:rPr>
      </w:pPr>
      <w:r>
        <w:rPr>
          <w:rFonts w:ascii="Arial" w:cs="Arial" w:eastAsia="Arial" w:hAnsi="Arial"/>
          <w:sz w:val="18"/>
          <w:szCs w:val="18"/>
          <w:color w:val="auto"/>
        </w:rPr>
        <w:t>Exhibit 2</w:t>
      </w:r>
      <w:r>
        <w:rPr>
          <w:sz w:val="20"/>
          <w:szCs w:val="20"/>
          <w:color w:val="auto"/>
        </w:rPr>
        <w:tab/>
      </w:r>
      <w:r>
        <w:rPr>
          <w:rFonts w:ascii="Arial" w:cs="Arial" w:eastAsia="Arial" w:hAnsi="Arial"/>
          <w:sz w:val="18"/>
          <w:szCs w:val="18"/>
          <w:color w:val="auto"/>
        </w:rPr>
        <w:t>Notice of resolution of the Board of Directors of Delek Group Ltd., dated as of November 25, 2009 (included herein by reference to Exhibit 2 to the Schedule 13G filed on August 23, 2017).</w:t>
      </w:r>
    </w:p>
    <w:p>
      <w:pPr>
        <w:spacing w:after="0" w:line="170" w:lineRule="exact"/>
        <w:rPr>
          <w:sz w:val="20"/>
          <w:szCs w:val="20"/>
          <w:color w:val="auto"/>
        </w:rPr>
      </w:pPr>
    </w:p>
    <w:p>
      <w:pPr>
        <w:ind w:left="1120" w:hanging="1120"/>
        <w:spacing w:after="0" w:line="277" w:lineRule="auto"/>
        <w:tabs>
          <w:tab w:leader="none" w:pos="1100" w:val="left"/>
        </w:tabs>
        <w:rPr>
          <w:sz w:val="20"/>
          <w:szCs w:val="20"/>
          <w:color w:val="auto"/>
        </w:rPr>
      </w:pPr>
      <w:r>
        <w:rPr>
          <w:rFonts w:ascii="Arial" w:cs="Arial" w:eastAsia="Arial" w:hAnsi="Arial"/>
          <w:sz w:val="18"/>
          <w:szCs w:val="18"/>
          <w:color w:val="auto"/>
        </w:rPr>
        <w:t>Exhibit 3</w:t>
      </w:r>
      <w:r>
        <w:rPr>
          <w:sz w:val="20"/>
          <w:szCs w:val="20"/>
          <w:color w:val="auto"/>
        </w:rPr>
        <w:tab/>
      </w:r>
      <w:r>
        <w:rPr>
          <w:rFonts w:ascii="Arial" w:cs="Arial" w:eastAsia="Arial" w:hAnsi="Arial"/>
          <w:sz w:val="18"/>
          <w:szCs w:val="18"/>
          <w:color w:val="auto"/>
        </w:rPr>
        <w:t>Notice of resolution of the Board of Directors of the Phoenix Holding Ltd., dated as of May 25, 2017 (included herein by reference to Exhibit 3 to the Schedule 13G filed on August 23, 2017).</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50430" cy="45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2"/>
      <w:numFmt w:val="bullet"/>
      <w:start w:val="1"/>
    </w:lvl>
    <w:lvl w:ilvl="1">
      <w:lvlJc w:val="left"/>
      <w:lvlText w:val="(%2)"/>
      <w:numFmt w:val="lowerLetter"/>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bullet"/>
      <w:start w:val="1"/>
    </w:lvl>
  </w:abstractNum>
  <w:abstractNum w:abstractNumId="7">
    <w:nsid w:val="DED7263"/>
    <w:multiLevelType w:val="hybridMultilevel"/>
    <w:lvl w:ilvl="0">
      <w:lvlJc w:val="left"/>
      <w:lvlText w:val="2"/>
      <w:numFmt w:val="bullet"/>
      <w:start w:val="1"/>
    </w:lvl>
    <w:lvl w:ilvl="1">
      <w:lvlJc w:val="left"/>
      <w:lvlText w:val="(%2)"/>
      <w:numFmt w:val="lowerLetter"/>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bullet"/>
      <w:start w:val="1"/>
    </w:lvl>
  </w:abstractNum>
  <w:abstractNum w:abstractNumId="10">
    <w:nsid w:val="41A7C4C9"/>
    <w:multiLevelType w:val="hybridMultilevel"/>
    <w:lvl w:ilvl="0">
      <w:lvlJc w:val="left"/>
      <w:lvlText w:val="2"/>
      <w:numFmt w:val="bullet"/>
      <w:start w:val="1"/>
    </w:lvl>
    <w:lvl w:ilvl="1">
      <w:lvlJc w:val="left"/>
      <w:lvlText w:val="(%2)"/>
      <w:numFmt w:val="lowerLetter"/>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2"/>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Letter"/>
      <w:start w:val="2"/>
    </w:lvl>
    <w:lvl w:ilvl="1">
      <w:lvlJc w:val="left"/>
      <w:lvlText w:val="%2."/>
      <w:numFmt w:val="decimal"/>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lvl w:ilvl="1">
      <w:lvlJc w:val="left"/>
      <w:lvlText w:val="(%2)"/>
      <w:numFmt w:val="decimal"/>
      <w:start w:val="1"/>
    </w:lvl>
  </w:abstractNum>
  <w:abstractNum w:abstractNumId="17">
    <w:nsid w:val="7C83E458"/>
    <w:multiLevelType w:val="hybridMultilevel"/>
    <w:lvl w:ilvl="0">
      <w:lvlJc w:val="left"/>
      <w:lvlText w:val="(%1)"/>
      <w:numFmt w:val="lowerLetter"/>
      <w:start w:val="2"/>
    </w:lvl>
    <w:lvl w:ilvl="1">
      <w:lvlJc w:val="left"/>
      <w:lvlText w:val="%2"/>
      <w:numFmt w:val="decimal"/>
      <w:start w:val="1"/>
    </w:lvl>
  </w:abstractNum>
  <w:abstractNum w:abstractNumId="18">
    <w:nsid w:val="257130A3"/>
    <w:multiLevelType w:val="hybridMultilevel"/>
    <w:lvl w:ilvl="0">
      <w:lvlJc w:val="left"/>
      <w:lvlText w:val="(%1)"/>
      <w:numFmt w:val="lowerLetter"/>
      <w:start w:val="3"/>
    </w:lvl>
    <w:lvl w:ilvl="1">
      <w:lvlJc w:val="left"/>
      <w:lvlText w:val="(%2)"/>
      <w:numFmt w:val="lowerRoman"/>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2019-12-17T08:30:36Z</dcterms:created>
  <dcterms:modified xsi:type="dcterms:W3CDTF">2019-12-17T08:30:36Z</dcterms:modified>
</cp:coreProperties>
</file>