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2009 (No. 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May 14, 2009, the Registrant announced its financial results for the three months ended March 31, 2009. Attached hereto are the following exhibits</w:t>
      </w:r>
    </w:p>
    <w:p>
      <w:pPr>
        <w:spacing w:after="0" w:line="248" w:lineRule="exact"/>
        <w:rPr>
          <w:sz w:val="24"/>
          <w:szCs w:val="24"/>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May 14,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60" w:type="dxa"/>
            <w:vAlign w:val="bottom"/>
          </w:tcPr>
          <w:p>
            <w:pPr>
              <w:spacing w:after="0"/>
              <w:rPr>
                <w:sz w:val="20"/>
                <w:szCs w:val="20"/>
                <w:color w:val="auto"/>
              </w:rPr>
            </w:pPr>
            <w:r>
              <w:rPr>
                <w:rFonts w:ascii="Arial" w:cs="Arial" w:eastAsia="Arial" w:hAnsi="Arial"/>
                <w:sz w:val="18"/>
                <w:szCs w:val="18"/>
                <w:color w:val="auto"/>
              </w:rPr>
              <w:t>Date: May 14, 2009</w:t>
            </w:r>
          </w:p>
        </w:tc>
        <w:tc>
          <w:tcPr>
            <w:tcW w:w="7860" w:type="dxa"/>
            <w:vAlign w:val="bottom"/>
          </w:tcPr>
          <w:p>
            <w:pPr>
              <w:ind w:left="216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Nati Somekh Gilboa</w:t>
            </w:r>
          </w:p>
        </w:tc>
      </w:tr>
      <w:tr>
        <w:trPr>
          <w:trHeight w:val="222"/>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417"/>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1"/>
        </w:trPr>
        <w:tc>
          <w:tcPr>
            <w:tcW w:w="356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3649345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Tower Semiconductor Reports First Quarter 2009</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Financial Results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growth in specialty products enabling significant ASP increase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MIGDAL HAEMEK, Israel – May 14, 2009 – Tower Semiconductor Ltd. (NASDAQ: TSEM, TASE: TSEM), an independent specialty foundry, today announced financial results for the first quarter ended March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Revenue of $58.1 million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Posted positive cash flow from operations for the tenth consecutive quarter and positive EBITDA for the fourteenth consecutive quarter</w:t>
      </w:r>
    </w:p>
    <w:p>
      <w:pPr>
        <w:spacing w:after="0" w:line="9" w:lineRule="exact"/>
        <w:rPr>
          <w:sz w:val="20"/>
          <w:szCs w:val="20"/>
          <w:color w:val="auto"/>
        </w:rPr>
      </w:pPr>
    </w:p>
    <w:p>
      <w:pPr>
        <w:ind w:left="580" w:right="60" w:hanging="581"/>
        <w:spacing w:after="0" w:line="250" w:lineRule="auto"/>
        <w:rPr>
          <w:sz w:val="20"/>
          <w:szCs w:val="20"/>
          <w:color w:val="auto"/>
        </w:rPr>
      </w:pPr>
      <w:r>
        <w:rPr>
          <w:rFonts w:ascii="Arial" w:cs="Arial" w:eastAsia="Arial" w:hAnsi="Arial"/>
          <w:sz w:val="18"/>
          <w:szCs w:val="18"/>
          <w:color w:val="auto"/>
        </w:rPr>
        <w:t>—Over-achieved post-merger Tower/Jazz $60 million cost reduction plans, with approximately $80 million of annual cost run-rate reductions, as evidenced by maintaining $4 million non-GAAP net profit despite $19 million quarter-over-quarter decrease in revenue</w:t>
      </w:r>
    </w:p>
    <w:p>
      <w:pPr>
        <w:ind w:left="580" w:right="620" w:hanging="581"/>
        <w:spacing w:after="0" w:line="261" w:lineRule="auto"/>
        <w:rPr>
          <w:sz w:val="20"/>
          <w:szCs w:val="20"/>
          <w:color w:val="auto"/>
        </w:rPr>
      </w:pPr>
      <w:r>
        <w:rPr>
          <w:rFonts w:ascii="Arial" w:cs="Arial" w:eastAsia="Arial" w:hAnsi="Arial"/>
          <w:sz w:val="18"/>
          <w:szCs w:val="18"/>
          <w:color w:val="auto"/>
        </w:rPr>
        <w:t>—Achieved record revenue in medical imaging business and, in conjunction with other specialty businesses, enabled an ASP increase of 10 percent sequentially</w:t>
      </w:r>
    </w:p>
    <w:p>
      <w:pPr>
        <w:spacing w:after="0" w:line="200" w:lineRule="exact"/>
        <w:rPr>
          <w:sz w:val="20"/>
          <w:szCs w:val="20"/>
          <w:color w:val="auto"/>
        </w:rPr>
      </w:pPr>
    </w:p>
    <w:p>
      <w:pPr>
        <w:spacing w:after="0" w:line="23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First quarter 2009 revenue was $58.1 million, which was at the mid-point of the Company’s previously provided guidance range. Revenue declined 25 percent as compared to the fourth quarter 2008 (the first full quarter of consolidation with Jazz), as compared to a weighted average reduction of 41 percent for the top four foundries worldwide.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Calculated in accordance with GAAP, net loss for the first quarter narrowed by $2.0 million as compared to the first quarter of 2008 and was $27.6 million, or $0.17 per share.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On a non-GAAP basis, as described and reconciled below, the Company achieved first quarter 2009 gross profit of $12.3 million and a net profit of $4.4 million.</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synergies and operational efficiencies realized through the September 2008 merger with Jazz enabled us to complete this quarter with the same operating cash and EBITDA performance as the fourth quarter of 2008 despite a 25 percent revenue decline,” commented Russell Ellwanger, Chief Executive Officer of Tower Semiconductor, Ltd. “Although our results were impacted by the global economic environment, our revenue decrease was 40 percent less than the industry weighted average due to our focus on specialized non-commodity products and services. The growth of such products has resulted in a notable increase in our average wafer selling price.”</w:t>
      </w:r>
    </w:p>
    <w:p>
      <w:pPr>
        <w:spacing w:after="0" w:line="19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Ellwanger further commented, “We are very pleased with customer response to several of our new platforms such as SiGe as a replacement for GaAs power amplifiers; large area, stitched field dental and medical image sensors; and multiple process innovative and integration intense MEMs products.”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strategy to enhance Tower’s profitable growth, focusing on our specialty business, is gaining momentum, bringing in the results we were hoping for, even in today’s challenging environment,” said Amir Elstein, chairman of the board of directors of Tower Semiconductor. “As a result, although we remain cautious, we are highly optimistic to achieve significant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838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83820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Conference Call/ Web Cast Announcement</w:t>
      </w:r>
    </w:p>
    <w:p>
      <w:pPr>
        <w:spacing w:after="0" w:line="21" w:lineRule="exact"/>
        <w:rPr>
          <w:sz w:val="20"/>
          <w:szCs w:val="20"/>
          <w:color w:val="auto"/>
        </w:rPr>
      </w:pPr>
    </w:p>
    <w:p>
      <w:pPr>
        <w:ind w:left="40" w:right="100"/>
        <w:spacing w:after="0" w:line="295" w:lineRule="auto"/>
        <w:rPr>
          <w:sz w:val="20"/>
          <w:szCs w:val="20"/>
          <w:color w:val="auto"/>
        </w:rPr>
      </w:pPr>
      <w:r>
        <w:rPr>
          <w:rFonts w:ascii="Arial" w:cs="Arial" w:eastAsia="Arial" w:hAnsi="Arial"/>
          <w:sz w:val="16"/>
          <w:szCs w:val="16"/>
          <w:color w:val="auto"/>
        </w:rPr>
        <w:t xml:space="preserve">Tower will host a conference call to discuss first quarter 2009 results today, </w:t>
      </w:r>
      <w:r>
        <w:rPr>
          <w:rFonts w:ascii="Arial" w:cs="Arial" w:eastAsia="Arial" w:hAnsi="Arial"/>
          <w:sz w:val="16"/>
          <w:szCs w:val="16"/>
          <w:b w:val="1"/>
          <w:bCs w:val="1"/>
          <w:color w:val="auto"/>
        </w:rPr>
        <w:t>May 14, 2009</w:t>
      </w:r>
      <w:r>
        <w:rPr>
          <w:rFonts w:ascii="Arial" w:cs="Arial" w:eastAsia="Arial" w:hAnsi="Arial"/>
          <w:sz w:val="16"/>
          <w:szCs w:val="16"/>
          <w:color w:val="auto"/>
        </w:rPr>
        <w:t xml:space="preserve">, at </w:t>
      </w:r>
      <w:r>
        <w:rPr>
          <w:rFonts w:ascii="Arial" w:cs="Arial" w:eastAsia="Arial" w:hAnsi="Arial"/>
          <w:sz w:val="16"/>
          <w:szCs w:val="16"/>
          <w:b w:val="1"/>
          <w:bCs w:val="1"/>
          <w:color w:val="auto"/>
        </w:rPr>
        <w:t>10:00 a.m. Eastern Time</w:t>
      </w:r>
      <w:r>
        <w:rPr>
          <w:rFonts w:ascii="Arial" w:cs="Arial" w:eastAsia="Arial" w:hAnsi="Arial"/>
          <w:sz w:val="16"/>
          <w:szCs w:val="16"/>
          <w:color w:val="auto"/>
        </w:rPr>
        <w:t xml:space="preserve"> (ET) / 5:00 p.m. Israel time. To participate, please call: </w:t>
      </w:r>
      <w:r>
        <w:rPr>
          <w:rFonts w:ascii="Arial" w:cs="Arial" w:eastAsia="Arial" w:hAnsi="Arial"/>
          <w:sz w:val="16"/>
          <w:szCs w:val="16"/>
          <w:b w:val="1"/>
          <w:bCs w:val="1"/>
          <w:color w:val="auto"/>
        </w:rPr>
        <w:t>1-866-345-5855</w:t>
      </w:r>
      <w:r>
        <w:rPr>
          <w:rFonts w:ascii="Arial" w:cs="Arial" w:eastAsia="Arial" w:hAnsi="Arial"/>
          <w:sz w:val="16"/>
          <w:szCs w:val="16"/>
          <w:color w:val="auto"/>
        </w:rPr>
        <w:t xml:space="preserve"> (U.S. toll-free number) or </w:t>
      </w:r>
      <w:r>
        <w:rPr>
          <w:rFonts w:ascii="Arial" w:cs="Arial" w:eastAsia="Arial" w:hAnsi="Arial"/>
          <w:sz w:val="16"/>
          <w:szCs w:val="16"/>
          <w:b w:val="1"/>
          <w:bCs w:val="1"/>
          <w:color w:val="auto"/>
        </w:rPr>
        <w:t>972-3-918-0692</w:t>
      </w:r>
      <w:r>
        <w:rPr>
          <w:rFonts w:ascii="Arial" w:cs="Arial" w:eastAsia="Arial" w:hAnsi="Arial"/>
          <w:sz w:val="16"/>
          <w:szCs w:val="16"/>
          <w:color w:val="auto"/>
        </w:rPr>
        <w:t xml:space="preserve"> (international) and mention ID code: TOWER. Callers in Israel are invited to call locally by dialing </w:t>
      </w:r>
      <w:r>
        <w:rPr>
          <w:rFonts w:ascii="Arial" w:cs="Arial" w:eastAsia="Arial" w:hAnsi="Arial"/>
          <w:sz w:val="16"/>
          <w:szCs w:val="16"/>
          <w:b w:val="1"/>
          <w:bCs w:val="1"/>
          <w:color w:val="auto"/>
        </w:rPr>
        <w:t>03-918-0692</w:t>
      </w:r>
      <w:r>
        <w:rPr>
          <w:rFonts w:ascii="Arial" w:cs="Arial" w:eastAsia="Arial" w:hAnsi="Arial"/>
          <w:sz w:val="16"/>
          <w:szCs w:val="16"/>
          <w:color w:val="auto"/>
        </w:rPr>
        <w:t xml:space="preserve">. The conference call will also be Web cast live at </w:t>
      </w:r>
      <w:r>
        <w:rPr>
          <w:rFonts w:ascii="Arial" w:cs="Arial" w:eastAsia="Arial" w:hAnsi="Arial"/>
          <w:sz w:val="16"/>
          <w:szCs w:val="16"/>
          <w:b w:val="1"/>
          <w:bCs w:val="1"/>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b w:val="1"/>
          <w:bCs w:val="1"/>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2:00 p.m. ET on the day of the call.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As previously announced, beginning with the fourth quarter of 2007, the Company has been presenting its financial statements in accordance with U.S. GAAP.</w:t>
      </w:r>
    </w:p>
    <w:p>
      <w:pPr>
        <w:spacing w:after="0" w:line="24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applied in this release, the term Earnings Before Interest Tax Depreciation and Amortization (EBITDA) consists of loss, according to U.S. GAAP, excluding interest and financing expenses (net), tax, depreciation and amortization, stock based compensation expenses and write-off of in process research and development .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7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(2) compensation expenses in respect of options granted to directors, officers and employees and (3) write-off of in process research and development.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Following the merger with Jazz, the amounts presented in this release, including the financial tables below, include Jazz’s results commencing September 19, 2008. Amounts presented for periods preceding the merger with Jazz reflect Tower’s results only. The balance sheet as of March 31, 2009 and December 31, 2008 includes Jazz’s balances as of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2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w:t>
      </w:r>
    </w:p>
    <w:p>
      <w:pPr>
        <w:sectPr>
          <w:pgSz w:w="11900" w:h="16945" w:orient="portrait"/>
          <w:cols w:equalWidth="0" w:num="1">
            <w:col w:w="11420"/>
          </w:cols>
          <w:pgMar w:left="240" w:top="125" w:right="239" w:bottom="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t xml:space="preserve">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including any expected benefits and anticipated cost savings,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not receiving orders from our wafer partners and customers, which can result in excess capacity, (iii) the cyclical nature of the semiconductor industry and the resulting periodic overcapacity, fluctuations in operating results, future average selling price erosion, (iv) the large amount of debt and liabilities and having sufficient funds to satisfy our short-term and long-term debt obligations and other liabilities on a timely basis, (v) operating our facilities at high utilization rates which is critical in order to defray the high level of fixed costs associated with operating a foundry and reduce our losses, (vi) our ability to satisfy the covenants stipulated in our agreements with our lenders, banks and bond holders, (vii) our ability to capitalize on potential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our merger with Jazz, including possible delays in the integration process, diversion of management’s attention, and not realizing anticipated benefits, (xi) the purchase of equipment to increase capacity, the completion of the equipment installation, technology transfer and raising the funds therefore, (xii) our dependence on a relatively small number of products for a significant portion of our revenue, (xiii) a substantial portion of our revenues being accounted for by a small number of customers, (xiv) the concentration of our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achieving acceptable device yields, product performance and delivery times, (xix) our ability to manufacture products on a timely basis, (xxi) our dependence on intellectual property rights of others, our ability to operate our business without infringing others’ intellectual property rights and our ability to defend our intellectual property against infringement, (xxii) pending resolution of patent infringement claim against the Company, (xxiii) retention of key employees and retention and recruitment of skilled qualified personnel (xxiv) exposure to inflation, currency exchange and interest rate fluctuations and risks associated with doing business internationally and in Israel, (xxv) the current global economic downturn, the prevailing market conditions in the semiconductor industry (including global decreased demand, reduced prices, excess inventory and unutilized capacity) and the lack of availability of funding sources in light of the prevailing financial markets situation, which may adversely affect the future financial results and position of the Company, including its ability to continue to support its ongoing operations, and (xxvi) business interruption due to fire, the security situation in Israel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40,315</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Trade accounts receivable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32,537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45,860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receivables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27,736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38,729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assets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110,299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129,471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28,140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428,781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449,697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GOODWILL</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 NET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660,537</w:t>
            </w:r>
          </w:p>
        </w:tc>
        <w:tc>
          <w:tcPr>
            <w:tcW w:w="24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705,503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convertible debenture</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Short term bank loan</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Trade accounts payable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33,058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8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5,686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28,411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74,155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LOANS FROM BANKS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226,465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DEBENTURES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201,563</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CUSTOMERS' ADVANCES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45,855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559,386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101,151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110,277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660,537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-4523105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-4523105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-4523105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-4523105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-4085590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-4085590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-4085590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-4085590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-466725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-466725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-466725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 and per share data)</w:t>
      </w:r>
    </w:p>
    <w:p>
      <w:pPr>
        <w:spacing w:after="0" w:line="213"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75565</wp:posOffset>
            </wp:positionV>
            <wp:extent cx="1929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GAAP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8"/>
                <w:szCs w:val="18"/>
                <w:b w:val="1"/>
                <w:bCs w:val="1"/>
                <w:color w:val="auto"/>
              </w:rPr>
              <w:t>GAAP</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8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58,059</w:t>
            </w: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74,911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68,255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GROSS LOSS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40" w:type="dxa"/>
            <w:vAlign w:val="bottom"/>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Marketing, 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6,735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OPERATING LOSS</w:t>
            </w:r>
          </w:p>
        </w:tc>
        <w:tc>
          <w:tcPr>
            <w:tcW w:w="4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(27,943)</w:t>
            </w:r>
          </w:p>
        </w:tc>
        <w:tc>
          <w:tcPr>
            <w:tcW w:w="4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(21,392)</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(7,800)</w:t>
            </w:r>
          </w:p>
        </w:tc>
        <w:tc>
          <w:tcPr>
            <w:tcW w:w="0" w:type="dxa"/>
            <w:vAlign w:val="bottom"/>
          </w:tcPr>
          <w:p>
            <w:pPr>
              <w:spacing w:after="0"/>
              <w:rPr>
                <w:sz w:val="1"/>
                <w:szCs w:val="1"/>
                <w:color w:val="auto"/>
              </w:rPr>
            </w:pPr>
          </w:p>
        </w:tc>
      </w:tr>
      <w:tr>
        <w:trPr>
          <w:trHeight w:val="4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OTHER EXPENSE, NET</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LOSS BEFORE INCOME TAX BENEFIT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(28,921)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(29,620)</w:t>
            </w:r>
          </w:p>
        </w:tc>
        <w:tc>
          <w:tcPr>
            <w:tcW w:w="0" w:type="dxa"/>
            <w:vAlign w:val="bottom"/>
          </w:tcPr>
          <w:p>
            <w:pPr>
              <w:spacing w:after="0"/>
              <w:rPr>
                <w:sz w:val="1"/>
                <w:szCs w:val="1"/>
                <w:color w:val="auto"/>
              </w:rPr>
            </w:pPr>
          </w:p>
        </w:tc>
      </w:tr>
      <w:tr>
        <w:trPr>
          <w:trHeight w:val="4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INCOME TAX BENEFIT RELATED TO JAZZ</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LOSS FOR THE PERIOD</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(27,644)</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(29,620)</w:t>
            </w:r>
          </w:p>
        </w:tc>
        <w:tc>
          <w:tcPr>
            <w:tcW w:w="0" w:type="dxa"/>
            <w:vAlign w:val="bottom"/>
          </w:tcPr>
          <w:p>
            <w:pPr>
              <w:spacing w:after="0"/>
              <w:rPr>
                <w:sz w:val="1"/>
                <w:szCs w:val="1"/>
                <w:color w:val="auto"/>
              </w:rPr>
            </w:pPr>
          </w:p>
        </w:tc>
      </w:tr>
      <w:tr>
        <w:trPr>
          <w:trHeight w:val="132"/>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2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loss per share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(0.17)</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Weighted average number of ordinary</w:t>
            </w: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shares outstanding - in thousands</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160,026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124,228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-3279140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-3279140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-3279140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-3279140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-1315720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-1315720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-1315720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-603885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-603885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-603885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6"/>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non-GAAP</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87"/>
              </w:rPr>
              <w:t>Adjustments (see a, b, c, d below)</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6"/>
          </w:tcPr>
          <w:p>
            <w:pPr>
              <w:jc w:val="center"/>
              <w:ind w:right="108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58,059</w:t>
            </w:r>
          </w:p>
        </w:tc>
        <w:tc>
          <w:tcPr>
            <w:tcW w:w="3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77,453</w:t>
            </w:r>
          </w:p>
        </w:tc>
        <w:tc>
          <w:tcPr>
            <w:tcW w:w="3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58,059</w:t>
            </w: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77,453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45,749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61,894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29,162(a)</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26,346(a)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74,911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88,240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GROSS PROFIT (LOSS)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12,310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(29,162)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(26,346)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(16,852)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(10,787)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Research and development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563(b)</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654(b)</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Marketing, general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administrative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6,933</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9,186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(198)(c)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1,352(c)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6,735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b w:val="1"/>
                <w:bCs w:val="1"/>
                <w:color w:val="auto"/>
              </w:rPr>
              <w:t>Write-off of in-process research</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development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10,726</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13,811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1,506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11,091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15,317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OPERATING PROFIT (LOSS)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(29,527)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(27,852)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(27,943)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(26,104)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FINANCING INCOME (EXPENSE),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(2,485)(d)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(530)(d)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2,808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EXPENSE,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3220" w:type="dxa"/>
            <w:vAlign w:val="bottom"/>
            <w:gridSpan w:val="2"/>
          </w:tcPr>
          <w:p>
            <w:pPr>
              <w:ind w:left="520"/>
              <w:spacing w:after="0"/>
              <w:rPr>
                <w:sz w:val="20"/>
                <w:szCs w:val="20"/>
                <w:color w:val="auto"/>
              </w:rPr>
            </w:pPr>
            <w:r>
              <w:rPr>
                <w:rFonts w:ascii="Arial" w:cs="Arial" w:eastAsia="Arial" w:hAnsi="Arial"/>
                <w:sz w:val="18"/>
                <w:szCs w:val="18"/>
                <w:b w:val="1"/>
                <w:bCs w:val="1"/>
                <w:color w:val="auto"/>
              </w:rPr>
              <w:t>PROFIT (LOSS) BEFORE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(PROVISION)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3,091</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(32,012)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(28,382)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(28,921)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-2009775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-2009775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-2009775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-2009775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-2009775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-2009775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-2009775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-2009775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-2009775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-2009775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-2009775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-2009775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369"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1,277</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(575)</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RELATED TO JAZZ</w:t>
            </w: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24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NET PROFIT (LOSS) FOR</w:t>
            </w: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2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THE PERIOD</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4,368</w:t>
            </w:r>
          </w:p>
        </w:tc>
        <w:tc>
          <w:tcPr>
            <w:tcW w:w="36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4,231</w:t>
            </w:r>
          </w:p>
        </w:tc>
        <w:tc>
          <w:tcPr>
            <w:tcW w:w="3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(32,012)</w:t>
            </w:r>
          </w:p>
        </w:tc>
        <w:tc>
          <w:tcPr>
            <w:tcW w:w="3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(28,382)</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(27,644)</w:t>
            </w:r>
          </w:p>
        </w:tc>
        <w:tc>
          <w:tcPr>
            <w:tcW w:w="3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(24,151)</w:t>
            </w: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NON-GAAP GROSS MARGINS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240" w:type="dxa"/>
            <w:vAlign w:val="bottom"/>
            <w:gridSpan w:val="2"/>
          </w:tcPr>
          <w:p>
            <w:pPr>
              <w:ind w:left="320"/>
              <w:spacing w:after="0"/>
              <w:rPr>
                <w:sz w:val="20"/>
                <w:szCs w:val="20"/>
                <w:color w:val="auto"/>
              </w:rPr>
            </w:pPr>
            <w:r>
              <w:rPr>
                <w:rFonts w:ascii="Arial" w:cs="Arial" w:eastAsia="Arial" w:hAnsi="Arial"/>
                <w:sz w:val="18"/>
                <w:szCs w:val="18"/>
                <w:b w:val="1"/>
                <w:bCs w:val="1"/>
                <w:color w:val="auto"/>
              </w:rPr>
              <w:t>NON-GAAP NET MARGINS</w:t>
            </w:r>
          </w:p>
        </w:tc>
        <w:tc>
          <w:tcPr>
            <w:tcW w:w="3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-904240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-904240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-904240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-904240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-904240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-904240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-904240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-904240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-904240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-904240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-904240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-904240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-466725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-466725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-466725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-466725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right="120" w:hanging="572"/>
        <w:spacing w:after="0" w:line="275"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$29,009 and $26,150 and stock based compensation expenses in the amounts of $153 and $196 for the three months ended March 31, 2009 and December 31, 2008, respectively.</w:t>
      </w:r>
    </w:p>
    <w:p>
      <w:pPr>
        <w:spacing w:after="0" w:line="200" w:lineRule="exact"/>
        <w:rPr>
          <w:rFonts w:ascii="Arial" w:cs="Arial" w:eastAsia="Arial" w:hAnsi="Arial"/>
          <w:sz w:val="18"/>
          <w:szCs w:val="18"/>
          <w:b w:val="1"/>
          <w:bCs w:val="1"/>
          <w:color w:val="auto"/>
        </w:rPr>
      </w:pPr>
    </w:p>
    <w:p>
      <w:pPr>
        <w:ind w:left="580" w:right="360" w:hanging="572"/>
        <w:spacing w:after="0" w:line="339" w:lineRule="auto"/>
        <w:tabs>
          <w:tab w:leader="none" w:pos="5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amounts of $403 and $532 and stock based compensation expenses in the amounts of $160 and $122 for the three months ended March 31, 2009 and December 31, 2008, respectively.</w:t>
      </w:r>
    </w:p>
    <w:p>
      <w:pPr>
        <w:spacing w:after="0" w:line="155" w:lineRule="exact"/>
        <w:rPr>
          <w:rFonts w:ascii="Arial" w:cs="Arial" w:eastAsia="Arial" w:hAnsi="Arial"/>
          <w:sz w:val="16"/>
          <w:szCs w:val="16"/>
          <w:b w:val="1"/>
          <w:bCs w:val="1"/>
          <w:color w:val="auto"/>
        </w:rPr>
      </w:pPr>
    </w:p>
    <w:p>
      <w:pPr>
        <w:ind w:left="580" w:right="360" w:hanging="572"/>
        <w:spacing w:after="0" w:line="339" w:lineRule="auto"/>
        <w:tabs>
          <w:tab w:leader="none" w:pos="5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amounts of $335 and $325 and stock based compensation expenses in the amounts of -$533 and $1,027 for the three months ended March 31, 2009 and December 31, 2008, respectively.</w:t>
      </w:r>
    </w:p>
    <w:p>
      <w:pPr>
        <w:spacing w:after="0" w:line="155" w:lineRule="exact"/>
        <w:rPr>
          <w:rFonts w:ascii="Arial" w:cs="Arial" w:eastAsia="Arial" w:hAnsi="Arial"/>
          <w:sz w:val="16"/>
          <w:szCs w:val="16"/>
          <w:b w:val="1"/>
          <w:bCs w:val="1"/>
          <w:color w:val="auto"/>
        </w:rPr>
      </w:pPr>
    </w:p>
    <w:p>
      <w:pPr>
        <w:ind w:left="580" w:right="600" w:hanging="572"/>
        <w:spacing w:after="0" w:line="275"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Includes amortization expense of debt related vehicles in the amounts of $2,485 and $530 for the three months ended March 31, 2009 and December 31,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mdash "/>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2019-12-10T12:47:02Z</dcterms:created>
  <dcterms:modified xsi:type="dcterms:W3CDTF">2019-12-10T12:47:02Z</dcterms:modified>
</cp:coreProperties>
</file>