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For the month of May 2006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On May 17, 2006, the Registrant announced record revenues during first quarter 2006. Attached hereto is a copy of the press release.</w:t>
      </w:r>
    </w:p>
    <w:p>
      <w:pPr>
        <w:spacing w:after="0" w:line="208"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18,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ANNOUNCES RECORD</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REVENUES DURING FIRST QUARTER 2006</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REVENUES UP 55% AND DOUBLING OF FAB 2 CUSTOMERS IN PRODUCTION AS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COMPARED TO Q1 2005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May 17, 2006 -- Tower Semiconductor Ltd. (NASDAQ: TSEM; TASE: TSEM), a pure-play independent specialty foundry, today announced first quarter 2006 results with record revenues of $35.9 million. These revenues represent an increase of 55% over the $23.2 million reported in the first quarter of 2005 and an increase of 15% over the $31.1 million reported in the fourth quarter of 2005. The 2006 first quarter loss was $45.1 million, or $0.63 per share, which included depreciation and amortization expenses of $38.1 million, compared to a loss of $55.3 million, or $0.84 per share, in the first quarter of 2005, which included depreciation and amortization expenses of $34.6 million.</w:t>
      </w:r>
    </w:p>
    <w:p>
      <w:pPr>
        <w:spacing w:after="0" w:line="21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Tower expects further growth in revenues for the second quarter of 2006 over the first quarter of 17% to 25%, and guides revenues of $42 to $45 million.</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are continuing to execute according to our growth plan and are pleased with both the Q1 revenues, which are the highest in the company's history, and the EBITDA growth", said Russell Ellwanger, chief executive officer, Tower Semiconductor. "We have increased our Fab 2 customers in production base line by a factor of greater than 2 in the past year and are facing strong demand from both the new and existing customers. This quarter demonstrates the strength and realization of our customers' pipeline. The board approved plan to increase Fab 2 capacity by an additional 50%, the partnership with our banks in restructuring Tower's debt, and The Israel Corporation commitment to invest $100 million provide very encouraging outlook for a strong 2006, where we will continue to focus on best serving our customers and contributing to their market success."</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Tower will host a conference call to discuss these results Thursday, May 18, 2006, at 11:00 a.m. Eastern Daylight Time /6 p.m. Israel time. To participate, please call 1-866-860-9642 (U.S. toll-free number) or 972-3-918-0600 (international) and mention ID code: TOWER. Callers in Israel are invited to call locally 03-918-0600. The conference call will also be web cast live at www.companyboardroom.com and at www.towersemi.com and will be available thereafter on both websites for replay for 90 days, starting at 2:00 p.m. Eastern Daylight Time on the day of the call.</w:t>
      </w:r>
    </w:p>
    <w:p>
      <w:pPr>
        <w:sectPr>
          <w:pgSz w:w="11900" w:h="16838" w:orient="portrait"/>
          <w:cols w:equalWidth="0" w:num="1">
            <w:col w:w="10219"/>
          </w:cols>
          <w:pgMar w:left="240" w:top="919" w:right="1440" w:bottom="1440" w:gutter="0" w:footer="0" w:header="0"/>
        </w:sectPr>
      </w:pPr>
    </w:p>
    <w:bookmarkStart w:id="3" w:name="page4"/>
    <w:bookmarkEnd w:id="3"/>
    <w:p>
      <w:pPr>
        <w:ind w:right="1779"/>
        <w:spacing w:after="0" w:line="237" w:lineRule="auto"/>
        <w:rPr>
          <w:sz w:val="20"/>
          <w:szCs w:val="20"/>
          <w:color w:val="auto"/>
        </w:rPr>
      </w:pPr>
      <w:r>
        <w:rPr>
          <w:rFonts w:ascii="Courier New" w:cs="Courier New" w:eastAsia="Courier New" w:hAnsi="Courier New"/>
          <w:sz w:val="18"/>
          <w:szCs w:val="18"/>
          <w:color w:val="auto"/>
        </w:rPr>
        <w:t>As used in this release, the term EBITDA consists of loss, according to GAAP (Generally Accepted Accounting Principles), excluding interest and financing expenses (net), tax and depreciation and amortization expenses. EBITDA is not a required GAAP financial measure and may not be comparable to a similarly titled measure employed by other companies.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0.35-micron and can produce up to 16,000 150mm wafers per month. Fab 2 features 0.18-micron and below standard and specialized process technologies and has a current capacity of up to 15,000 200mm wafers per month. Tower's website is located at 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Tower Semiconductor</w:t>
      </w:r>
    </w:p>
    <w:p>
      <w:pPr>
        <w:ind w:left="640"/>
        <w:spacing w:after="0" w:line="238" w:lineRule="auto"/>
        <w:rPr>
          <w:sz w:val="20"/>
          <w:szCs w:val="20"/>
          <w:color w:val="auto"/>
        </w:rPr>
      </w:pPr>
      <w:r>
        <w:rPr>
          <w:rFonts w:ascii="Courier New" w:cs="Courier New" w:eastAsia="Courier New" w:hAnsi="Courier New"/>
          <w:sz w:val="18"/>
          <w:szCs w:val="18"/>
          <w:color w:val="auto"/>
        </w:rPr>
        <w:t>Ilanit Vudinsky, +972 4 650 6434</w:t>
      </w:r>
    </w:p>
    <w:p>
      <w:pPr>
        <w:ind w:left="640"/>
        <w:spacing w:after="0"/>
        <w:rPr>
          <w:sz w:val="20"/>
          <w:szCs w:val="20"/>
          <w:color w:val="auto"/>
        </w:rPr>
      </w:pPr>
      <w:r>
        <w:rPr>
          <w:rFonts w:ascii="Courier New" w:cs="Courier New" w:eastAsia="Courier New" w:hAnsi="Courier New"/>
          <w:sz w:val="18"/>
          <w:szCs w:val="18"/>
          <w:color w:val="auto"/>
        </w:rPr>
        <w:t>ilanitvu@towersemi.com</w:t>
      </w:r>
    </w:p>
    <w:p>
      <w:pPr>
        <w:sectPr>
          <w:pgSz w:w="11900" w:h="16838" w:orient="portrait"/>
          <w:cols w:equalWidth="0" w:num="1">
            <w:col w:w="10219"/>
          </w:cols>
          <w:pgMar w:left="240" w:top="92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operate the company in the short-term and raising the funds required to implement the ramp up plan and complete Fab 2,</w:t>
      </w:r>
    </w:p>
    <w:p>
      <w:pPr>
        <w:spacing w:after="0" w:line="1" w:lineRule="exact"/>
        <w:rPr>
          <w:sz w:val="20"/>
          <w:szCs w:val="20"/>
          <w:color w:val="auto"/>
        </w:rPr>
      </w:pPr>
    </w:p>
    <w:p>
      <w:pPr>
        <w:ind w:right="1779" w:firstLine="8"/>
        <w:spacing w:after="0" w:line="238" w:lineRule="auto"/>
        <w:tabs>
          <w:tab w:leader="none" w:pos="6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cyclical nature of the semiconductor industry and the resulting periodic overcapacity, fluctuations in operating results, future average selling price erosion that may be more severe than our expectations, (iv) operating our facilities at satisfactory utilization rates which is critical in order to cover the high level of fixed costs associated with operating a foundry, (v) our ability to satisfy certain of the covenants stipulated in our amended facility agreement (vi) the receipt of our banks' approval of the ramp up plan for Fab 2 and the entering into and consummation of a definitive agreement with our banks for the restructuring our debt, (vii) our ability to capitalize on increases in demand for foundry services, (viii) meeting the conditions to receive Israeli government grants and tax benefits approved for Fab 2 and obtaining the approval of the Israeli Investment Center for a new expansion program, (ix) attracting additional customers, (x) not receiving orders from our wafer partners, customers and technology providers, (xi) failing to maintain and develop our technology processes and services, (xii) competing effectively, (xiii) our large amount of debt and our ability to repay our debt on a timely basis, (xiv) achieving acceptable device yields, product performance and delivery times, (xv) the timely development, internal qualification and customer acceptance of new processes and products, (xvi) the receipt of shareholder and other approvals as required under applicable law or otherwise, including in connection with the potential investment by TIC and the agreement with TIC for the ordering of equipment described above, (xvii) business interruption due to terror attacks, earthquakes, and other acts of God and (xviii) the entering into and the consummation of investment agreements, including the potential investment by TIC.</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F-1, F-3 and 6-K, as were filed with the Securities and Exchange Commission and the Israel Securities Authority. Future results may differ materially from those previously reported. We do not intend to update, and expressly disclaim any obligation to update, the information contained in this release.</w:t>
      </w:r>
    </w:p>
    <w:p>
      <w:pPr>
        <w:sectPr>
          <w:pgSz w:w="11900" w:h="16838" w:orient="portrait"/>
          <w:cols w:equalWidth="0" w:num="1">
            <w:col w:w="10219"/>
          </w:cols>
          <w:pgMar w:left="240" w:top="919" w:right="1440" w:bottom="1440" w:gutter="0" w:footer="0" w:header="0"/>
        </w:sectPr>
      </w:pPr>
    </w:p>
    <w:bookmarkStart w:id="5" w:name="page6"/>
    <w:bookmarkEnd w:id="5"/>
    <w:p>
      <w:pPr>
        <w:jc w:val="center"/>
        <w:ind w:right="1679"/>
        <w:spacing w:after="0"/>
        <w:rPr>
          <w:sz w:val="20"/>
          <w:szCs w:val="20"/>
          <w:color w:val="auto"/>
        </w:rPr>
      </w:pPr>
      <w:r>
        <w:rPr>
          <w:rFonts w:ascii="Courier New" w:cs="Courier New" w:eastAsia="Courier New" w:hAnsi="Courier New"/>
          <w:sz w:val="18"/>
          <w:szCs w:val="18"/>
          <w:color w:val="auto"/>
        </w:rPr>
        <w:t>TOWER SEMICONDUCTOR LTD. AND SUBSIDIARY</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tbl>
      <w:tblPr>
        <w:tblLayout w:type="fixed"/>
        <w:tblInd w:w="0" w:type="dxa"/>
        <w:tblCellMar>
          <w:top w:w="0" w:type="dxa"/>
          <w:left w:w="0" w:type="dxa"/>
          <w:bottom w:w="0" w:type="dxa"/>
          <w:right w:w="0" w:type="dxa"/>
        </w:tblCellMar>
      </w:tblPr>
      <w:tr>
        <w:trPr>
          <w:trHeight w:val="203"/>
        </w:trPr>
        <w:tc>
          <w:tcPr>
            <w:tcW w:w="6800" w:type="dxa"/>
            <w:vAlign w:val="bottom"/>
          </w:tcPr>
          <w:p>
            <w:pPr>
              <w:ind w:left="3060"/>
              <w:spacing w:after="0"/>
              <w:rPr>
                <w:sz w:val="20"/>
                <w:szCs w:val="20"/>
                <w:color w:val="auto"/>
              </w:rPr>
            </w:pPr>
            <w:r>
              <w:rPr>
                <w:rFonts w:ascii="Courier New" w:cs="Courier New" w:eastAsia="Courier New" w:hAnsi="Courier New"/>
                <w:sz w:val="18"/>
                <w:szCs w:val="18"/>
                <w:color w:val="auto"/>
              </w:rPr>
              <w:t>(DOLLARS IN THOUSANDS)</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810"/>
        </w:trPr>
        <w:tc>
          <w:tcPr>
            <w:tcW w:w="6800" w:type="dxa"/>
            <w:vAlign w:val="bottom"/>
          </w:tcPr>
          <w:p>
            <w:pPr>
              <w:spacing w:after="0"/>
              <w:rPr>
                <w:sz w:val="24"/>
                <w:szCs w:val="24"/>
                <w:color w:val="auto"/>
              </w:rPr>
            </w:pPr>
          </w:p>
        </w:tc>
        <w:tc>
          <w:tcPr>
            <w:tcW w:w="14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MARCH 31,</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68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2006</w:t>
            </w:r>
          </w:p>
        </w:tc>
        <w:tc>
          <w:tcPr>
            <w:tcW w:w="380" w:type="dxa"/>
            <w:vAlign w:val="bottom"/>
          </w:tcPr>
          <w:p>
            <w:pPr>
              <w:spacing w:after="0"/>
              <w:rPr>
                <w:sz w:val="17"/>
                <w:szCs w:val="17"/>
                <w:color w:val="auto"/>
              </w:rPr>
            </w:pPr>
          </w:p>
        </w:tc>
        <w:tc>
          <w:tcPr>
            <w:tcW w:w="1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68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A S S E T 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6800" w:type="dxa"/>
            <w:vAlign w:val="bottom"/>
          </w:tcPr>
          <w:p>
            <w:pPr>
              <w:ind w:left="540"/>
              <w:spacing w:after="0"/>
              <w:rPr>
                <w:sz w:val="20"/>
                <w:szCs w:val="20"/>
                <w:color w:val="auto"/>
              </w:rPr>
            </w:pPr>
            <w:r>
              <w:rPr>
                <w:rFonts w:ascii="Courier New" w:cs="Courier New" w:eastAsia="Courier New" w:hAnsi="Courier New"/>
                <w:sz w:val="18"/>
                <w:szCs w:val="18"/>
                <w:color w:val="auto"/>
              </w:rPr>
              <w:t>CURRENT ASSETS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17,570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7,337</w:t>
            </w:r>
          </w:p>
        </w:tc>
      </w:tr>
      <w:tr>
        <w:trPr>
          <w:trHeight w:val="203"/>
        </w:trPr>
        <w:tc>
          <w:tcPr>
            <w:tcW w:w="6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7"/>
              </w:rPr>
              <w:t>DESIGNATED CASH AND SHORT-TERM INTEREST-BEARING DEPOSITS</w:t>
            </w:r>
          </w:p>
        </w:tc>
        <w:tc>
          <w:tcPr>
            <w:tcW w:w="4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15,126</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31,661</w:t>
            </w:r>
          </w:p>
        </w:tc>
      </w:tr>
      <w:tr>
        <w:trPr>
          <w:trHeight w:val="203"/>
        </w:trPr>
        <w:tc>
          <w:tcPr>
            <w:tcW w:w="6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TRADE ACCOUNTS RECEIVABLE</w:t>
            </w:r>
          </w:p>
        </w:tc>
        <w:tc>
          <w:tcPr>
            <w:tcW w:w="4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18,882</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16,776</w:t>
            </w:r>
          </w:p>
        </w:tc>
      </w:tr>
      <w:tr>
        <w:trPr>
          <w:trHeight w:val="203"/>
        </w:trPr>
        <w:tc>
          <w:tcPr>
            <w:tcW w:w="6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RECEIVABLES</w:t>
            </w:r>
          </w:p>
        </w:tc>
        <w:tc>
          <w:tcPr>
            <w:tcW w:w="4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8,937</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9,043</w:t>
            </w:r>
          </w:p>
        </w:tc>
      </w:tr>
      <w:tr>
        <w:trPr>
          <w:trHeight w:val="203"/>
        </w:trPr>
        <w:tc>
          <w:tcPr>
            <w:tcW w:w="6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INVENTORIES</w:t>
            </w:r>
          </w:p>
        </w:tc>
        <w:tc>
          <w:tcPr>
            <w:tcW w:w="4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28,684</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24,376</w:t>
            </w:r>
          </w:p>
        </w:tc>
      </w:tr>
      <w:tr>
        <w:trPr>
          <w:trHeight w:val="203"/>
        </w:trPr>
        <w:tc>
          <w:tcPr>
            <w:tcW w:w="6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4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1,350</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1,048</w:t>
            </w:r>
          </w:p>
        </w:tc>
      </w:tr>
      <w:tr>
        <w:trPr>
          <w:trHeight w:val="203"/>
        </w:trPr>
        <w:tc>
          <w:tcPr>
            <w:tcW w:w="68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jc w:val="right"/>
              <w:ind w:right="343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4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90,549</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90,241</w:t>
            </w:r>
          </w:p>
        </w:tc>
      </w:tr>
      <w:tr>
        <w:trPr>
          <w:trHeight w:val="203"/>
        </w:trPr>
        <w:tc>
          <w:tcPr>
            <w:tcW w:w="68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800" w:type="dxa"/>
            <w:vAlign w:val="bottom"/>
          </w:tcPr>
          <w:p>
            <w:pPr>
              <w:ind w:left="540"/>
              <w:spacing w:after="0"/>
              <w:rPr>
                <w:sz w:val="20"/>
                <w:szCs w:val="20"/>
                <w:color w:val="auto"/>
              </w:rPr>
            </w:pPr>
            <w:r>
              <w:rPr>
                <w:rFonts w:ascii="Courier New" w:cs="Courier New" w:eastAsia="Courier New" w:hAnsi="Courier New"/>
                <w:sz w:val="18"/>
                <w:szCs w:val="18"/>
                <w:color w:val="auto"/>
              </w:rPr>
              <w:t>PROPERTY AND EQUIPMENT, NET</w:t>
            </w:r>
          </w:p>
        </w:tc>
        <w:tc>
          <w:tcPr>
            <w:tcW w:w="42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484,289</w:t>
            </w:r>
          </w:p>
        </w:tc>
        <w:tc>
          <w:tcPr>
            <w:tcW w:w="38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510,645</w:t>
            </w:r>
          </w:p>
        </w:tc>
      </w:tr>
      <w:tr>
        <w:trPr>
          <w:trHeight w:val="203"/>
        </w:trPr>
        <w:tc>
          <w:tcPr>
            <w:tcW w:w="68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ind w:left="540"/>
              <w:spacing w:after="0"/>
              <w:rPr>
                <w:sz w:val="20"/>
                <w:szCs w:val="20"/>
                <w:color w:val="auto"/>
              </w:rPr>
            </w:pPr>
            <w:r>
              <w:rPr>
                <w:rFonts w:ascii="Courier New" w:cs="Courier New" w:eastAsia="Courier New" w:hAnsi="Courier New"/>
                <w:sz w:val="18"/>
                <w:szCs w:val="18"/>
                <w:color w:val="auto"/>
              </w:rPr>
              <w:t>OTHER ASSETS, NET</w:t>
            </w:r>
          </w:p>
        </w:tc>
        <w:tc>
          <w:tcPr>
            <w:tcW w:w="42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61,201</w:t>
            </w:r>
          </w:p>
        </w:tc>
        <w:tc>
          <w:tcPr>
            <w:tcW w:w="38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77,800</w:t>
            </w:r>
          </w:p>
        </w:tc>
      </w:tr>
      <w:tr>
        <w:trPr>
          <w:trHeight w:val="203"/>
        </w:trPr>
        <w:tc>
          <w:tcPr>
            <w:tcW w:w="68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ind w:left="1480"/>
              <w:spacing w:after="0"/>
              <w:rPr>
                <w:sz w:val="20"/>
                <w:szCs w:val="20"/>
                <w:color w:val="auto"/>
              </w:rPr>
            </w:pPr>
            <w:r>
              <w:rPr>
                <w:rFonts w:ascii="Courier New" w:cs="Courier New" w:eastAsia="Courier New" w:hAnsi="Courier New"/>
                <w:sz w:val="18"/>
                <w:szCs w:val="18"/>
                <w:color w:val="auto"/>
              </w:rPr>
              <w:t>TOTAL ASSETS</w:t>
            </w:r>
          </w:p>
        </w:tc>
        <w:tc>
          <w:tcPr>
            <w:tcW w:w="14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$ 636,039</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$ 678,686</w:t>
            </w:r>
          </w:p>
        </w:tc>
      </w:tr>
      <w:tr>
        <w:trPr>
          <w:trHeight w:val="203"/>
        </w:trPr>
        <w:tc>
          <w:tcPr>
            <w:tcW w:w="68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6800" w:type="dxa"/>
            <w:vAlign w:val="bottom"/>
          </w:tcPr>
          <w:p>
            <w:pPr>
              <w:ind w:left="540"/>
              <w:spacing w:after="0"/>
              <w:rPr>
                <w:sz w:val="20"/>
                <w:szCs w:val="20"/>
                <w:color w:val="auto"/>
              </w:rPr>
            </w:pPr>
            <w:r>
              <w:rPr>
                <w:rFonts w:ascii="Courier New" w:cs="Courier New" w:eastAsia="Courier New" w:hAnsi="Courier New"/>
                <w:sz w:val="18"/>
                <w:szCs w:val="18"/>
                <w:color w:val="auto"/>
              </w:rPr>
              <w:t>CURRENT LIABILITIES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21,103</w:t>
            </w:r>
          </w:p>
        </w:tc>
      </w:tr>
      <w:tr>
        <w:trPr>
          <w:trHeight w:val="203"/>
        </w:trPr>
        <w:tc>
          <w:tcPr>
            <w:tcW w:w="6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CURRENT MATURITIES OF CONVERTIBLE DEBENTURES</w:t>
            </w:r>
          </w:p>
        </w:tc>
        <w:tc>
          <w:tcPr>
            <w:tcW w:w="4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5,734</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6,453</w:t>
            </w:r>
          </w:p>
        </w:tc>
      </w:tr>
      <w:tr>
        <w:trPr>
          <w:trHeight w:val="203"/>
        </w:trPr>
        <w:tc>
          <w:tcPr>
            <w:tcW w:w="6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TRADE ACCOUNTS PAYABLE</w:t>
            </w:r>
          </w:p>
        </w:tc>
        <w:tc>
          <w:tcPr>
            <w:tcW w:w="4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52,028</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59,741</w:t>
            </w:r>
          </w:p>
        </w:tc>
      </w:tr>
      <w:tr>
        <w:trPr>
          <w:trHeight w:val="203"/>
        </w:trPr>
        <w:tc>
          <w:tcPr>
            <w:tcW w:w="6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4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8,913</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8,972</w:t>
            </w:r>
          </w:p>
        </w:tc>
      </w:tr>
      <w:tr>
        <w:trPr>
          <w:trHeight w:val="203"/>
        </w:trPr>
        <w:tc>
          <w:tcPr>
            <w:tcW w:w="68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4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66,675</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96,269</w:t>
            </w:r>
          </w:p>
        </w:tc>
      </w:tr>
      <w:tr>
        <w:trPr>
          <w:trHeight w:val="405"/>
        </w:trPr>
        <w:tc>
          <w:tcPr>
            <w:tcW w:w="6800" w:type="dxa"/>
            <w:vAlign w:val="bottom"/>
          </w:tcPr>
          <w:p>
            <w:pPr>
              <w:ind w:left="540"/>
              <w:spacing w:after="0"/>
              <w:rPr>
                <w:sz w:val="20"/>
                <w:szCs w:val="20"/>
                <w:color w:val="auto"/>
              </w:rPr>
            </w:pPr>
            <w:r>
              <w:rPr>
                <w:rFonts w:ascii="Courier New" w:cs="Courier New" w:eastAsia="Courier New" w:hAnsi="Courier New"/>
                <w:sz w:val="18"/>
                <w:szCs w:val="18"/>
                <w:color w:val="auto"/>
              </w:rPr>
              <w:t>LONG-TERM DEBT</w:t>
            </w:r>
          </w:p>
        </w:tc>
        <w:tc>
          <w:tcPr>
            <w:tcW w:w="42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514,966</w:t>
            </w:r>
          </w:p>
        </w:tc>
        <w:tc>
          <w:tcPr>
            <w:tcW w:w="38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497,000</w:t>
            </w:r>
          </w:p>
        </w:tc>
      </w:tr>
      <w:tr>
        <w:trPr>
          <w:trHeight w:val="405"/>
        </w:trPr>
        <w:tc>
          <w:tcPr>
            <w:tcW w:w="6800" w:type="dxa"/>
            <w:vAlign w:val="bottom"/>
          </w:tcPr>
          <w:p>
            <w:pPr>
              <w:ind w:left="540"/>
              <w:spacing w:after="0"/>
              <w:rPr>
                <w:sz w:val="20"/>
                <w:szCs w:val="20"/>
                <w:color w:val="auto"/>
              </w:rPr>
            </w:pPr>
            <w:r>
              <w:rPr>
                <w:rFonts w:ascii="Courier New" w:cs="Courier New" w:eastAsia="Courier New" w:hAnsi="Courier New"/>
                <w:sz w:val="18"/>
                <w:szCs w:val="18"/>
                <w:color w:val="auto"/>
              </w:rPr>
              <w:t>CONVERTIBLE DEBENTURES</w:t>
            </w:r>
          </w:p>
        </w:tc>
        <w:tc>
          <w:tcPr>
            <w:tcW w:w="42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34,429</w:t>
            </w:r>
          </w:p>
        </w:tc>
        <w:tc>
          <w:tcPr>
            <w:tcW w:w="38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19,358</w:t>
            </w:r>
          </w:p>
        </w:tc>
      </w:tr>
      <w:tr>
        <w:trPr>
          <w:trHeight w:val="405"/>
        </w:trPr>
        <w:tc>
          <w:tcPr>
            <w:tcW w:w="6800" w:type="dxa"/>
            <w:vAlign w:val="bottom"/>
          </w:tcPr>
          <w:p>
            <w:pPr>
              <w:ind w:left="540"/>
              <w:spacing w:after="0"/>
              <w:rPr>
                <w:sz w:val="20"/>
                <w:szCs w:val="20"/>
                <w:color w:val="auto"/>
              </w:rPr>
            </w:pPr>
            <w:r>
              <w:rPr>
                <w:rFonts w:ascii="Courier New" w:cs="Courier New" w:eastAsia="Courier New" w:hAnsi="Courier New"/>
                <w:sz w:val="18"/>
                <w:szCs w:val="18"/>
                <w:color w:val="auto"/>
              </w:rPr>
              <w:t>LONG-TERM LIABILITY IN RESPECT</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800" w:type="dxa"/>
            <w:vAlign w:val="bottom"/>
          </w:tcPr>
          <w:p>
            <w:pPr>
              <w:jc w:val="right"/>
              <w:ind w:right="3432"/>
              <w:spacing w:after="0" w:line="203" w:lineRule="exact"/>
              <w:rPr>
                <w:sz w:val="20"/>
                <w:szCs w:val="20"/>
                <w:color w:val="auto"/>
              </w:rPr>
            </w:pPr>
            <w:r>
              <w:rPr>
                <w:rFonts w:ascii="Courier New" w:cs="Courier New" w:eastAsia="Courier New" w:hAnsi="Courier New"/>
                <w:sz w:val="18"/>
                <w:szCs w:val="18"/>
                <w:color w:val="auto"/>
              </w:rPr>
              <w:t>OF CUSTOMERS' ADVANCES</w:t>
            </w:r>
          </w:p>
        </w:tc>
        <w:tc>
          <w:tcPr>
            <w:tcW w:w="4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54,537</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59,621</w:t>
            </w:r>
          </w:p>
        </w:tc>
      </w:tr>
      <w:tr>
        <w:trPr>
          <w:trHeight w:val="405"/>
        </w:trPr>
        <w:tc>
          <w:tcPr>
            <w:tcW w:w="6800" w:type="dxa"/>
            <w:vAlign w:val="bottom"/>
          </w:tcPr>
          <w:p>
            <w:pPr>
              <w:ind w:left="540"/>
              <w:spacing w:after="0"/>
              <w:rPr>
                <w:sz w:val="20"/>
                <w:szCs w:val="20"/>
                <w:color w:val="auto"/>
              </w:rPr>
            </w:pPr>
            <w:r>
              <w:rPr>
                <w:rFonts w:ascii="Courier New" w:cs="Courier New" w:eastAsia="Courier New" w:hAnsi="Courier New"/>
                <w:sz w:val="18"/>
                <w:szCs w:val="18"/>
                <w:color w:val="auto"/>
              </w:rPr>
              <w:t>OTHER LONG-TERM LIABILITIES</w:t>
            </w:r>
          </w:p>
        </w:tc>
        <w:tc>
          <w:tcPr>
            <w:tcW w:w="42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10,238</w:t>
            </w:r>
          </w:p>
        </w:tc>
        <w:tc>
          <w:tcPr>
            <w:tcW w:w="38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11,012</w:t>
            </w:r>
          </w:p>
        </w:tc>
      </w:tr>
      <w:tr>
        <w:trPr>
          <w:trHeight w:val="203"/>
        </w:trPr>
        <w:tc>
          <w:tcPr>
            <w:tcW w:w="68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4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680,845</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683,260</w:t>
            </w:r>
          </w:p>
        </w:tc>
      </w:tr>
      <w:tr>
        <w:trPr>
          <w:trHeight w:val="203"/>
        </w:trPr>
        <w:tc>
          <w:tcPr>
            <w:tcW w:w="68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ind w:left="540"/>
              <w:spacing w:after="0"/>
              <w:rPr>
                <w:sz w:val="20"/>
                <w:szCs w:val="20"/>
                <w:color w:val="auto"/>
              </w:rPr>
            </w:pPr>
            <w:r>
              <w:rPr>
                <w:rFonts w:ascii="Courier New" w:cs="Courier New" w:eastAsia="Courier New" w:hAnsi="Courier New"/>
                <w:sz w:val="18"/>
                <w:szCs w:val="18"/>
                <w:color w:val="auto"/>
              </w:rPr>
              <w:t>CONVERTIBLE DEBENTURES</w:t>
            </w:r>
          </w:p>
        </w:tc>
        <w:tc>
          <w:tcPr>
            <w:tcW w:w="42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25,493</w:t>
            </w:r>
          </w:p>
        </w:tc>
      </w:tr>
      <w:tr>
        <w:trPr>
          <w:trHeight w:val="203"/>
        </w:trPr>
        <w:tc>
          <w:tcPr>
            <w:tcW w:w="68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ind w:left="540"/>
              <w:spacing w:after="0"/>
              <w:rPr>
                <w:sz w:val="20"/>
                <w:szCs w:val="20"/>
                <w:color w:val="auto"/>
              </w:rPr>
            </w:pPr>
            <w:r>
              <w:rPr>
                <w:rFonts w:ascii="Courier New" w:cs="Courier New" w:eastAsia="Courier New" w:hAnsi="Courier New"/>
                <w:sz w:val="18"/>
                <w:szCs w:val="18"/>
                <w:color w:val="auto"/>
              </w:rPr>
              <w:t>SHAREHOLDERS' DEFICIT</w:t>
            </w:r>
          </w:p>
        </w:tc>
        <w:tc>
          <w:tcPr>
            <w:tcW w:w="42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(44,806)</w:t>
            </w:r>
          </w:p>
        </w:tc>
        <w:tc>
          <w:tcPr>
            <w:tcW w:w="38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(30,067)</w:t>
            </w:r>
          </w:p>
        </w:tc>
      </w:tr>
      <w:tr>
        <w:trPr>
          <w:trHeight w:val="203"/>
        </w:trPr>
        <w:tc>
          <w:tcPr>
            <w:tcW w:w="68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ind w:left="1480"/>
              <w:spacing w:after="0"/>
              <w:rPr>
                <w:sz w:val="20"/>
                <w:szCs w:val="20"/>
                <w:color w:val="auto"/>
              </w:rPr>
            </w:pPr>
            <w:r>
              <w:rPr>
                <w:rFonts w:ascii="Courier New" w:cs="Courier New" w:eastAsia="Courier New" w:hAnsi="Courier New"/>
                <w:sz w:val="18"/>
                <w:szCs w:val="18"/>
                <w:color w:val="auto"/>
              </w:rPr>
              <w:t>TOTAL LIABILITIES AND SHAREHOLDERS' DEFICIT</w:t>
            </w:r>
          </w:p>
        </w:tc>
        <w:tc>
          <w:tcPr>
            <w:tcW w:w="14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$ 636,039</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$ 678,686</w:t>
            </w:r>
          </w:p>
        </w:tc>
      </w:tr>
      <w:tr>
        <w:trPr>
          <w:trHeight w:val="203"/>
        </w:trPr>
        <w:tc>
          <w:tcPr>
            <w:tcW w:w="68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919" w:right="1440" w:bottom="1440" w:gutter="0" w:footer="0" w:header="0"/>
        </w:sectPr>
      </w:pPr>
    </w:p>
    <w:bookmarkStart w:id="6" w:name="page7"/>
    <w:bookmarkEnd w:id="6"/>
    <w:p>
      <w:pPr>
        <w:jc w:val="center"/>
        <w:ind w:left="1400"/>
        <w:spacing w:after="0" w:line="236" w:lineRule="auto"/>
        <w:rPr>
          <w:sz w:val="20"/>
          <w:szCs w:val="20"/>
          <w:color w:val="auto"/>
        </w:rPr>
      </w:pPr>
      <w:r>
        <w:rPr>
          <w:rFonts w:ascii="Courier New" w:cs="Courier New" w:eastAsia="Courier New" w:hAnsi="Courier New"/>
          <w:sz w:val="18"/>
          <w:szCs w:val="18"/>
          <w:color w:val="auto"/>
        </w:rPr>
        <w:t>TOWER SEMICONDUCTOR LTD. AND SUBSIDIARY CONSOLIDATED STATEMENTS OF OPERATIONS (DOLLARS IN THOUSAND, EXCEPT SHARE DATA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2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700" w:type="dxa"/>
            <w:vAlign w:val="bottom"/>
          </w:tcPr>
          <w:p>
            <w:pPr>
              <w:spacing w:after="0"/>
              <w:rPr>
                <w:sz w:val="17"/>
                <w:szCs w:val="17"/>
                <w:color w:val="auto"/>
              </w:rPr>
            </w:pPr>
          </w:p>
        </w:tc>
        <w:tc>
          <w:tcPr>
            <w:tcW w:w="23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4700" w:type="dxa"/>
            <w:vAlign w:val="bottom"/>
          </w:tcPr>
          <w:p>
            <w:pPr>
              <w:spacing w:after="0"/>
              <w:rPr>
                <w:sz w:val="17"/>
                <w:szCs w:val="17"/>
                <w:color w:val="auto"/>
              </w:rPr>
            </w:pPr>
          </w:p>
        </w:tc>
        <w:tc>
          <w:tcPr>
            <w:tcW w:w="2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2006</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47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35,875</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23,167</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61,280</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61,214</w:t>
            </w:r>
          </w:p>
        </w:tc>
      </w:tr>
      <w:tr>
        <w:trPr>
          <w:trHeight w:val="203"/>
        </w:trPr>
        <w:tc>
          <w:tcPr>
            <w:tcW w:w="47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ind w:left="860"/>
              <w:spacing w:after="0"/>
              <w:rPr>
                <w:sz w:val="20"/>
                <w:szCs w:val="20"/>
                <w:color w:val="auto"/>
              </w:rPr>
            </w:pPr>
            <w:r>
              <w:rPr>
                <w:rFonts w:ascii="Courier New" w:cs="Courier New" w:eastAsia="Courier New" w:hAnsi="Courier New"/>
                <w:sz w:val="18"/>
                <w:szCs w:val="18"/>
                <w:color w:val="auto"/>
              </w:rPr>
              <w:t>GROSS LOSS</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(25,405)</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(38,047)</w:t>
            </w:r>
          </w:p>
        </w:tc>
      </w:tr>
      <w:tr>
        <w:trPr>
          <w:trHeight w:val="203"/>
        </w:trPr>
        <w:tc>
          <w:tcPr>
            <w:tcW w:w="47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OPERATING COSTS AND EXPENSES</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4700" w:type="dxa"/>
            <w:vAlign w:val="bottom"/>
          </w:tcPr>
          <w:p>
            <w:pPr>
              <w:ind w:left="640"/>
              <w:spacing w:after="0"/>
              <w:rPr>
                <w:sz w:val="20"/>
                <w:szCs w:val="20"/>
                <w:color w:val="auto"/>
              </w:rPr>
            </w:pPr>
            <w:r>
              <w:rPr>
                <w:rFonts w:ascii="Courier New" w:cs="Courier New" w:eastAsia="Courier New" w:hAnsi="Courier New"/>
                <w:sz w:val="18"/>
                <w:szCs w:val="18"/>
                <w:color w:val="auto"/>
              </w:rPr>
              <w:t>RESEARCH AND DEVELOPMENT</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3,354</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4,763</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MARKETING, GENERAL AND ADMINISTRATIVE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5,324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4,528</w:t>
            </w:r>
          </w:p>
        </w:tc>
      </w:tr>
      <w:tr>
        <w:trPr>
          <w:trHeight w:val="203"/>
        </w:trPr>
        <w:tc>
          <w:tcPr>
            <w:tcW w:w="47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spacing w:after="0"/>
              <w:rPr>
                <w:sz w:val="24"/>
                <w:szCs w:val="24"/>
                <w:color w:val="auto"/>
              </w:rPr>
            </w:pP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8,678</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9,291</w:t>
            </w:r>
          </w:p>
        </w:tc>
      </w:tr>
      <w:tr>
        <w:trPr>
          <w:trHeight w:val="203"/>
        </w:trPr>
        <w:tc>
          <w:tcPr>
            <w:tcW w:w="47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ind w:left="860"/>
              <w:spacing w:after="0"/>
              <w:rPr>
                <w:sz w:val="20"/>
                <w:szCs w:val="20"/>
                <w:color w:val="auto"/>
              </w:rPr>
            </w:pPr>
            <w:r>
              <w:rPr>
                <w:rFonts w:ascii="Courier New" w:cs="Courier New" w:eastAsia="Courier New" w:hAnsi="Courier New"/>
                <w:sz w:val="18"/>
                <w:szCs w:val="18"/>
                <w:color w:val="auto"/>
              </w:rPr>
              <w:t>OPERATING LOSS</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(34,083)</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(47,338)</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FINANCING EXPENSE, NET</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(11,524)</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(8,175)</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OTHER INCOME, NET</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551</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193</w:t>
            </w:r>
          </w:p>
        </w:tc>
      </w:tr>
      <w:tr>
        <w:trPr>
          <w:trHeight w:val="203"/>
        </w:trPr>
        <w:tc>
          <w:tcPr>
            <w:tcW w:w="47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ind w:left="1480"/>
              <w:spacing w:after="0"/>
              <w:rPr>
                <w:sz w:val="20"/>
                <w:szCs w:val="20"/>
                <w:color w:val="auto"/>
              </w:rPr>
            </w:pPr>
            <w:r>
              <w:rPr>
                <w:rFonts w:ascii="Courier New" w:cs="Courier New" w:eastAsia="Courier New" w:hAnsi="Courier New"/>
                <w:sz w:val="18"/>
                <w:szCs w:val="18"/>
                <w:color w:val="auto"/>
              </w:rPr>
              <w:t>LOSS FOR THE PERIOD</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$(45,056)</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$(55,320)</w:t>
            </w:r>
          </w:p>
        </w:tc>
      </w:tr>
      <w:tr>
        <w:trPr>
          <w:trHeight w:val="203"/>
        </w:trPr>
        <w:tc>
          <w:tcPr>
            <w:tcW w:w="47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BASIC AND DILUTED LOSS PER ORDINARY SHARE</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Loss per share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6"/>
          <w:szCs w:val="16"/>
          <w:color w:val="auto"/>
        </w:rPr>
        <w:t>$</w:t>
        <w:tab/>
        <w:t>(0.63)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(0.84)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4140" w:space="720"/>
            <w:col w:w="940" w:space="320"/>
            <w:col w:w="4099"/>
          </w:cols>
          <w:pgMar w:left="240" w:top="723" w:right="1440" w:bottom="1440" w:gutter="0" w:footer="0" w:header="0"/>
          <w:type w:val="continuous"/>
        </w:sectPr>
      </w:pP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WEIGHTED AVERAGE NUMBER OF ORDINARY</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SHARES OUTSTANDING - IN THOUSANDS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71,872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65,700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320" w:space="540"/>
            <w:col w:w="840" w:space="420"/>
            <w:col w:w="4099"/>
          </w:cols>
          <w:pgMar w:left="240" w:top="723" w:right="1440" w:bottom="1440" w:gutter="0" w:footer="0" w:header="0"/>
          <w:type w:val="continuous"/>
        </w:sectPr>
      </w:pPr>
    </w:p>
    <w:p>
      <w:pPr>
        <w:spacing w:after="0" w:line="24" w:lineRule="exact"/>
        <w:rPr>
          <w:sz w:val="20"/>
          <w:szCs w:val="20"/>
          <w:color w:val="auto"/>
        </w:rPr>
      </w:pPr>
    </w:p>
    <w:p>
      <w:pPr>
        <w:jc w:val="both"/>
        <w:ind w:left="540" w:right="1779" w:hanging="532"/>
        <w:spacing w:after="0" w:line="268" w:lineRule="auto"/>
        <w:tabs>
          <w:tab w:leader="none" w:pos="5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BASIC AND DILUTED LOSS PER SHARE IN ACCORDANCE WITH U.S. GAAP FOR THE THREE MONTHS PERIODS ENDED MARCH 31, 2006 AND MARCH 31, 2005 ARE $0.56 AND $0.84,</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RESPECTIVELY.</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2019-12-14T04:20:45Z</dcterms:created>
  <dcterms:modified xsi:type="dcterms:W3CDTF">2019-12-14T04:20:45Z</dcterms:modified>
</cp:coreProperties>
</file>