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Ordinary Shares, par value New Israeli Shekels 15.00 per share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M87915274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w:t>
      </w:r>
      <w:r>
        <w:rPr>
          <w:rFonts w:ascii="Arial" w:cs="Arial" w:eastAsia="Arial" w:hAnsi="Arial"/>
          <w:sz w:val="16"/>
          <w:szCs w:val="16"/>
          <w:i w:val="1"/>
          <w:iCs w:val="1"/>
          <w:color w:val="auto"/>
        </w:rPr>
        <w:t>Securities Exchange Act</w:t>
      </w:r>
      <w:r>
        <w:rPr>
          <w:rFonts w:ascii="Arial" w:cs="Arial" w:eastAsia="Arial" w:hAnsi="Arial"/>
          <w:sz w:val="16"/>
          <w:szCs w:val="16"/>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2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Itshak Sharon (Tshuva)</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7,742,129.18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7.37%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IN</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5660" w:right="3340" w:hanging="5652"/>
        <w:spacing w:after="0" w:line="528" w:lineRule="auto"/>
        <w:tabs>
          <w:tab w:leader="none" w:pos="3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104,979,407 Ordinary Shares outstanding as of January 30, 2019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3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Delek Group Ltd.</w:t>
      </w:r>
    </w:p>
    <w:p>
      <w:pPr>
        <w:spacing w:after="0" w:line="68" w:lineRule="exact"/>
        <w:rPr>
          <w:sz w:val="20"/>
          <w:szCs w:val="20"/>
          <w:color w:val="auto"/>
        </w:rPr>
      </w:pPr>
    </w:p>
    <w:p>
      <w:pPr>
        <w:ind w:left="1980" w:hanging="1056"/>
        <w:spacing w:after="0"/>
        <w:tabs>
          <w:tab w:leader="none" w:pos="1980" w:val="left"/>
        </w:tabs>
        <w:numPr>
          <w:ilvl w:val="0"/>
          <w:numId w:val="8"/>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7,742,129.18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7.37%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5660" w:right="3340" w:hanging="5652"/>
        <w:spacing w:after="0" w:line="528" w:lineRule="auto"/>
        <w:tabs>
          <w:tab w:leader="none" w:pos="34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104,979,407 Ordinary Shares outstanding as of January 30, 2019 (as reported on Bloomberg LP).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4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0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10"/>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Holdings Ltd.</w:t>
      </w:r>
    </w:p>
    <w:p>
      <w:pPr>
        <w:spacing w:after="0" w:line="68" w:lineRule="exact"/>
        <w:rPr>
          <w:sz w:val="20"/>
          <w:szCs w:val="20"/>
          <w:color w:val="auto"/>
        </w:rPr>
      </w:pPr>
    </w:p>
    <w:p>
      <w:pPr>
        <w:ind w:left="1980" w:hanging="1056"/>
        <w:spacing w:after="0"/>
        <w:tabs>
          <w:tab w:leader="none" w:pos="1980" w:val="left"/>
        </w:tabs>
        <w:numPr>
          <w:ilvl w:val="0"/>
          <w:numId w:val="11"/>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7,742,129.18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7,742,129.18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7.37%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104,979,407 Ordinary Shares outstanding as of January 30, 2019 (as reported on Bloomberg LP).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580" w:val="left"/>
        </w:tabs>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Tower Semiconductor Ltd.</w:t>
      </w:r>
    </w:p>
    <w:p>
      <w:pPr>
        <w:spacing w:after="0" w:line="252" w:lineRule="exact"/>
        <w:rPr>
          <w:sz w:val="20"/>
          <w:szCs w:val="20"/>
          <w:color w:val="auto"/>
        </w:rPr>
      </w:pPr>
    </w:p>
    <w:p>
      <w:pPr>
        <w:ind w:left="1460" w:hanging="86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Ramat Gavriel Industrial Park, P.O. Box 619, Migdal Haemek 2310502, Israel</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56" w:lineRule="exact"/>
        <w:rPr>
          <w:sz w:val="20"/>
          <w:szCs w:val="20"/>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Itshak Sharon (Tshuva)</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Delek Group Ltd.</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Phoenix Holdings Ltd.</w:t>
      </w:r>
    </w:p>
    <w:p>
      <w:pPr>
        <w:spacing w:after="0" w:line="252" w:lineRule="exact"/>
        <w:rPr>
          <w:sz w:val="20"/>
          <w:szCs w:val="20"/>
          <w:color w:val="auto"/>
        </w:rPr>
      </w:pPr>
    </w:p>
    <w:p>
      <w:pPr>
        <w:jc w:val="both"/>
        <w:ind w:left="1420"/>
        <w:spacing w:after="0" w:line="257" w:lineRule="auto"/>
        <w:rPr>
          <w:sz w:val="20"/>
          <w:szCs w:val="20"/>
          <w:color w:val="auto"/>
        </w:rPr>
      </w:pPr>
      <w:r>
        <w:rPr>
          <w:rFonts w:ascii="Arial" w:cs="Arial" w:eastAsia="Arial" w:hAnsi="Arial"/>
          <w:sz w:val="18"/>
          <w:szCs w:val="18"/>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42" w:lineRule="exact"/>
        <w:rPr>
          <w:sz w:val="20"/>
          <w:szCs w:val="20"/>
          <w:color w:val="auto"/>
        </w:rPr>
      </w:pPr>
    </w:p>
    <w:p>
      <w:pPr>
        <w:jc w:val="both"/>
        <w:ind w:left="1420"/>
        <w:spacing w:after="0" w:line="264" w:lineRule="auto"/>
        <w:rPr>
          <w:sz w:val="20"/>
          <w:szCs w:val="20"/>
          <w:color w:val="auto"/>
        </w:rPr>
      </w:pPr>
      <w:r>
        <w:rPr>
          <w:rFonts w:ascii="Arial" w:cs="Arial" w:eastAsia="Arial" w:hAnsi="Arial"/>
          <w:sz w:val="18"/>
          <w:szCs w:val="18"/>
          <w:color w:val="auto"/>
        </w:rPr>
        <w:t>The Phoenix Holdings Ltd. is a controlled subsidiary of Delek Group Ltd. The majority of Delek Group Ltd.'s outstanding share capital and voting rights are owned, directly and indirectly, by Itshak Sharon (Tshuva) through private companies wholly-owned by him, and the remainder is held by the public.</w:t>
      </w:r>
    </w:p>
    <w:p>
      <w:pPr>
        <w:spacing w:after="0" w:line="208" w:lineRule="exact"/>
        <w:rPr>
          <w:sz w:val="20"/>
          <w:szCs w:val="20"/>
          <w:color w:val="auto"/>
        </w:rPr>
      </w:pP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0" w:right="1020"/>
        <w:spacing w:after="0" w:line="532" w:lineRule="auto"/>
        <w:rPr>
          <w:rFonts w:ascii="Arial" w:cs="Arial" w:eastAsia="Arial" w:hAnsi="Arial"/>
          <w:sz w:val="18"/>
          <w:szCs w:val="18"/>
          <w:color w:val="auto"/>
        </w:rPr>
      </w:pPr>
      <w:r>
        <w:rPr>
          <w:rFonts w:ascii="Arial" w:cs="Arial" w:eastAsia="Arial" w:hAnsi="Arial"/>
          <w:sz w:val="18"/>
          <w:szCs w:val="18"/>
          <w:color w:val="auto"/>
        </w:rPr>
        <w:t>The address of Itshak Sharon (Tshuva) and Delek Group Ltd. is 19 Abba Eban blvd, P.O.B. 2054, Herzliya, 4612001, Israel. The address of the Phoenix Holdings Ltd. is Derech Hashalom 53, Givataim, 53454, Israel.</w:t>
      </w: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Itshak Sharon (Tshuva)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Delek Group Ltd.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Phoenix Holdings Ltd. - Israel</w:t>
      </w:r>
    </w:p>
    <w:p>
      <w:pPr>
        <w:spacing w:after="0" w:line="252" w:lineRule="exact"/>
        <w:rPr>
          <w:rFonts w:ascii="Arial" w:cs="Arial" w:eastAsia="Arial" w:hAnsi="Arial"/>
          <w:sz w:val="18"/>
          <w:szCs w:val="18"/>
          <w:color w:val="auto"/>
        </w:rPr>
      </w:pP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Ordinary Shares, par value New Israeli Shekels 15.00 per share</w:t>
      </w:r>
    </w:p>
    <w:p>
      <w:pPr>
        <w:spacing w:after="0" w:line="252" w:lineRule="exact"/>
        <w:rPr>
          <w:rFonts w:ascii="Arial" w:cs="Arial" w:eastAsia="Arial" w:hAnsi="Arial"/>
          <w:sz w:val="18"/>
          <w:szCs w:val="18"/>
          <w:color w:val="auto"/>
        </w:rPr>
      </w:pPr>
    </w:p>
    <w:p>
      <w:pPr>
        <w:ind w:left="1460" w:right="8740" w:hanging="628"/>
        <w:spacing w:after="0" w:line="598" w:lineRule="auto"/>
        <w:tabs>
          <w:tab w:leader="none" w:pos="147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M87915274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52" w:lineRule="exact"/>
        <w:rPr>
          <w:rFonts w:ascii="Arial" w:cs="Arial" w:eastAsia="Arial" w:hAnsi="Arial"/>
          <w:sz w:val="18"/>
          <w:szCs w:val="18"/>
          <w:color w:val="auto"/>
        </w:rPr>
      </w:pPr>
    </w:p>
    <w:p>
      <w:pPr>
        <w:jc w:val="both"/>
        <w:ind w:left="1420"/>
        <w:spacing w:after="0" w:line="291" w:lineRule="auto"/>
        <w:rPr>
          <w:rFonts w:ascii="Arial" w:cs="Arial" w:eastAsia="Arial" w:hAnsi="Arial"/>
          <w:sz w:val="18"/>
          <w:szCs w:val="18"/>
          <w:color w:val="auto"/>
        </w:rPr>
      </w:pPr>
      <w:r>
        <w:rPr>
          <w:rFonts w:ascii="Arial" w:cs="Arial" w:eastAsia="Arial" w:hAnsi="Arial"/>
          <w:sz w:val="16"/>
          <w:szCs w:val="16"/>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 of December 31, 2018, the securities reported herein were held as follows:</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4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total Ordinary</w:t>
            </w:r>
          </w:p>
        </w:tc>
        <w:tc>
          <w:tcPr>
            <w:tcW w:w="480" w:type="dxa"/>
            <w:vAlign w:val="bottom"/>
          </w:tcPr>
          <w:p>
            <w:pPr>
              <w:spacing w:after="0"/>
              <w:rPr>
                <w:sz w:val="18"/>
                <w:szCs w:val="18"/>
                <w:color w:val="auto"/>
              </w:rPr>
            </w:pPr>
          </w:p>
        </w:tc>
      </w:tr>
      <w:tr>
        <w:trPr>
          <w:trHeight w:val="241"/>
        </w:trPr>
        <w:tc>
          <w:tcPr>
            <w:tcW w:w="4080" w:type="dxa"/>
            <w:vAlign w:val="bottom"/>
          </w:tcPr>
          <w:p>
            <w:pPr>
              <w:spacing w:after="0"/>
              <w:rPr>
                <w:sz w:val="20"/>
                <w:szCs w:val="20"/>
                <w:color w:val="auto"/>
              </w:rPr>
            </w:pPr>
          </w:p>
        </w:tc>
        <w:tc>
          <w:tcPr>
            <w:tcW w:w="3700" w:type="dxa"/>
            <w:vAlign w:val="bottom"/>
            <w:gridSpan w:val="2"/>
          </w:tcPr>
          <w:p>
            <w:pPr>
              <w:ind w:left="820"/>
              <w:spacing w:after="0"/>
              <w:rPr>
                <w:sz w:val="20"/>
                <w:szCs w:val="20"/>
                <w:color w:val="auto"/>
              </w:rPr>
            </w:pPr>
            <w:r>
              <w:rPr>
                <w:rFonts w:ascii="Arial" w:cs="Arial" w:eastAsia="Arial" w:hAnsi="Arial"/>
                <w:sz w:val="18"/>
                <w:szCs w:val="18"/>
                <w:b w:val="1"/>
                <w:bCs w:val="1"/>
                <w:color w:val="auto"/>
              </w:rPr>
              <w:t>Ordinary Shares</w:t>
            </w: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Shares outstanding</w:t>
            </w:r>
          </w:p>
        </w:tc>
        <w:tc>
          <w:tcPr>
            <w:tcW w:w="480" w:type="dxa"/>
            <w:vAlign w:val="bottom"/>
          </w:tcPr>
          <w:p>
            <w:pPr>
              <w:spacing w:after="0"/>
              <w:rPr>
                <w:sz w:val="20"/>
                <w:szCs w:val="20"/>
                <w:color w:val="auto"/>
              </w:rPr>
            </w:pPr>
          </w:p>
        </w:tc>
      </w:tr>
      <w:tr>
        <w:trPr>
          <w:trHeight w:val="216"/>
        </w:trPr>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Excellence "nostro" accounts</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4080" w:type="dxa"/>
            <w:vAlign w:val="bottom"/>
          </w:tcPr>
          <w:p>
            <w:pPr>
              <w:ind w:left="640"/>
              <w:spacing w:after="0"/>
              <w:rPr>
                <w:sz w:val="20"/>
                <w:szCs w:val="20"/>
                <w:color w:val="auto"/>
              </w:rPr>
            </w:pPr>
            <w:r>
              <w:rPr>
                <w:rFonts w:ascii="Arial" w:cs="Arial" w:eastAsia="Arial" w:hAnsi="Arial"/>
                <w:sz w:val="18"/>
                <w:szCs w:val="18"/>
                <w:color w:val="auto"/>
              </w:rPr>
              <w:t>Excellence provident funds</w:t>
            </w:r>
          </w:p>
        </w:tc>
        <w:tc>
          <w:tcPr>
            <w:tcW w:w="3700" w:type="dxa"/>
            <w:vAlign w:val="bottom"/>
            <w:gridSpan w:val="2"/>
          </w:tcPr>
          <w:p>
            <w:pPr>
              <w:jc w:val="right"/>
              <w:ind w:right="1400"/>
              <w:spacing w:after="0"/>
              <w:rPr>
                <w:sz w:val="20"/>
                <w:szCs w:val="20"/>
                <w:color w:val="auto"/>
              </w:rPr>
            </w:pPr>
            <w:r>
              <w:rPr>
                <w:rFonts w:ascii="Arial" w:cs="Arial" w:eastAsia="Arial" w:hAnsi="Arial"/>
                <w:sz w:val="18"/>
                <w:szCs w:val="18"/>
                <w:color w:val="auto"/>
              </w:rPr>
              <w:t>4,035.03</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Excellence trust funds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79,807.96</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640"/>
              <w:spacing w:after="0"/>
              <w:rPr>
                <w:sz w:val="20"/>
                <w:szCs w:val="20"/>
                <w:color w:val="auto"/>
              </w:rPr>
            </w:pPr>
            <w:r>
              <w:rPr>
                <w:rFonts w:ascii="Arial" w:cs="Arial" w:eastAsia="Arial" w:hAnsi="Arial"/>
                <w:sz w:val="18"/>
                <w:szCs w:val="18"/>
                <w:color w:val="auto"/>
              </w:rPr>
              <w:t>Excellence ETF's</w:t>
            </w:r>
          </w:p>
        </w:tc>
        <w:tc>
          <w:tcPr>
            <w:tcW w:w="3700" w:type="dxa"/>
            <w:vAlign w:val="bottom"/>
            <w:gridSpan w:val="2"/>
          </w:tcPr>
          <w:p>
            <w:pPr>
              <w:jc w:val="right"/>
              <w:ind w:right="1400"/>
              <w:spacing w:after="0"/>
              <w:rPr>
                <w:sz w:val="20"/>
                <w:szCs w:val="20"/>
                <w:color w:val="auto"/>
              </w:rPr>
            </w:pPr>
            <w:r>
              <w:rPr>
                <w:rFonts w:ascii="Arial" w:cs="Arial" w:eastAsia="Arial" w:hAnsi="Arial"/>
                <w:sz w:val="18"/>
                <w:szCs w:val="18"/>
                <w:color w:val="auto"/>
              </w:rPr>
              <w:t>1,357,000.44</w:t>
            </w:r>
          </w:p>
        </w:tc>
        <w:tc>
          <w:tcPr>
            <w:tcW w:w="166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The Phoenix "nostro" accounts</w:t>
            </w:r>
          </w:p>
        </w:tc>
        <w:tc>
          <w:tcPr>
            <w:tcW w:w="37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292,960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640"/>
              <w:spacing w:after="0"/>
              <w:rPr>
                <w:sz w:val="20"/>
                <w:szCs w:val="20"/>
                <w:color w:val="auto"/>
              </w:rPr>
            </w:pPr>
            <w:r>
              <w:rPr>
                <w:rFonts w:ascii="Arial" w:cs="Arial" w:eastAsia="Arial" w:hAnsi="Arial"/>
                <w:sz w:val="18"/>
                <w:szCs w:val="18"/>
                <w:color w:val="auto"/>
              </w:rPr>
              <w:t>The Phoenix pension</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Linked insurance policies of Phoenix</w:t>
            </w:r>
          </w:p>
        </w:tc>
        <w:tc>
          <w:tcPr>
            <w:tcW w:w="37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0.71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640"/>
              <w:spacing w:after="0"/>
              <w:rPr>
                <w:sz w:val="20"/>
                <w:szCs w:val="20"/>
                <w:color w:val="auto"/>
              </w:rPr>
            </w:pPr>
            <w:r>
              <w:rPr>
                <w:rFonts w:ascii="Arial" w:cs="Arial" w:eastAsia="Arial" w:hAnsi="Arial"/>
                <w:sz w:val="18"/>
                <w:szCs w:val="18"/>
                <w:color w:val="auto"/>
              </w:rPr>
              <w:t>Partnership for Israeli shares (1)</w:t>
            </w:r>
          </w:p>
        </w:tc>
        <w:tc>
          <w:tcPr>
            <w:tcW w:w="3700" w:type="dxa"/>
            <w:vAlign w:val="bottom"/>
            <w:gridSpan w:val="2"/>
          </w:tcPr>
          <w:p>
            <w:pPr>
              <w:jc w:val="right"/>
              <w:ind w:right="1400"/>
              <w:spacing w:after="0"/>
              <w:rPr>
                <w:sz w:val="20"/>
                <w:szCs w:val="20"/>
                <w:color w:val="auto"/>
              </w:rPr>
            </w:pPr>
            <w:r>
              <w:rPr>
                <w:rFonts w:ascii="Arial" w:cs="Arial" w:eastAsia="Arial" w:hAnsi="Arial"/>
                <w:sz w:val="18"/>
                <w:szCs w:val="18"/>
                <w:color w:val="auto"/>
              </w:rPr>
              <w:t>5,328,731.54</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0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Partnership for investing in shares</w:t>
            </w:r>
          </w:p>
        </w:tc>
        <w:tc>
          <w:tcPr>
            <w:tcW w:w="2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indexes (1)</w:t>
            </w:r>
          </w:p>
        </w:tc>
        <w:tc>
          <w:tcPr>
            <w:tcW w:w="37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679,593.50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080" w:type="dxa"/>
            <w:vAlign w:val="bottom"/>
          </w:tcPr>
          <w:p>
            <w:pPr>
              <w:ind w:left="640"/>
              <w:spacing w:after="0" w:line="201" w:lineRule="exact"/>
              <w:rPr>
                <w:sz w:val="20"/>
                <w:szCs w:val="20"/>
                <w:color w:val="auto"/>
              </w:rPr>
            </w:pPr>
            <w:r>
              <w:rPr>
                <w:rFonts w:ascii="Arial" w:cs="Arial" w:eastAsia="Arial" w:hAnsi="Arial"/>
                <w:sz w:val="18"/>
                <w:szCs w:val="18"/>
                <w:color w:val="auto"/>
              </w:rPr>
              <w:t>Partnership for international shares</w:t>
            </w:r>
          </w:p>
        </w:tc>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(1)</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29" w:lineRule="exact"/>
        <w:rPr>
          <w:sz w:val="20"/>
          <w:szCs w:val="20"/>
          <w:color w:val="auto"/>
        </w:rPr>
      </w:pPr>
    </w:p>
    <w:p>
      <w:pPr>
        <w:ind w:left="1460" w:right="140" w:firstLine="7"/>
        <w:spacing w:after="0" w:line="308" w:lineRule="auto"/>
        <w:tabs>
          <w:tab w:leader="none" w:pos="1705"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73" w:lineRule="exact"/>
        <w:rPr>
          <w:rFonts w:ascii="Arial" w:cs="Arial" w:eastAsia="Arial" w:hAnsi="Arial"/>
          <w:sz w:val="17"/>
          <w:szCs w:val="17"/>
          <w:color w:val="auto"/>
        </w:rPr>
      </w:pPr>
    </w:p>
    <w:p>
      <w:pPr>
        <w:ind w:left="1420" w:hanging="656"/>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1420" w:hanging="656"/>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3" w:lineRule="exact"/>
        <w:rPr>
          <w:rFonts w:ascii="Arial" w:cs="Arial" w:eastAsia="Arial" w:hAnsi="Arial"/>
          <w:sz w:val="18"/>
          <w:szCs w:val="18"/>
          <w:color w:val="auto"/>
        </w:rPr>
      </w:pPr>
    </w:p>
    <w:p>
      <w:pPr>
        <w:ind w:left="2180" w:right="5240" w:hanging="646"/>
        <w:spacing w:after="0" w:line="572" w:lineRule="auto"/>
        <w:tabs>
          <w:tab w:leader="none" w:pos="21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7" w:name="page8"/>
    <w:bookmarkEnd w:id="7"/>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Itshak Sharon (Tshuva)</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Itshak Sharon (Tshuva)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Itshak Sharon (Tshuva)</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Delek Group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Leora Pratt Levin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Leora Pratt Levin*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V.P. Legal Affairs</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Gabi Last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Gabi Last*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Chairman</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Phoenix Holdings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/s/Menachem Neeman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Menachem Neeman**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Legal Counsel and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Signature duly authorized by resolution of the Board of Directors, notice of which is attached as Exhibit 2 to this Schedule 13G.</w:t>
      </w:r>
    </w:p>
    <w:p>
      <w:pPr>
        <w:spacing w:after="0" w:line="225" w:lineRule="exact"/>
        <w:rPr>
          <w:sz w:val="20"/>
          <w:szCs w:val="20"/>
          <w:color w:val="auto"/>
        </w:rPr>
      </w:pPr>
    </w:p>
    <w:p>
      <w:pPr>
        <w:ind w:left="5660" w:right="1660" w:hanging="5652"/>
        <w:spacing w:after="0" w:line="277" w:lineRule="auto"/>
        <w:tabs>
          <w:tab w:leader="none" w:pos="2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Signature duly authorized by resolution of the Board of Directors, notice of which is attached as Exhibit 3 to this Schedule 13G.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20"/>
          </w:cols>
          <w:pgMar w:left="240" w:top="364" w:right="539" w:bottom="1440" w:gutter="0" w:footer="0" w:header="0"/>
        </w:sectPr>
      </w:pPr>
    </w:p>
    <w:bookmarkStart w:id="9" w:name="page10"/>
    <w:bookmarkEnd w:id="9"/>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1120" w:hanging="1120"/>
        <w:spacing w:after="0" w:line="277" w:lineRule="auto"/>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Agreement of Joint Filing by and among the Reporting Persons, dated as of August 22, 2017 (included herein by reference to Exhibit 1 to the Schedule 13G filed on August 23, 2017).</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Notice of resolution of the Board of Directors of Delek Group Ltd., dated as of February 7, 2018.</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Notice of resolution of the Board of Directors of the Phoenix Holdings Ltd., dated as of January 30, 2018.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Delek Group Ltd</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Delek Group Ltd, 520044322 (hereinafter: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Meital Avital Ratzon, an Advocate and a member of the Legal Department of the Company, hereby certify that:</w:t>
      </w:r>
    </w:p>
    <w:p>
      <w:pPr>
        <w:spacing w:after="0" w:line="22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Mr. Gabi Last, Mrs. Leora Pratt Levin, *** and ***, are elected signatories of the Company, and any 2 (two</w:t>
      </w:r>
      <w:r>
        <w:rPr>
          <w:rFonts w:ascii="Arial" w:cs="Arial" w:eastAsia="Arial" w:hAnsi="Arial"/>
          <w:sz w:val="18"/>
          <w:szCs w:val="18"/>
          <w:b w:val="1"/>
          <w:bCs w:val="1"/>
          <w:color w:val="auto"/>
        </w:rPr>
        <w:t>)</w:t>
      </w:r>
      <w:r>
        <w:rPr>
          <w:rFonts w:ascii="Arial" w:cs="Arial" w:eastAsia="Arial" w:hAnsi="Arial"/>
          <w:sz w:val="18"/>
          <w:szCs w:val="18"/>
          <w:color w:val="auto"/>
        </w:rPr>
        <w:t xml:space="preserve"> of these individuals on and above the Company’s seal or printed name bind the Company for any purpose.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Name: Meital Avital Ratzon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Position: Advocate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7.2.2018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Meital Avital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Translation]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2018</w:t>
      </w: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Powers of Signature in The Phoenix Holdings Ltd. (hereinafter: the "Company")</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accordance with a resolution of the Board of Directors, the powers of signature in the Company as of January 30, 2018 are as follows:</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General Rights of Signature</w:t>
      </w:r>
    </w:p>
    <w:p>
      <w:pPr>
        <w:spacing w:after="0" w:line="324" w:lineRule="exact"/>
        <w:rPr>
          <w:sz w:val="20"/>
          <w:szCs w:val="20"/>
          <w:color w:val="auto"/>
        </w:rPr>
      </w:pPr>
    </w:p>
    <w:p>
      <w:pPr>
        <w:ind w:left="1420" w:right="340" w:hanging="660"/>
        <w:spacing w:after="0" w:line="308" w:lineRule="auto"/>
        <w:tabs>
          <w:tab w:leader="none" w:pos="1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signature of the Chairman of the Board of Directors and the General Manager of the Company together, or the signature of one of them with the addition of a director from Group A, shall bind the Company in any matter for an unlimited amount.</w:t>
      </w:r>
    </w:p>
    <w:p>
      <w:pPr>
        <w:spacing w:after="0" w:line="281" w:lineRule="exact"/>
        <w:rPr>
          <w:rFonts w:ascii="Arial" w:cs="Arial" w:eastAsia="Arial" w:hAnsi="Arial"/>
          <w:sz w:val="17"/>
          <w:szCs w:val="17"/>
          <w:color w:val="auto"/>
        </w:rPr>
      </w:pPr>
    </w:p>
    <w:p>
      <w:pPr>
        <w:jc w:val="both"/>
        <w:ind w:left="1420" w:right="900" w:hanging="660"/>
        <w:spacing w:after="0" w:line="342" w:lineRule="auto"/>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signatures of two directors from Group A (who are not a director and his subordinate, and excluding directors who are the subordinates of the General Manager of the Company) shall bind the Company in any matter up to a sum of NIS 400,000,000.</w:t>
      </w:r>
    </w:p>
    <w:p>
      <w:pPr>
        <w:spacing w:after="0" w:line="218" w:lineRule="exact"/>
        <w:rPr>
          <w:rFonts w:ascii="Arial" w:cs="Arial" w:eastAsia="Arial" w:hAnsi="Arial"/>
          <w:sz w:val="16"/>
          <w:szCs w:val="16"/>
          <w:color w:val="auto"/>
        </w:rPr>
      </w:pPr>
    </w:p>
    <w:p>
      <w:pPr>
        <w:ind w:left="1420" w:hanging="660"/>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346" w:lineRule="exact"/>
        <w:rPr>
          <w:rFonts w:ascii="Arial" w:cs="Arial" w:eastAsia="Arial" w:hAnsi="Arial"/>
          <w:sz w:val="18"/>
          <w:szCs w:val="18"/>
          <w:color w:val="auto"/>
        </w:rPr>
      </w:pPr>
    </w:p>
    <w:p>
      <w:pPr>
        <w:ind w:left="1420" w:hanging="660"/>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Delegation and Revocation of Powers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760"/>
              <w:spacing w:after="0"/>
              <w:rPr>
                <w:sz w:val="20"/>
                <w:szCs w:val="20"/>
                <w:color w:val="auto"/>
              </w:rPr>
            </w:pPr>
            <w:r>
              <w:rPr>
                <w:rFonts w:ascii="Arial" w:cs="Arial" w:eastAsia="Arial" w:hAnsi="Arial"/>
                <w:sz w:val="18"/>
                <w:szCs w:val="18"/>
                <w:color w:val="auto"/>
              </w:rPr>
              <w:t>5.</w:t>
            </w:r>
          </w:p>
        </w:tc>
        <w:tc>
          <w:tcPr>
            <w:tcW w:w="2320" w:type="dxa"/>
            <w:vAlign w:val="bottom"/>
          </w:tcPr>
          <w:p>
            <w:pPr>
              <w:ind w:left="28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p>
        </w:tc>
      </w:tr>
      <w:tr>
        <w:trPr>
          <w:trHeight w:val="554"/>
        </w:trPr>
        <w:tc>
          <w:tcPr>
            <w:tcW w:w="1140" w:type="dxa"/>
            <w:vAlign w:val="bottom"/>
          </w:tcPr>
          <w:p>
            <w:pPr>
              <w:ind w:left="760"/>
              <w:spacing w:after="0"/>
              <w:rPr>
                <w:sz w:val="20"/>
                <w:szCs w:val="20"/>
                <w:color w:val="auto"/>
              </w:rPr>
            </w:pPr>
            <w:r>
              <w:rPr>
                <w:rFonts w:ascii="Arial" w:cs="Arial" w:eastAsia="Arial" w:hAnsi="Arial"/>
                <w:sz w:val="18"/>
                <w:szCs w:val="18"/>
                <w:color w:val="auto"/>
              </w:rPr>
              <w:t>6.</w:t>
            </w:r>
          </w:p>
        </w:tc>
        <w:tc>
          <w:tcPr>
            <w:tcW w:w="2320" w:type="dxa"/>
            <w:vAlign w:val="bottom"/>
          </w:tcPr>
          <w:p>
            <w:pPr>
              <w:ind w:left="28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4"/>
                <w:szCs w:val="24"/>
                <w:color w:val="auto"/>
              </w:rPr>
            </w:pPr>
          </w:p>
        </w:tc>
      </w:tr>
      <w:tr>
        <w:trPr>
          <w:trHeight w:val="554"/>
        </w:trPr>
        <w:tc>
          <w:tcPr>
            <w:tcW w:w="1140" w:type="dxa"/>
            <w:vAlign w:val="bottom"/>
          </w:tcPr>
          <w:p>
            <w:pPr>
              <w:ind w:left="760"/>
              <w:spacing w:after="0"/>
              <w:rPr>
                <w:sz w:val="20"/>
                <w:szCs w:val="20"/>
                <w:color w:val="auto"/>
              </w:rPr>
            </w:pPr>
            <w:r>
              <w:rPr>
                <w:rFonts w:ascii="Arial" w:cs="Arial" w:eastAsia="Arial" w:hAnsi="Arial"/>
                <w:sz w:val="18"/>
                <w:szCs w:val="18"/>
                <w:color w:val="auto"/>
              </w:rPr>
              <w:t>7.</w:t>
            </w:r>
          </w:p>
        </w:tc>
        <w:tc>
          <w:tcPr>
            <w:tcW w:w="2320" w:type="dxa"/>
            <w:vAlign w:val="bottom"/>
          </w:tcPr>
          <w:p>
            <w:pPr>
              <w:ind w:left="28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4"/>
                <w:szCs w:val="24"/>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3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Group A</w:t>
            </w:r>
          </w:p>
        </w:tc>
        <w:tc>
          <w:tcPr>
            <w:tcW w:w="3400" w:type="dxa"/>
            <w:vAlign w:val="bottom"/>
            <w:tcBorders>
              <w:right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Group B</w:t>
            </w:r>
          </w:p>
        </w:tc>
      </w:tr>
      <w:tr>
        <w:trPr>
          <w:trHeight w:val="27"/>
        </w:trPr>
        <w:tc>
          <w:tcPr>
            <w:tcW w:w="11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jc w:val="right"/>
              <w:ind w:right="3030"/>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jc w:val="right"/>
              <w:ind w:right="3030"/>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r>
      <w:tr>
        <w:trPr>
          <w:trHeight w:val="27"/>
        </w:trPr>
        <w:tc>
          <w:tcPr>
            <w:tcW w:w="3460" w:type="dxa"/>
            <w:vAlign w:val="bottom"/>
            <w:tcBorders>
              <w:bottom w:val="single" w:sz="8" w:color="auto"/>
              <w:right w:val="single" w:sz="8" w:color="auto"/>
            </w:tcBorders>
            <w:gridSpan w:val="2"/>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Eli Schwartz - Chief Financial Officer</w:t>
            </w:r>
          </w:p>
        </w:tc>
        <w:tc>
          <w:tcPr>
            <w:tcW w:w="3400" w:type="dxa"/>
            <w:vAlign w:val="bottom"/>
            <w:tcBorders>
              <w:right w:val="single" w:sz="8" w:color="auto"/>
            </w:tcBorders>
          </w:tcPr>
          <w:p>
            <w:pPr>
              <w:spacing w:after="0"/>
              <w:rPr>
                <w:sz w:val="20"/>
                <w:szCs w:val="20"/>
                <w:color w:val="auto"/>
              </w:rPr>
            </w:pPr>
          </w:p>
        </w:tc>
      </w:tr>
      <w:tr>
        <w:trPr>
          <w:trHeight w:val="24"/>
        </w:trPr>
        <w:tc>
          <w:tcPr>
            <w:tcW w:w="11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-1090295</wp:posOffset>
            </wp:positionV>
            <wp:extent cx="4349750" cy="1408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9750" cy="14084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Menachem Neeman - Chief Legal counsel and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Secretary</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 hereby certify that the aforesaid resolutions of the Board of Directors were duly adopted and are binding on the Company for all intents and purposes.</w:t>
      </w: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Mor Albojm Goldberg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 Albojm Goldberg, Advocate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lvl w:ilvl="1">
      <w:lvlJc w:val="left"/>
      <w:lvlText w:val="(%2)"/>
      <w:numFmt w:val="low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bullet"/>
      <w:start w:val="1"/>
    </w:lvl>
  </w:abstractNum>
  <w:abstractNum w:abstractNumId="7">
    <w:nsid w:val="7FDCC233"/>
    <w:multiLevelType w:val="hybridMultilevel"/>
    <w:lvl w:ilvl="0">
      <w:lvlJc w:val="left"/>
      <w:lvlText w:val="2"/>
      <w:numFmt w:val="bullet"/>
      <w:start w:val="1"/>
    </w:lvl>
    <w:lvl w:ilvl="1">
      <w:lvlJc w:val="left"/>
      <w:lvlText w:val="(%2)"/>
      <w:numFmt w:val="lowerLetter"/>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lvl w:ilvl="1">
      <w:lvlJc w:val="left"/>
      <w:lvlText w:val="(%2)"/>
      <w:numFmt w:val="low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2"/>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lvl w:ilvl="1">
      <w:lvlJc w:val="left"/>
      <w:lvlText w:val="(%2)"/>
      <w:numFmt w:val="decimal"/>
      <w:start w:val="1"/>
    </w:lvl>
  </w:abstractNum>
  <w:abstractNum w:abstractNumId="17">
    <w:nsid w:val="257130A3"/>
    <w:multiLevelType w:val="hybridMultilevel"/>
    <w:lvl w:ilvl="0">
      <w:lvlJc w:val="left"/>
      <w:lvlText w:val="(%1)"/>
      <w:numFmt w:val="lowerLetter"/>
      <w:start w:val="2"/>
    </w:lvl>
    <w:lvl w:ilvl="1">
      <w:lvlJc w:val="left"/>
      <w:lvlText w:val="%2"/>
      <w:numFmt w:val="decimal"/>
      <w:start w:val="1"/>
    </w:lvl>
  </w:abstractNum>
  <w:abstractNum w:abstractNumId="18">
    <w:nsid w:val="62BBD95A"/>
    <w:multiLevelType w:val="hybridMultilevel"/>
    <w:lvl w:ilvl="0">
      <w:lvlJc w:val="left"/>
      <w:lvlText w:val="(%1)"/>
      <w:numFmt w:val="lowerLetter"/>
      <w:start w:val="3"/>
    </w:lvl>
    <w:lvl w:ilvl="1">
      <w:lvlJc w:val="left"/>
      <w:lvlText w:val="(%2)"/>
      <w:numFmt w:val="lowerRoman"/>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2019-12-05T00:45:35Z</dcterms:created>
  <dcterms:modified xsi:type="dcterms:W3CDTF">2019-12-05T00:45:35Z</dcterms:modified>
</cp:coreProperties>
</file>