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3075305</wp:posOffset>
            </wp:positionH>
            <wp:positionV relativeFrom="paragraph">
              <wp:posOffset>227965</wp:posOffset>
            </wp:positionV>
            <wp:extent cx="110617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</w:t>
      </w:r>
      <w:r>
        <w:rPr>
          <w:rFonts w:ascii="Arial" w:cs="Arial" w:eastAsia="Arial" w:hAnsi="Arial"/>
          <w:sz w:val="12"/>
          <w:szCs w:val="12"/>
          <w:color w:val="auto"/>
        </w:rPr>
        <w:t>EPORT OF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</w:t>
      </w:r>
      <w:r>
        <w:rPr>
          <w:rFonts w:ascii="Arial" w:cs="Arial" w:eastAsia="Arial" w:hAnsi="Arial"/>
          <w:sz w:val="12"/>
          <w:szCs w:val="12"/>
          <w:color w:val="auto"/>
        </w:rPr>
        <w:t>OREIGN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P</w:t>
      </w:r>
      <w:r>
        <w:rPr>
          <w:rFonts w:ascii="Arial" w:cs="Arial" w:eastAsia="Arial" w:hAnsi="Arial"/>
          <w:sz w:val="12"/>
          <w:szCs w:val="12"/>
          <w:color w:val="auto"/>
        </w:rPr>
        <w:t>RIVATE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I</w:t>
      </w:r>
      <w:r>
        <w:rPr>
          <w:rFonts w:ascii="Arial" w:cs="Arial" w:eastAsia="Arial" w:hAnsi="Arial"/>
          <w:sz w:val="12"/>
          <w:szCs w:val="12"/>
          <w:color w:val="auto"/>
        </w:rPr>
        <w:t>SSUER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</w:t>
      </w:r>
      <w:r>
        <w:rPr>
          <w:rFonts w:ascii="Arial" w:cs="Arial" w:eastAsia="Arial" w:hAnsi="Arial"/>
          <w:sz w:val="12"/>
          <w:szCs w:val="12"/>
          <w:color w:val="auto"/>
        </w:rPr>
        <w:t>URSUANT TO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R</w:t>
      </w:r>
      <w:r>
        <w:rPr>
          <w:rFonts w:ascii="Arial" w:cs="Arial" w:eastAsia="Arial" w:hAnsi="Arial"/>
          <w:sz w:val="12"/>
          <w:szCs w:val="12"/>
          <w:color w:val="auto"/>
        </w:rPr>
        <w:t>ULE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13</w:t>
      </w:r>
      <w:r>
        <w:rPr>
          <w:rFonts w:ascii="Arial" w:cs="Arial" w:eastAsia="Arial" w:hAnsi="Arial"/>
          <w:sz w:val="12"/>
          <w:szCs w:val="12"/>
          <w:color w:val="auto"/>
        </w:rPr>
        <w:t>A</w:t>
      </w:r>
      <w:r>
        <w:rPr>
          <w:rFonts w:ascii="Arial" w:cs="Arial" w:eastAsia="Arial" w:hAnsi="Arial"/>
          <w:sz w:val="18"/>
          <w:szCs w:val="18"/>
          <w:color w:val="auto"/>
        </w:rPr>
        <w:t xml:space="preserve">-16 </w:t>
      </w:r>
      <w:r>
        <w:rPr>
          <w:rFonts w:ascii="Arial" w:cs="Arial" w:eastAsia="Arial" w:hAnsi="Arial"/>
          <w:sz w:val="12"/>
          <w:szCs w:val="12"/>
          <w:color w:val="auto"/>
        </w:rPr>
        <w:t>OR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15</w:t>
      </w:r>
      <w:r>
        <w:rPr>
          <w:rFonts w:ascii="Arial" w:cs="Arial" w:eastAsia="Arial" w:hAnsi="Arial"/>
          <w:sz w:val="12"/>
          <w:szCs w:val="12"/>
          <w:color w:val="auto"/>
        </w:rPr>
        <w:t>D</w:t>
      </w:r>
      <w:r>
        <w:rPr>
          <w:rFonts w:ascii="Arial" w:cs="Arial" w:eastAsia="Arial" w:hAnsi="Arial"/>
          <w:sz w:val="18"/>
          <w:szCs w:val="18"/>
          <w:color w:val="auto"/>
        </w:rPr>
        <w:t>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OF THE </w:t>
      </w:r>
      <w:r>
        <w:rPr>
          <w:rFonts w:ascii="Arial" w:cs="Arial" w:eastAsia="Arial" w:hAnsi="Arial"/>
          <w:sz w:val="18"/>
          <w:szCs w:val="18"/>
          <w:color w:val="auto"/>
        </w:rPr>
        <w:t>S</w:t>
      </w:r>
      <w:r>
        <w:rPr>
          <w:rFonts w:ascii="Arial" w:cs="Arial" w:eastAsia="Arial" w:hAnsi="Arial"/>
          <w:sz w:val="12"/>
          <w:szCs w:val="12"/>
          <w:color w:val="auto"/>
        </w:rPr>
        <w:t xml:space="preserve">ECURITIES </w:t>
      </w:r>
      <w:r>
        <w:rPr>
          <w:rFonts w:ascii="Arial" w:cs="Arial" w:eastAsia="Arial" w:hAnsi="Arial"/>
          <w:sz w:val="18"/>
          <w:szCs w:val="18"/>
          <w:color w:val="auto"/>
        </w:rPr>
        <w:t>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XCHANGE </w:t>
      </w:r>
      <w:r>
        <w:rPr>
          <w:rFonts w:ascii="Arial" w:cs="Arial" w:eastAsia="Arial" w:hAnsi="Arial"/>
          <w:sz w:val="18"/>
          <w:szCs w:val="18"/>
          <w:color w:val="auto"/>
        </w:rPr>
        <w:t>A</w:t>
      </w:r>
      <w:r>
        <w:rPr>
          <w:rFonts w:ascii="Arial" w:cs="Arial" w:eastAsia="Arial" w:hAnsi="Arial"/>
          <w:sz w:val="12"/>
          <w:szCs w:val="12"/>
          <w:color w:val="auto"/>
        </w:rPr>
        <w:t xml:space="preserve">CT OF </w:t>
      </w:r>
      <w:r>
        <w:rPr>
          <w:rFonts w:ascii="Arial" w:cs="Arial" w:eastAsia="Arial" w:hAnsi="Arial"/>
          <w:sz w:val="18"/>
          <w:szCs w:val="18"/>
          <w:color w:val="auto"/>
        </w:rPr>
        <w:t>1934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 June 2010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No. 2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TOWER SEMICONDUCTOR LTD.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registrant's name into English)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Ramat Gavriel Industrial Park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P.O. Box 619, Migdal Haemek, Israel 23105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500"/>
        <w:spacing w:after="0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5020"/>
        <w:spacing w:after="0"/>
        <w:tabs>
          <w:tab w:leader="none" w:pos="6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269875</wp:posOffset>
            </wp:positionV>
            <wp:extent cx="7250430" cy="29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00"/>
          </w:cols>
          <w:pgMar w:left="240" w:top="306" w:right="259" w:bottom="1440" w:gutter="0" w:footer="0" w:header="0"/>
        </w:sectPr>
      </w:pPr>
    </w:p>
    <w:bookmarkStart w:id="1" w:name="page2"/>
    <w:bookmarkEnd w:id="1"/>
    <w:p>
      <w:pPr>
        <w:ind w:firstLine="903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Attached hereto and incorporated by reference herein is the registrant's press release dated June 2, 2010 announcing the letter agreement signed between the registrant and its banks.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This Form 6-K is being incorporated by reference into all effective registration statements filed by the registrant under the Securities Act of 1933.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431800</wp:posOffset>
            </wp:positionV>
            <wp:extent cx="7250430" cy="2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00"/>
          </w:cols>
          <w:pgMar w:left="240" w:top="490" w:right="25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Exhibits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Press release issued by the registrant on June 2, 2010 announcing the letter agreement signed between the registrant and its banks.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424180</wp:posOffset>
            </wp:positionV>
            <wp:extent cx="7250430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517" w:right="1440" w:bottom="144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5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TOWER SEMICONDUCTOR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June 2, 2010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By:/s/ Nati Somekh Gilboa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23495</wp:posOffset>
            </wp:positionV>
            <wp:extent cx="260731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3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Nati Somekh Gilboa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 Corporate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372745</wp:posOffset>
            </wp:positionV>
            <wp:extent cx="7250430" cy="450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8819515</wp:posOffset>
            </wp:positionV>
            <wp:extent cx="7250430" cy="381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86" w:right="239" w:bottom="1440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165735</wp:posOffset>
            </wp:positionV>
            <wp:extent cx="1835150" cy="8058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Tower Semiconductor Signs Agreement with Current Lender Banks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2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Working with Banks and Institutional Bondholders to Further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Strengthen Its Balance Sheet and Restructure Its Debt Schedule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MIGDAL HAEMEK, Israel –June 2, 2010 </w:t>
      </w:r>
      <w:r>
        <w:rPr>
          <w:rFonts w:ascii="Arial" w:cs="Arial" w:eastAsia="Arial" w:hAnsi="Arial"/>
          <w:sz w:val="18"/>
          <w:szCs w:val="18"/>
          <w:color w:val="auto"/>
        </w:rPr>
        <w:t>– Tower Semiconductor, the global specialty foundry leader, today announced that it had signed an agreement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with its Israeli lender banks, according to which it will prepay $20 million of its long term bank debt, originally due in September 2011, funded by its improved operating margins, which have recently been much better than expected.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is working with its lender banks, Bank Leumi and Bank Hapoalim and institutional bondholders, to restructure and re-finance its long-term bank and institutional debt with a view towards further strengthening its balance sheet and debt structure, as well us enabling its business plan planned growth.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agreement, the banks consented to the issuance by the Company of up to $100 million of new long term debentures, which may include long-term debentures issued in exchange for its current debentures due 2011 and 2012. The Company expects these long-term debentures to have an average duration of five to seven years, but has not yet made any decision as to the issuance of any new long-term debentures nor as to the scope, terms or timing thereof.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Russell Ellwanger, Tower's chief executive officer, said, "The signing of the agreement with our Israeli lender banks is the initial step towards the execution of a comprehensive debt restructuring plan with our banks and bond holders, designed to significantly strengthen our balance sheet. The planned restructuring will position us as a much stronger competitor in the industry, improving our debt schedule while we work to achieve our $500 million revenue target for 2010. It demonstrates the confidence of our lenders in our growth strategies and our future.”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TowerJazz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Tower Semiconductor Ltd. (NASDAQ: 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TSEM</w:t>
      </w:r>
      <w:r>
        <w:rPr>
          <w:rFonts w:ascii="Arial" w:cs="Arial" w:eastAsia="Arial" w:hAnsi="Arial"/>
          <w:sz w:val="16"/>
          <w:szCs w:val="16"/>
          <w:color w:val="auto"/>
        </w:rPr>
        <w:t xml:space="preserve">, TASE: TSEM), the global specialty foundry leader and its fully owned U.S. subsidiary Jazz Semiconductor, operate collectively under the brand name TowerJazz, manufacturing integrated circuits with geometries ranging from 1.0 to 0.13-micron. TowerJazz provides industry leading design enablement tools to allow complex designs to be achieved quickly and more accurately and offers a broad range of customizable process technologies including SiGe, BiCMOS, Mixed-Signal and RFCMOS, CMOS Image Sensor, Power Management (BCD), and Non-Volatile Memory (NVM) as well as MEMS capabilities. To provid e world-class customer service, TowerJazz maintains two manufacturing facilities in Israel and one in the U.S. with additional capacity available in China through manufacturing partnerships. For more information, please visit 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www.towerjazz.com</w:t>
      </w:r>
      <w:r>
        <w:rPr>
          <w:rFonts w:ascii="Arial" w:cs="Arial" w:eastAsia="Arial" w:hAnsi="Arial"/>
          <w:sz w:val="16"/>
          <w:szCs w:val="16"/>
          <w:color w:val="auto"/>
        </w:rPr>
        <w:t>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Forward Looking Statements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press release includes forward-looking statements, which are subject to risks and uncertainties. Actual results may vary from those projected or implied by such forward-looking statements and you should not place any undue reliance on such forward-looking statements. The success of the Company’s debt restructuring efforts is subject to many factors, including the following: (i) negotiation of mutually acceptable arrangements with the Company’s lenders and institutional and other debenture holders; (ii) market interest in any new debt securities the Company may propose to issue; (iii) the overall global economy conditions as well as the situation of the credit and financial markets; and (iv) the Company’s operating results, cash flow, financial position and future prospects.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405130</wp:posOffset>
            </wp:positionV>
            <wp:extent cx="7250430" cy="298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12" w:right="239" w:bottom="1440" w:gutter="0" w:footer="0" w:header="0"/>
        </w:sectPr>
      </w:pPr>
    </w:p>
    <w:bookmarkStart w:id="5" w:name="page6"/>
    <w:bookmarkEnd w:id="5"/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 complete discussion of risks and uncertainties that may affect the accuracy of forward-looking statements included in this press release or which may otherwise affect our business is included under the heading "Risk Factors" in Tower’s most recent filing on Form 20-F. The Company does not intend to update, and expressly disclaims any obligation to update, the information contained in this release.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Contacts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45"/>
        </w:trPr>
        <w:tc>
          <w:tcPr>
            <w:tcW w:w="3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TowerJazz Investor Relations</w:t>
            </w:r>
          </w:p>
        </w:tc>
        <w:tc>
          <w:tcPr>
            <w:tcW w:w="7440" w:type="dxa"/>
            <w:vAlign w:val="bottom"/>
            <w:gridSpan w:val="3"/>
          </w:tcPr>
          <w:p>
            <w:pPr>
              <w:ind w:left="1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CCG Investor Relations</w:t>
            </w: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Noit Levi, +972 4 604 7066</w:t>
            </w:r>
          </w:p>
        </w:tc>
        <w:tc>
          <w:tcPr>
            <w:tcW w:w="7440" w:type="dxa"/>
            <w:vAlign w:val="bottom"/>
            <w:gridSpan w:val="3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Ehud Helft / Kenny Green, (646) 201 9246</w:t>
            </w:r>
          </w:p>
        </w:tc>
      </w:tr>
      <w:tr>
        <w:trPr>
          <w:trHeight w:val="19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Noit.levi@towerjazz.com</w:t>
            </w:r>
          </w:p>
        </w:tc>
        <w:tc>
          <w:tcPr>
            <w:tcW w:w="7440" w:type="dxa"/>
            <w:vAlign w:val="bottom"/>
            <w:gridSpan w:val="3"/>
          </w:tcPr>
          <w:p>
            <w:pPr>
              <w:ind w:left="19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towersemi@ccgisrael.com</w:t>
            </w:r>
          </w:p>
        </w:tc>
      </w:tr>
      <w:tr>
        <w:trPr>
          <w:trHeight w:val="38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1"/>
        </w:trPr>
        <w:tc>
          <w:tcPr>
            <w:tcW w:w="24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51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2019-12-10T12:06:28Z</dcterms:created>
  <dcterms:modified xsi:type="dcterms:W3CDTF">2019-12-10T12:06:28Z</dcterms:modified>
</cp:coreProperties>
</file>