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For the month of July 2020 No.3</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79"/>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59" w:lineRule="exact"/>
        <w:rPr>
          <w:sz w:val="24"/>
          <w:szCs w:val="24"/>
          <w:color w:val="auto"/>
        </w:rPr>
      </w:pPr>
    </w:p>
    <w:p>
      <w:pPr>
        <w:jc w:val="center"/>
        <w:ind w:right="-199"/>
        <w:spacing w:after="0" w:line="253" w:lineRule="exact"/>
        <w:tabs>
          <w:tab w:leader="none" w:pos="3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(1): 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19" w:right="519" w:bottom="1440" w:gutter="0" w:footer="0" w:header="0"/>
        </w:sectPr>
      </w:pPr>
    </w:p>
    <w:bookmarkStart w:id="1" w:name="page2"/>
    <w:bookmarkEnd w:id="1"/>
    <w:p>
      <w:pPr>
        <w:ind w:left="640"/>
        <w:spacing w:after="0"/>
        <w:rPr>
          <w:sz w:val="20"/>
          <w:szCs w:val="20"/>
          <w:color w:val="auto"/>
        </w:rPr>
      </w:pPr>
      <w:r>
        <w:rPr>
          <w:rFonts w:ascii="Arial" w:cs="Arial" w:eastAsia="Arial" w:hAnsi="Arial"/>
          <w:sz w:val="19"/>
          <w:szCs w:val="19"/>
          <w:color w:val="auto"/>
        </w:rPr>
        <w:t>On July 29, 2020, the Registrant announced its financial results for the six and three months ended June 30, 2020.</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Attached hereto is the following exhibit.</w:t>
      </w:r>
    </w:p>
    <w:p>
      <w:pPr>
        <w:spacing w:after="0" w:line="276" w:lineRule="exact"/>
        <w:rPr>
          <w:sz w:val="20"/>
          <w:szCs w:val="20"/>
          <w:color w:val="auto"/>
        </w:rPr>
      </w:pPr>
    </w:p>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Exhibit 99.</w:t>
        </w:r>
        <w:r>
          <w:rPr>
            <w:rFonts w:ascii="Arial" w:cs="Arial" w:eastAsia="Arial" w:hAnsi="Arial"/>
            <w:sz w:val="18"/>
            <w:szCs w:val="18"/>
            <w:color w:val="0000EE"/>
          </w:rPr>
          <w:t xml:space="preserve">1Press </w:t>
        </w:r>
        <w:r>
          <w:rPr>
            <w:rFonts w:ascii="Arial" w:cs="Arial" w:eastAsia="Arial" w:hAnsi="Arial"/>
            <w:sz w:val="18"/>
            <w:szCs w:val="18"/>
            <w:u w:val="single" w:color="auto"/>
            <w:color w:val="0000EE"/>
          </w:rPr>
          <w:t>release dated July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July 29,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126"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1125220</wp:posOffset>
            </wp:positionV>
            <wp:extent cx="7132320" cy="3994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Tower Semiconductor Reports Second Quarter 2020 with</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Quarter over Quarter Revenues and Margins Growth</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Guides Third Quarter Sequential Revenue Growth</w:t>
      </w:r>
    </w:p>
    <w:p>
      <w:pPr>
        <w:spacing w:after="0" w:line="278"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MIGDAL HAEMEK, ISRAEL – July 29, 2020 – </w:t>
      </w:r>
      <w:r>
        <w:rPr>
          <w:rFonts w:ascii="Arial" w:cs="Arial" w:eastAsia="Arial" w:hAnsi="Arial"/>
          <w:sz w:val="22"/>
          <w:szCs w:val="22"/>
          <w:color w:val="auto"/>
        </w:rPr>
        <w:t>Tower Semiconductor (NASDAQ: TSEM &amp; TASE: TSEM) reported today</w:t>
      </w:r>
      <w:r>
        <w:rPr>
          <w:rFonts w:ascii="Arial" w:cs="Arial" w:eastAsia="Arial" w:hAnsi="Arial"/>
          <w:sz w:val="22"/>
          <w:szCs w:val="22"/>
          <w:b w:val="1"/>
          <w:bCs w:val="1"/>
          <w:color w:val="auto"/>
        </w:rPr>
        <w:t xml:space="preserve"> </w:t>
      </w:r>
      <w:r>
        <w:rPr>
          <w:rFonts w:ascii="Arial" w:cs="Arial" w:eastAsia="Arial" w:hAnsi="Arial"/>
          <w:sz w:val="22"/>
          <w:szCs w:val="22"/>
          <w:color w:val="auto"/>
        </w:rPr>
        <w:t>its results for the second quarter ended June 30, 2020.</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Results Overview</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Revenues, gross profit </w:t>
      </w:r>
      <w:r>
        <w:rPr>
          <w:rFonts w:ascii="Arial" w:cs="Arial" w:eastAsia="Arial" w:hAnsi="Arial"/>
          <w:sz w:val="22"/>
          <w:szCs w:val="22"/>
          <w:color w:val="auto"/>
        </w:rPr>
        <w:t>and</w:t>
      </w:r>
      <w:r>
        <w:rPr>
          <w:rFonts w:ascii="Arial" w:cs="Arial" w:eastAsia="Arial" w:hAnsi="Arial"/>
          <w:sz w:val="22"/>
          <w:szCs w:val="22"/>
          <w:b w:val="1"/>
          <w:bCs w:val="1"/>
          <w:color w:val="auto"/>
        </w:rPr>
        <w:t xml:space="preserve"> operating profit </w:t>
      </w:r>
      <w:r>
        <w:rPr>
          <w:rFonts w:ascii="Arial" w:cs="Arial" w:eastAsia="Arial" w:hAnsi="Arial"/>
          <w:sz w:val="22"/>
          <w:szCs w:val="22"/>
          <w:color w:val="auto"/>
        </w:rPr>
        <w:t>for the second quarter of 2020 demonstrated quarter over quarter and year over year</w:t>
      </w:r>
      <w:r>
        <w:rPr>
          <w:rFonts w:ascii="Arial" w:cs="Arial" w:eastAsia="Arial" w:hAnsi="Arial"/>
          <w:sz w:val="22"/>
          <w:szCs w:val="22"/>
          <w:b w:val="1"/>
          <w:bCs w:val="1"/>
          <w:color w:val="auto"/>
        </w:rPr>
        <w:t xml:space="preserve"> </w:t>
      </w:r>
      <w:r>
        <w:rPr>
          <w:rFonts w:ascii="Arial" w:cs="Arial" w:eastAsia="Arial" w:hAnsi="Arial"/>
          <w:sz w:val="22"/>
          <w:szCs w:val="22"/>
          <w:color w:val="auto"/>
        </w:rPr>
        <w:t>growth at $310 million revenues as compared to $300 million and $306 million; gross profit at $58 million, as compared to $53 million and $53 million; and operating profit at $22 million, as compared to $16 million and $18 million, for the first quarter of 2020 and the second quarter of 2019, respectively.</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Net profit </w:t>
      </w:r>
      <w:r>
        <w:rPr>
          <w:rFonts w:ascii="Arial" w:cs="Arial" w:eastAsia="Arial" w:hAnsi="Arial"/>
          <w:sz w:val="22"/>
          <w:szCs w:val="22"/>
          <w:color w:val="auto"/>
        </w:rPr>
        <w:t>for the second quarter of 2020 was $19 million, or $0.18 basic and diluted earnings per share, as compared to net</w:t>
      </w:r>
      <w:r>
        <w:rPr>
          <w:rFonts w:ascii="Arial" w:cs="Arial" w:eastAsia="Arial" w:hAnsi="Arial"/>
          <w:sz w:val="22"/>
          <w:szCs w:val="22"/>
          <w:b w:val="1"/>
          <w:bCs w:val="1"/>
          <w:color w:val="auto"/>
        </w:rPr>
        <w:t xml:space="preserve"> </w:t>
      </w:r>
      <w:r>
        <w:rPr>
          <w:rFonts w:ascii="Arial" w:cs="Arial" w:eastAsia="Arial" w:hAnsi="Arial"/>
          <w:sz w:val="22"/>
          <w:szCs w:val="22"/>
          <w:color w:val="auto"/>
        </w:rPr>
        <w:t>profit of $17 million or $0.16 basic and diluted earnings per share in the prior quarter, and $21 million or $0.20 basic and diluted earnings per share in the second quarter of 2019.</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Cash flow generated from operations </w:t>
      </w:r>
      <w:r>
        <w:rPr>
          <w:rFonts w:ascii="Arial" w:cs="Arial" w:eastAsia="Arial" w:hAnsi="Arial"/>
          <w:sz w:val="22"/>
          <w:szCs w:val="22"/>
          <w:color w:val="auto"/>
        </w:rPr>
        <w:t>in the second quarter of 2020 was $67 million with investment in fixed assets, net of $63</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that included payments related to the 300mm facility capacity expansion program. In the second quarter of 2020, the company repaid $5 million of its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Business Outlook</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Tower Semiconductor expects revenues for the third quarter of 2020 to be $320 million, with an upward or downward range of 5%, demonstrating quarter over quarter and year over year growth.</w:t>
      </w:r>
    </w:p>
    <w:p>
      <w:pPr>
        <w:spacing w:after="0" w:line="226" w:lineRule="exact"/>
        <w:rPr>
          <w:sz w:val="20"/>
          <w:szCs w:val="20"/>
          <w:color w:val="auto"/>
        </w:rPr>
      </w:pPr>
    </w:p>
    <w:p>
      <w:pPr>
        <w:jc w:val="both"/>
        <w:spacing w:after="0" w:line="310" w:lineRule="auto"/>
        <w:rPr>
          <w:sz w:val="20"/>
          <w:szCs w:val="20"/>
          <w:color w:val="auto"/>
        </w:rPr>
      </w:pPr>
      <w:r>
        <w:rPr>
          <w:rFonts w:ascii="Arial" w:cs="Arial" w:eastAsia="Arial" w:hAnsi="Arial"/>
          <w:sz w:val="19"/>
          <w:szCs w:val="19"/>
          <w:b w:val="1"/>
          <w:bCs w:val="1"/>
          <w:color w:val="auto"/>
        </w:rPr>
        <w:t>Mr. Russell Ellwanger, Chief Executive Officer of Tower Semiconductor</w:t>
      </w:r>
      <w:r>
        <w:rPr>
          <w:rFonts w:ascii="Arial" w:cs="Arial" w:eastAsia="Arial" w:hAnsi="Arial"/>
          <w:sz w:val="19"/>
          <w:szCs w:val="19"/>
          <w:color w:val="auto"/>
        </w:rPr>
        <w:t>,</w:t>
      </w:r>
      <w:r>
        <w:rPr>
          <w:rFonts w:ascii="Arial" w:cs="Arial" w:eastAsia="Arial" w:hAnsi="Arial"/>
          <w:sz w:val="19"/>
          <w:szCs w:val="19"/>
          <w:b w:val="1"/>
          <w:bCs w:val="1"/>
          <w:color w:val="auto"/>
        </w:rPr>
        <w:t xml:space="preserve"> commented</w:t>
      </w:r>
      <w:r>
        <w:rPr>
          <w:rFonts w:ascii="Arial" w:cs="Arial" w:eastAsia="Arial" w:hAnsi="Arial"/>
          <w:sz w:val="19"/>
          <w:szCs w:val="19"/>
          <w:color w:val="auto"/>
        </w:rPr>
        <w:t>: “Entering the second half of 2020, we</w:t>
      </w:r>
      <w:r>
        <w:rPr>
          <w:rFonts w:ascii="Arial" w:cs="Arial" w:eastAsia="Arial" w:hAnsi="Arial"/>
          <w:sz w:val="19"/>
          <w:szCs w:val="19"/>
          <w:b w:val="1"/>
          <w:bCs w:val="1"/>
          <w:color w:val="auto"/>
        </w:rPr>
        <w:t xml:space="preserve"> </w:t>
      </w:r>
      <w:r>
        <w:rPr>
          <w:rFonts w:ascii="Arial" w:cs="Arial" w:eastAsia="Arial" w:hAnsi="Arial"/>
          <w:sz w:val="19"/>
          <w:szCs w:val="19"/>
          <w:color w:val="auto"/>
        </w:rPr>
        <w:t>are pleased that in the midst of certain market pullbacks, we continue to guide quarter over quarter and year over year growth. This is strong affirmation of our offerings, our increasing market share in RF SOI, and the high value our customers assign to our SiGe platform enablers. Our expansion into additional served markets for power management is well received, which business is seeing significant growth this year. Strengthening our diversification through entering newly served market applications and increased market share has enabled notable performance in this challenging environment”.</w:t>
      </w:r>
    </w:p>
    <w:p>
      <w:pPr>
        <w:spacing w:after="0" w:line="197" w:lineRule="exact"/>
        <w:rPr>
          <w:sz w:val="20"/>
          <w:szCs w:val="20"/>
          <w:color w:val="auto"/>
        </w:rPr>
      </w:pPr>
    </w:p>
    <w:p>
      <w:pPr>
        <w:jc w:val="both"/>
        <w:spacing w:after="0" w:line="319" w:lineRule="auto"/>
        <w:rPr>
          <w:sz w:val="20"/>
          <w:szCs w:val="20"/>
          <w:color w:val="auto"/>
        </w:rPr>
      </w:pPr>
      <w:r>
        <w:rPr>
          <w:rFonts w:ascii="Arial" w:cs="Arial" w:eastAsia="Arial" w:hAnsi="Arial"/>
          <w:sz w:val="19"/>
          <w:szCs w:val="19"/>
          <w:b w:val="1"/>
          <w:bCs w:val="1"/>
          <w:color w:val="auto"/>
        </w:rPr>
        <w:t xml:space="preserve">Ellwanger further commented: </w:t>
      </w:r>
      <w:r>
        <w:rPr>
          <w:rFonts w:ascii="Arial" w:cs="Arial" w:eastAsia="Arial" w:hAnsi="Arial"/>
          <w:sz w:val="19"/>
          <w:szCs w:val="19"/>
          <w:color w:val="auto"/>
        </w:rPr>
        <w:t>“We are motivated with the degree of customer interaction and acceptance of our recent</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developments, namely in advanced SiPho, very high-speed silicon germanium, the entire BSI and stacked wafer sensor offerings, as well as our newly served markets in display. These activities, in addition to our present strong and growing core business, back our confidence in our strategy and roadmap, and will be additionally accretive when all end markets revive to previous patterns.”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Teleconference and Webcast</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Tower Semiconductor will host an investor conference call today, Wednesday, July 29, 2020, at 10:00 a.m. Eastern time (9:00 a.m. Central time, 8:00 a.m. Mountain time, 7:00 a.m. Pacific time and 5:00 p.m. Israel time) to discuss the Company’s financial results for the second quarter of 2020 and its outlook.</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This call will be webcast and can be accessed via Tower Semiconductor’s website at </w:t>
      </w:r>
      <w:r>
        <w:rPr>
          <w:rFonts w:ascii="Arial" w:cs="Arial" w:eastAsia="Arial" w:hAnsi="Arial"/>
          <w:sz w:val="22"/>
          <w:szCs w:val="22"/>
          <w:u w:val="single" w:color="auto"/>
          <w:color w:val="auto"/>
        </w:rPr>
        <w:t>www.towersemi.com</w:t>
      </w:r>
      <w:r>
        <w:rPr>
          <w:rFonts w:ascii="Arial" w:cs="Arial" w:eastAsia="Arial" w:hAnsi="Arial"/>
          <w:sz w:val="22"/>
          <w:szCs w:val="22"/>
          <w:color w:val="auto"/>
        </w:rPr>
        <w:t xml:space="preserve"> or by calling 1-888-668-9141 (U.S. Toll-Free), 03-918-0609 (Israel), +972-3-918-0609 (International). For those who are not available to listen to the live broadcast, the call will be archived on Tower Semiconductor’s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 w:name="page6"/>
    <w:bookmarkEnd w:id="5"/>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are non-GAAP financial measures as defined in Regulation G and related reporting requirements promulgated by the Securities and Exchange Commission as they apply to our Company. These adjusted financial measures are calculated excluding one or both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financing and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net cash provided by operating activities (in the amounts of $67 million, $68 million and $72 million for the three months periods ended June 30, 2020, March 31, 2020 and June 30, 2019, respectively) less cash used for investments in property and equipment, net (in the amounts of $63 million, $63 million and $44 million for the three months periods ended June 30, 2020, March 31, 2020 and June 30, 2019,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253365</wp:posOffset>
            </wp:positionV>
            <wp:extent cx="61379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780"/>
        <w:spacing w:after="0" w:line="296"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June 30, 2020 we are in compliance with all such covenants included in our banks’ agreements, bond G indenture and others),</w:t>
      </w:r>
    </w:p>
    <w:p>
      <w:pPr>
        <w:spacing w:after="0" w:line="11" w:lineRule="exact"/>
        <w:rPr>
          <w:sz w:val="20"/>
          <w:szCs w:val="20"/>
          <w:color w:val="auto"/>
        </w:rPr>
      </w:pPr>
    </w:p>
    <w:p>
      <w:pPr>
        <w:jc w:val="both"/>
        <w:ind w:left="780" w:firstLine="6"/>
        <w:spacing w:after="0" w:line="296" w:lineRule="auto"/>
        <w:tabs>
          <w:tab w:leader="none" w:pos="1103" w:val="left"/>
        </w:tabs>
        <w:numPr>
          <w:ilvl w:val="0"/>
          <w:numId w:val="1"/>
        </w:numPr>
        <w:rPr>
          <w:rFonts w:ascii="Arial" w:cs="Arial" w:eastAsia="Arial" w:hAnsi="Arial"/>
          <w:sz w:val="19"/>
          <w:szCs w:val="19"/>
          <w:color w:val="auto"/>
        </w:rPr>
      </w:pPr>
      <w:r>
        <w:rPr>
          <w:rFonts w:ascii="Arial" w:cs="Arial" w:eastAsia="Arial" w:hAnsi="Arial"/>
          <w:sz w:val="19"/>
          <w:szCs w:val="19"/>
          <w:color w:val="auto"/>
        </w:rPr>
        <w:t>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and/or for strategic opportunities and the possible unavailability of such financing and/ or the availability of such financing in unfavorable terms ,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w:t>
      </w:r>
    </w:p>
    <w:p>
      <w:pPr>
        <w:spacing w:after="0" w:line="11" w:lineRule="exact"/>
        <w:rPr>
          <w:rFonts w:ascii="Arial" w:cs="Arial" w:eastAsia="Arial" w:hAnsi="Arial"/>
          <w:sz w:val="19"/>
          <w:szCs w:val="19"/>
          <w:color w:val="auto"/>
        </w:rPr>
      </w:pPr>
    </w:p>
    <w:p>
      <w:pPr>
        <w:jc w:val="both"/>
        <w:ind w:left="780" w:firstLine="6"/>
        <w:spacing w:after="0" w:line="296" w:lineRule="auto"/>
        <w:tabs>
          <w:tab w:leader="none" w:pos="1398"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w:t>
      </w:r>
    </w:p>
    <w:p>
      <w:pPr>
        <w:spacing w:after="0" w:line="4" w:lineRule="exact"/>
        <w:rPr>
          <w:rFonts w:ascii="Arial" w:cs="Arial" w:eastAsia="Arial" w:hAnsi="Arial"/>
          <w:sz w:val="19"/>
          <w:szCs w:val="19"/>
          <w:color w:val="auto"/>
        </w:rPr>
      </w:pPr>
    </w:p>
    <w:p>
      <w:pPr>
        <w:jc w:val="both"/>
        <w:ind w:left="780" w:firstLine="6"/>
        <w:spacing w:after="0" w:line="302" w:lineRule="auto"/>
        <w:tabs>
          <w:tab w:leader="none" w:pos="1538" w:val="left"/>
        </w:tabs>
        <w:numPr>
          <w:ilvl w:val="0"/>
          <w:numId w:val="3"/>
        </w:numPr>
        <w:rPr>
          <w:rFonts w:ascii="Arial" w:cs="Arial" w:eastAsia="Arial" w:hAnsi="Arial"/>
          <w:sz w:val="19"/>
          <w:szCs w:val="19"/>
          <w:color w:val="auto"/>
        </w:rPr>
      </w:pPr>
      <w:r>
        <w:rPr>
          <w:rFonts w:ascii="Arial" w:cs="Arial" w:eastAsia="Arial" w:hAnsi="Arial"/>
          <w:sz w:val="19"/>
          <w:szCs w:val="19"/>
          <w:color w:val="auto"/>
        </w:rPr>
        <w:t>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(xxxvi) potential future effect on TPSCo and the Company due to the possible closing of Panasonic sale of PSCS (a company holding 49% of TPSCo) to Nuvoton, (xxxvii) industry and market impact due to the coronavirus and its potential impact on our business, operational continuity, supply chain, revenue and profitability; (xxxviii) potential security, cyber and privacy breaches, and (xxxix) business interruption due to fire and other natural disasters, the security situation in Israel and other events beyond our control such as power interruptions.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382270</wp:posOffset>
            </wp:positionV>
            <wp:extent cx="61379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ectPr>
          <w:pgSz w:w="11900" w:h="16838" w:orient="portrait"/>
          <w:cols w:equalWidth="0" w:num="1">
            <w:col w:w="10460"/>
          </w:cols>
          <w:pgMar w:left="320" w:top="396" w:right="1119" w:bottom="725" w:gutter="0" w:footer="0" w:header="0"/>
        </w:sectPr>
      </w:pPr>
    </w:p>
    <w:bookmarkStart w:id="7" w:name="page8"/>
    <w:bookmarkEnd w:id="7"/>
    <w:p>
      <w:pPr>
        <w:jc w:val="both"/>
        <w:spacing w:after="0" w:line="311"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258,793</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355,561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269,263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215,609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195,886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176,070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128,401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126,966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210,129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192,256</w:t>
            </w: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28,158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22,019</w:t>
            </w:r>
          </w:p>
        </w:tc>
      </w:tr>
      <w:tr>
        <w:trPr>
          <w:trHeight w:val="216"/>
        </w:trPr>
        <w:tc>
          <w:tcPr>
            <w:tcW w:w="8680" w:type="dxa"/>
            <w:vAlign w:val="bottom"/>
            <w:tcBorders>
              <w:top w:val="single" w:sz="8" w:color="CCEEFF"/>
            </w:tcBorders>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1,090,630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1,088,481</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41,219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40,085</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765,895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681,939</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GOODWILL AND 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17,281</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91,834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105,047</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2,005,876</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1,932,833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79,668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65,932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154,517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119,199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10,322</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68,192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57,603</w:t>
            </w:r>
          </w:p>
        </w:tc>
      </w:tr>
      <w:tr>
        <w:trPr>
          <w:trHeight w:val="216"/>
        </w:trPr>
        <w:tc>
          <w:tcPr>
            <w:tcW w:w="86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310,832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253,056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245,821</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27,570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28,196</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EMPLOYEE RELATED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13,285</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40,596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45,752</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613,732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586,110</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1,392,144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6"/>
        </w:trPr>
        <w:tc>
          <w:tcPr>
            <w:tcW w:w="868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2,005,876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1,932,833</w:t>
            </w:r>
          </w:p>
        </w:tc>
      </w:tr>
      <w:tr>
        <w:trPr>
          <w:trHeight w:val="419"/>
        </w:trPr>
        <w:tc>
          <w:tcPr>
            <w:tcW w:w="86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07"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4"/>
              </w:rPr>
              <w:t>T h r e e  m o n t h s  e n d e d</w:t>
            </w: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310,090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300,171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306,064</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252,385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247,628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252,657</w:t>
            </w: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57,705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52,543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53,407</w:t>
            </w: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18,812</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16,154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16,691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16,838</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35,578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36,105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35,650</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22,127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16,438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17,757</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(2,113)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947</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23,958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18,704</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(2,484)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1,018</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PROFIT BEFORE NON CONTROLLING INTEREST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21,474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19,722</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NON CONTROLLING INTEREST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(2,422)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1,214</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19,052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20,936</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0.20</w:t>
            </w:r>
          </w:p>
        </w:tc>
      </w:tr>
      <w:tr>
        <w:trPr>
          <w:trHeight w:val="210"/>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106,956</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106,814</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106,321</w:t>
            </w:r>
          </w:p>
        </w:tc>
      </w:tr>
      <w:tr>
        <w:trPr>
          <w:trHeight w:val="210"/>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0.20</w:t>
            </w:r>
          </w:p>
        </w:tc>
      </w:tr>
      <w:tr>
        <w:trPr>
          <w:trHeight w:val="209"/>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108,277</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108,149</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107,178</w:t>
            </w:r>
          </w:p>
        </w:tc>
      </w:tr>
      <w:tr>
        <w:trPr>
          <w:trHeight w:val="210"/>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NET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20,936</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3,884</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494</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23,340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21,873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25,314</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ADJUSTED BASIC AND DILUTED EARNINGS PER SHARE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0.24</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jc w:val="center"/>
        <w:ind w:right="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5"/>
              </w:rPr>
              <w:t>S i x   m o n t h s  e n d e d</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4"/>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610,261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616,171</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500,013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499,613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110,248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116,558</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37,980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32,845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33,479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71,683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71,459</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38,565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45,099</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1,672</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38,283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46,771</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INCOME TAX EXPENSE, NET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(649)</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PROFIT BEFORE NON CONTROLLING INTEREST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37,505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46,122</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NON CONTROLLING INTEREST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1,030</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36,072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47,152</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0.34</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106,885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105,829</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GAAP NET PROFIT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36,072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47,152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7,707</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2,135</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45,213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07" w:right="339" w:bottom="1440" w:gutter="0" w:footer="0" w:header="0"/>
        </w:sectPr>
      </w:pPr>
    </w:p>
    <w:bookmarkStart w:id="11" w:name="page12"/>
    <w:bookmarkEnd w:id="11"/>
    <w:p>
      <w:pPr>
        <w:jc w:val="center"/>
        <w:ind w:left="340" w:right="2160"/>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 CALCULATION:</w:t>
            </w:r>
          </w:p>
        </w:tc>
        <w:tc>
          <w:tcPr>
            <w:tcW w:w="180" w:type="dxa"/>
            <w:vAlign w:val="bottom"/>
          </w:tcPr>
          <w:p>
            <w:pPr>
              <w:spacing w:after="0"/>
              <w:rPr>
                <w:sz w:val="20"/>
                <w:szCs w:val="20"/>
                <w:color w:val="auto"/>
              </w:rPr>
            </w:pPr>
          </w:p>
        </w:tc>
        <w:tc>
          <w:tcPr>
            <w:tcW w:w="3740" w:type="dxa"/>
            <w:vAlign w:val="bottom"/>
            <w:gridSpan w:val="10"/>
            <w:vMerge w:val="restart"/>
          </w:tcPr>
          <w:p>
            <w:pPr>
              <w:jc w:val="center"/>
              <w:ind w:right="280"/>
              <w:spacing w:after="0"/>
              <w:rPr>
                <w:sz w:val="20"/>
                <w:szCs w:val="20"/>
                <w:color w:val="auto"/>
              </w:rPr>
            </w:pPr>
            <w:r>
              <w:rPr>
                <w:rFonts w:ascii="Arial" w:cs="Arial" w:eastAsia="Arial" w:hAnsi="Arial"/>
                <w:sz w:val="18"/>
                <w:szCs w:val="18"/>
                <w:b w:val="1"/>
                <w:bCs w:val="1"/>
                <w:color w:val="auto"/>
                <w:w w:val="95"/>
              </w:rPr>
              <w:t>T h r e e  m o n t h s  e n d e d</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gridSpan w:val="1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22,127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17,757</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55,175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51,484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47,966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3,884</w:t>
            </w: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310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81,590</w:t>
            </w:r>
          </w:p>
        </w:tc>
        <w:tc>
          <w:tcPr>
            <w:tcW w:w="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72,775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70,101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6"/>
          </w:tcPr>
          <w:p>
            <w:pPr>
              <w:ind w:left="60"/>
              <w:spacing w:after="0"/>
              <w:rPr>
                <w:sz w:val="20"/>
                <w:szCs w:val="20"/>
                <w:color w:val="auto"/>
              </w:rPr>
            </w:pPr>
            <w:r>
              <w:rPr>
                <w:rFonts w:ascii="Arial" w:cs="Arial" w:eastAsia="Arial" w:hAnsi="Arial"/>
                <w:sz w:val="18"/>
                <w:szCs w:val="18"/>
                <w:b w:val="1"/>
                <w:bCs w:val="1"/>
                <w:color w:val="auto"/>
              </w:rPr>
              <w:t>S i x  m o n t h s  e n d e d</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38,565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45,099</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106,659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94,007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7,707</w:t>
            </w: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803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154,365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148,948</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5"/>
              </w:rPr>
              <w:t>T h r e e  m o n t h s  e n d e d</w:t>
            </w:r>
          </w:p>
        </w:tc>
      </w:tr>
      <w:tr>
        <w:trPr>
          <w:trHeight w:val="198"/>
        </w:trPr>
        <w:tc>
          <w:tcPr>
            <w:tcW w:w="7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March 31,</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251,348</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408,098</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66,603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68,336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72,156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(62,537)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(62,907)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(43,727)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(24,197)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(7,475)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3,205</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6,570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(85,356)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(27,099)</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258,793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251,348</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405,158</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5"/>
              </w:rPr>
              <w:t>S i x  m o n t h s  e n d e d</w:t>
            </w:r>
          </w:p>
        </w:tc>
      </w:tr>
      <w:tr>
        <w:trPr>
          <w:trHeight w:val="198"/>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385,091</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134,939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147,024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(125,444)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(85,445)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(29,197)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(10,549)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2,465</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(78,786)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(33,825)</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258,793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405,158</w:t>
            </w:r>
          </w:p>
        </w:tc>
      </w:tr>
      <w:tr>
        <w:trPr>
          <w:trHeight w:val="20"/>
        </w:trPr>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3" w:name="page14"/>
    <w:bookmarkEnd w:id="13"/>
    <w:p>
      <w:pPr>
        <w:jc w:val="center"/>
        <w:ind w:left="340" w:right="22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S i x  m o n t h s  e n d e d</w:t>
            </w:r>
          </w:p>
        </w:tc>
        <w:tc>
          <w:tcPr>
            <w:tcW w:w="160" w:type="dxa"/>
            <w:vAlign w:val="bottom"/>
          </w:tcPr>
          <w:p>
            <w:pPr>
              <w:spacing w:after="0"/>
              <w:rPr>
                <w:sz w:val="20"/>
                <w:szCs w:val="20"/>
                <w:color w:val="auto"/>
              </w:rPr>
            </w:pPr>
          </w:p>
        </w:tc>
        <w:tc>
          <w:tcPr>
            <w:tcW w:w="37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4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June 30,</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for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37,505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46,122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21,474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19,722</w:t>
            </w: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91"/>
              </w:rPr>
              <w:t>Income and expense items not involving cash flows: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117,299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104,867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60,268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56,796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52,853</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92"/>
              </w:rPr>
              <w:t>Effect of exchange rate differences on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(910)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2,204</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Other income,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(890)</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(428)</w:t>
            </w:r>
          </w:p>
        </w:tc>
      </w:tr>
      <w:tr>
        <w:trPr>
          <w:trHeight w:val="216"/>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Changes in assets and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Trade accounts receivable</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(1,296)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31,271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(12,981)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12,665</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(2,050)</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Inventories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(17,380)</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(3,017)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(11,209)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378</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Trade accounts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(12,950)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(15,204)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(12,553)</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Deferred revenue and customers' advances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(2,498)</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(13,649)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(1,927)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(2,964)</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current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10,729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2,957</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Long-term employee related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98"/>
              </w:rPr>
              <w:t>Deferred tax, net and other long-term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(1,870)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(599)</w:t>
            </w: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134,939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147,024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66,603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68,336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72,156</w:t>
            </w:r>
          </w:p>
        </w:tc>
      </w:tr>
      <w:tr>
        <w:trPr>
          <w:trHeight w:val="216"/>
        </w:trPr>
        <w:tc>
          <w:tcPr>
            <w:tcW w:w="4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(125,444)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(85,445)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(62,537)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(62,907)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(43,727)</w:t>
            </w:r>
          </w:p>
        </w:tc>
      </w:tr>
      <w:tr>
        <w:trPr>
          <w:trHeight w:val="198"/>
        </w:trPr>
        <w:tc>
          <w:tcPr>
            <w:tcW w:w="462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90"/>
              </w:rPr>
              <w:t>Investments in deposits, marketable securities and other</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assets, net</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(78,786)</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(33,825)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6,570</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(85,356)</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(27,099)</w:t>
            </w:r>
          </w:p>
        </w:tc>
      </w:tr>
      <w:tr>
        <w:trPr>
          <w:trHeight w:val="223"/>
        </w:trPr>
        <w:tc>
          <w:tcPr>
            <w:tcW w:w="4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(204,230)</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(119,270)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(55,967)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(148,263)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Debt repaid,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(29,197)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(10,549)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(24,197)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(7,475)</w:t>
            </w: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397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3"/>
        </w:trPr>
        <w:tc>
          <w:tcPr>
            <w:tcW w:w="4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(27,983)</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(10,152)</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(24,110)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EFFECT OF FOREIGN CURRENCY EXCHANGE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RATE CHANGE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506</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2,465</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682</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3,205</w:t>
            </w:r>
          </w:p>
        </w:tc>
      </w:tr>
      <w:tr>
        <w:trPr>
          <w:trHeight w:val="209"/>
        </w:trPr>
        <w:tc>
          <w:tcPr>
            <w:tcW w:w="4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INCREASE (DECREASE) IN CASH AND CASH</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EQUIVALENTS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(96,768)</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20,067</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7,445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(104,213)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(2,940)</w:t>
            </w:r>
          </w:p>
        </w:tc>
      </w:tr>
      <w:tr>
        <w:trPr>
          <w:trHeight w:val="198"/>
        </w:trPr>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355,561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385,091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251,348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355,561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408,098</w:t>
            </w:r>
          </w:p>
        </w:tc>
      </w:tr>
      <w:tr>
        <w:trPr>
          <w:trHeight w:val="216"/>
        </w:trPr>
        <w:tc>
          <w:tcPr>
            <w:tcW w:w="4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258,793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405,158</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258,793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251,348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405,158</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4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1)"/>
      <w:numFmt w:val="lowerRoman"/>
      <w:start w:val="29"/>
    </w:lvl>
  </w:abstractNum>
  <w:abstractNum w:abstractNumId="2">
    <w:nsid w:val="19495CFF"/>
    <w:multiLevelType w:val="hybridMultilevel"/>
    <w:lvl w:ilvl="0">
      <w:lvlJc w:val="left"/>
      <w:lvlText w:val="(%1)"/>
      <w:numFmt w:val="lowerRoman"/>
      <w:start w:val="3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2020-07-29T06:02:21Z</dcterms:created>
  <dcterms:modified xsi:type="dcterms:W3CDTF">2020-07-29T06:02:21Z</dcterms:modified>
</cp:coreProperties>
</file>