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189230</wp:posOffset>
            </wp:positionH>
            <wp:positionV relativeFrom="page">
              <wp:posOffset>138430</wp:posOffset>
            </wp:positionV>
            <wp:extent cx="7185660" cy="641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5660" cy="64135"/>
                    </a:xfrm>
                    <a:prstGeom prst="rect">
                      <a:avLst/>
                    </a:prstGeom>
                    <a:noFill/>
                  </pic:spPr>
                </pic:pic>
              </a:graphicData>
            </a:graphic>
          </wp:anchor>
        </w:drawing>
        <w:drawing>
          <wp:anchor simplePos="0" relativeHeight="251657728" behindDoc="1" locked="0" layoutInCell="0" allowOverlap="1">
            <wp:simplePos x="0" y="0"/>
            <wp:positionH relativeFrom="page">
              <wp:posOffset>189230</wp:posOffset>
            </wp:positionH>
            <wp:positionV relativeFrom="page">
              <wp:posOffset>240030</wp:posOffset>
            </wp:positionV>
            <wp:extent cx="7185660"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5660" cy="41275"/>
                    </a:xfrm>
                    <a:prstGeom prst="rect">
                      <a:avLst/>
                    </a:prstGeom>
                    <a:noFill/>
                  </pic:spPr>
                </pic:pic>
              </a:graphicData>
            </a:graphic>
          </wp:anchor>
        </w:drawing>
        <w:t>UNITED STATES</w:t>
      </w:r>
    </w:p>
    <w:p>
      <w:pPr>
        <w:spacing w:after="0" w:line="34" w:lineRule="exact"/>
        <w:rPr>
          <w:sz w:val="24"/>
          <w:szCs w:val="24"/>
          <w:color w:val="auto"/>
        </w:rPr>
      </w:pPr>
    </w:p>
    <w:p>
      <w:pPr>
        <w:jc w:val="center"/>
        <w:ind w:right="-540"/>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ind w:left="4220"/>
        <w:spacing w:after="0"/>
        <w:rPr>
          <w:sz w:val="20"/>
          <w:szCs w:val="20"/>
          <w:color w:val="auto"/>
        </w:rPr>
      </w:pPr>
      <w:r>
        <w:rPr>
          <w:rFonts w:ascii="Arial" w:cs="Arial" w:eastAsia="Arial" w:hAnsi="Arial"/>
          <w:sz w:val="16"/>
          <w:szCs w:val="16"/>
          <w:color w:val="auto"/>
        </w:rPr>
        <w:t>Washington, D.C. 20549</w:t>
      </w:r>
    </w:p>
    <w:p>
      <w:pPr>
        <w:spacing w:after="0" w:line="248" w:lineRule="exact"/>
        <w:rPr>
          <w:sz w:val="24"/>
          <w:szCs w:val="24"/>
          <w:color w:val="auto"/>
        </w:rPr>
      </w:pPr>
    </w:p>
    <w:p>
      <w:pPr>
        <w:ind w:left="3360"/>
        <w:spacing w:after="0"/>
        <w:rPr>
          <w:sz w:val="20"/>
          <w:szCs w:val="20"/>
          <w:color w:val="auto"/>
        </w:rPr>
      </w:pPr>
      <w:r>
        <w:rPr>
          <w:rFonts w:ascii="Arial" w:cs="Arial" w:eastAsia="Arial" w:hAnsi="Arial"/>
          <w:sz w:val="23"/>
          <w:szCs w:val="23"/>
          <w:b w:val="1"/>
          <w:bCs w:val="1"/>
          <w:color w:val="auto"/>
        </w:rPr>
        <w:t>AMENDMENT ON FORM 6-K/A</w:t>
      </w:r>
    </w:p>
    <w:p>
      <w:pPr>
        <w:spacing w:after="0" w:line="215" w:lineRule="exact"/>
        <w:rPr>
          <w:sz w:val="24"/>
          <w:szCs w:val="24"/>
          <w:color w:val="auto"/>
        </w:rPr>
      </w:pPr>
    </w:p>
    <w:p>
      <w:pPr>
        <w:ind w:left="4860"/>
        <w:spacing w:after="0"/>
        <w:rPr>
          <w:sz w:val="20"/>
          <w:szCs w:val="20"/>
          <w:color w:val="auto"/>
        </w:rPr>
      </w:pPr>
      <w:r>
        <w:rPr>
          <w:rFonts w:ascii="Arial" w:cs="Arial" w:eastAsia="Arial" w:hAnsi="Arial"/>
          <w:sz w:val="23"/>
          <w:szCs w:val="23"/>
          <w:b w:val="1"/>
          <w:bCs w:val="1"/>
          <w:color w:val="auto"/>
        </w:rPr>
        <w:t>TO</w:t>
      </w:r>
    </w:p>
    <w:p>
      <w:pPr>
        <w:spacing w:after="0" w:line="178" w:lineRule="exact"/>
        <w:rPr>
          <w:sz w:val="24"/>
          <w:szCs w:val="24"/>
          <w:color w:val="auto"/>
        </w:rPr>
      </w:pPr>
    </w:p>
    <w:p>
      <w:pPr>
        <w:ind w:left="4480"/>
        <w:spacing w:after="0"/>
        <w:rPr>
          <w:sz w:val="20"/>
          <w:szCs w:val="20"/>
          <w:color w:val="auto"/>
        </w:rPr>
      </w:pPr>
      <w:r>
        <w:rPr>
          <w:rFonts w:ascii="Arial" w:cs="Arial" w:eastAsia="Arial" w:hAnsi="Arial"/>
          <w:sz w:val="23"/>
          <w:szCs w:val="23"/>
          <w:b w:val="1"/>
          <w:bCs w:val="1"/>
          <w:color w:val="auto"/>
        </w:rPr>
        <w:t>FORM 6-K</w:t>
      </w:r>
    </w:p>
    <w:p>
      <w:pPr>
        <w:spacing w:after="0" w:line="257"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REPORT OF FOREIGN PRIVATE ISSUER PURSUANT TO RULE 13a-16 OR 15d-16</w:t>
      </w:r>
    </w:p>
    <w:p>
      <w:pPr>
        <w:spacing w:after="0" w:line="28"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47" w:lineRule="exact"/>
        <w:rPr>
          <w:sz w:val="24"/>
          <w:szCs w:val="24"/>
          <w:color w:val="auto"/>
        </w:rPr>
      </w:pPr>
    </w:p>
    <w:p>
      <w:pPr>
        <w:ind w:left="4000"/>
        <w:spacing w:after="0"/>
        <w:rPr>
          <w:sz w:val="20"/>
          <w:szCs w:val="20"/>
          <w:color w:val="auto"/>
        </w:rPr>
      </w:pPr>
      <w:r>
        <w:rPr>
          <w:rFonts w:ascii="Arial" w:cs="Arial" w:eastAsia="Arial" w:hAnsi="Arial"/>
          <w:sz w:val="16"/>
          <w:szCs w:val="16"/>
          <w:color w:val="auto"/>
        </w:rPr>
        <w:t>For the month of February No.4</w:t>
      </w:r>
    </w:p>
    <w:p>
      <w:pPr>
        <w:spacing w:after="0" w:line="259"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Commission File Number 0-24790</w:t>
      </w:r>
    </w:p>
    <w:p>
      <w:pPr>
        <w:spacing w:after="0" w:line="253" w:lineRule="exact"/>
        <w:rPr>
          <w:sz w:val="24"/>
          <w:szCs w:val="24"/>
          <w:color w:val="auto"/>
        </w:rPr>
      </w:pPr>
    </w:p>
    <w:p>
      <w:pPr>
        <w:jc w:val="center"/>
        <w:ind w:right="-540"/>
        <w:spacing w:after="0"/>
        <w:rPr>
          <w:sz w:val="20"/>
          <w:szCs w:val="20"/>
          <w:color w:val="auto"/>
        </w:rPr>
      </w:pPr>
      <w:r>
        <w:rPr>
          <w:rFonts w:ascii="Arial" w:cs="Arial" w:eastAsia="Arial" w:hAnsi="Arial"/>
          <w:sz w:val="26"/>
          <w:szCs w:val="26"/>
          <w:b w:val="1"/>
          <w:bCs w:val="1"/>
          <w:color w:val="auto"/>
        </w:rPr>
        <w:t>TOWER SEMICONDUCTOR LTD.</w:t>
      </w:r>
    </w:p>
    <w:p>
      <w:pPr>
        <w:spacing w:after="0" w:line="40"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(Translation of registrant's name into English)</w:t>
      </w:r>
    </w:p>
    <w:p>
      <w:pPr>
        <w:spacing w:after="0" w:line="241"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Ramat Gavriel Industrial Park</w:t>
      </w:r>
    </w:p>
    <w:p>
      <w:pPr>
        <w:spacing w:after="0" w:line="28"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P.O. Box 619, Migdal Haemek, Israel 2310502</w:t>
      </w:r>
    </w:p>
    <w:p>
      <w:pPr>
        <w:spacing w:after="0" w:line="13" w:lineRule="exact"/>
        <w:rPr>
          <w:sz w:val="24"/>
          <w:szCs w:val="24"/>
          <w:color w:val="auto"/>
        </w:rPr>
      </w:pPr>
    </w:p>
    <w:p>
      <w:pPr>
        <w:jc w:val="center"/>
        <w:ind w:right="-540"/>
        <w:spacing w:after="0"/>
        <w:rPr>
          <w:sz w:val="20"/>
          <w:szCs w:val="20"/>
          <w:color w:val="auto"/>
        </w:rPr>
      </w:pPr>
      <w:r>
        <w:rPr>
          <w:rFonts w:ascii="Arial" w:cs="Arial" w:eastAsia="Arial" w:hAnsi="Arial"/>
          <w:sz w:val="16"/>
          <w:szCs w:val="16"/>
          <w:color w:val="auto"/>
        </w:rPr>
        <w:t>(Address of principal executive offices)</w:t>
      </w: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229" w:lineRule="exact"/>
        <w:rPr>
          <w:sz w:val="24"/>
          <w:szCs w:val="24"/>
          <w:color w:val="auto"/>
        </w:rPr>
      </w:pPr>
    </w:p>
    <w:p>
      <w:pPr>
        <w:ind w:left="4080"/>
        <w:spacing w:after="0" w:line="184" w:lineRule="exact"/>
        <w:tabs>
          <w:tab w:leader="none" w:pos="5100" w:val="left"/>
        </w:tabs>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Form 40-F </w:t>
      </w:r>
      <w:r>
        <w:rPr>
          <w:rFonts w:ascii="MS PGothic" w:cs="MS PGothic" w:eastAsia="MS PGothic" w:hAnsi="MS PGothic"/>
          <w:sz w:val="15"/>
          <w:szCs w:val="15"/>
          <w:color w:val="auto"/>
        </w:rPr>
        <w:t>☐</w:t>
      </w:r>
    </w:p>
    <w:p>
      <w:pPr>
        <w:spacing w:after="0" w:line="289"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submitting the Form 6-K in paper as permitted by Regulation S-T Rule 101(b)(1): ____</w:t>
      </w:r>
    </w:p>
    <w:p>
      <w:pPr>
        <w:spacing w:after="0" w:line="270"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-368935</wp:posOffset>
            </wp:positionH>
            <wp:positionV relativeFrom="paragraph">
              <wp:posOffset>288925</wp:posOffset>
            </wp:positionV>
            <wp:extent cx="714438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9559"/>
          </w:cols>
          <w:pgMar w:left="900" w:top="561" w:right="1440" w:bottom="1440" w:gutter="0" w:footer="0" w:header="0"/>
        </w:sectPr>
      </w:pPr>
    </w:p>
    <w:bookmarkStart w:id="1" w:name="page2"/>
    <w:bookmarkEnd w:id="1"/>
    <w:p>
      <w:pPr>
        <w:ind w:left="580"/>
        <w:spacing w:after="0"/>
        <w:rPr>
          <w:sz w:val="20"/>
          <w:szCs w:val="20"/>
          <w:color w:val="auto"/>
        </w:rPr>
      </w:pPr>
      <w:r>
        <w:rPr>
          <w:rFonts w:ascii="Arial" w:cs="Arial" w:eastAsia="Arial" w:hAnsi="Arial"/>
          <w:sz w:val="16"/>
          <w:szCs w:val="16"/>
          <w:color w:val="auto"/>
        </w:rPr>
        <w:t>Explanatory Note</w:t>
      </w:r>
    </w:p>
    <w:p>
      <w:pPr>
        <w:spacing w:after="0" w:line="210" w:lineRule="exact"/>
        <w:rPr>
          <w:sz w:val="20"/>
          <w:szCs w:val="20"/>
          <w:color w:val="auto"/>
        </w:rPr>
      </w:pPr>
    </w:p>
    <w:p>
      <w:pPr>
        <w:jc w:val="both"/>
        <w:ind w:left="580"/>
        <w:spacing w:after="0" w:line="286" w:lineRule="auto"/>
        <w:rPr>
          <w:sz w:val="20"/>
          <w:szCs w:val="20"/>
          <w:color w:val="auto"/>
        </w:rPr>
      </w:pPr>
      <w:r>
        <w:rPr>
          <w:rFonts w:ascii="Arial" w:cs="Arial" w:eastAsia="Arial" w:hAnsi="Arial"/>
          <w:sz w:val="15"/>
          <w:szCs w:val="15"/>
          <w:color w:val="auto"/>
        </w:rPr>
        <w:t>This Amendment No.1 on Form 6-K/A amends the Registrant’s Form 6-K filed on February 28, 2022 (the “Original 6-K”), solely to amend the Registrant’s consolidated financial statements as of December 31, 2021 included as Exhibit 99.1 to the Original 6-K, to (i) amend “Note 2 Summary of Significant Accounting Policies” to add Notes 2M, 2N, 2O and 2P that were inadvertently omitted and (ii) renumber the remaining portions of Note 2. The attached Exhibit 99.1 replaces in its entirety Exhibit 99.1 as filed with the Original 6-K. No change has been made to any of the financial statements or to any numerical data included in the financial statements or the notes thereto. The consent of the Registrant’s Independent Registered Accounting Firm is also being filed herewith as Exhibit 99.3.</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Other than as described above, no other change to the Original 6-K or the exhibits thereto is being made.</w:t>
      </w:r>
    </w:p>
    <w:p>
      <w:pPr>
        <w:spacing w:after="0" w:line="259" w:lineRule="exact"/>
        <w:rPr>
          <w:sz w:val="20"/>
          <w:szCs w:val="20"/>
          <w:color w:val="auto"/>
        </w:rPr>
      </w:pPr>
    </w:p>
    <w:p>
      <w:pPr>
        <w:jc w:val="both"/>
        <w:ind w:left="580"/>
        <w:spacing w:after="0" w:line="288" w:lineRule="auto"/>
        <w:rPr>
          <w:sz w:val="20"/>
          <w:szCs w:val="20"/>
          <w:color w:val="auto"/>
        </w:rPr>
      </w:pPr>
      <w:r>
        <w:rPr>
          <w:rFonts w:ascii="Arial" w:cs="Arial" w:eastAsia="Arial" w:hAnsi="Arial"/>
          <w:sz w:val="16"/>
          <w:szCs w:val="16"/>
          <w:color w:val="auto"/>
        </w:rPr>
        <w:t>This Amendment No.1 on Form 6-K/A, including the exhibits hereto, is hereby incorporated by reference into all effective registration statements filed by the Registrant under the Securities Act of 1933.</w:t>
      </w:r>
    </w:p>
    <w:p>
      <w:pPr>
        <w:spacing w:after="0" w:line="222" w:lineRule="exact"/>
        <w:rPr>
          <w:sz w:val="20"/>
          <w:szCs w:val="20"/>
          <w:color w:val="auto"/>
        </w:rPr>
      </w:pPr>
    </w:p>
    <w:p>
      <w:pPr>
        <w:ind w:left="1260" w:right="20" w:hanging="1241"/>
        <w:spacing w:after="0" w:line="288" w:lineRule="auto"/>
        <w:tabs>
          <w:tab w:leader="none" w:pos="1240" w:val="left"/>
        </w:tabs>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Exhibit 99.1</w:t>
        </w:r>
      </w:hyperlink>
      <w:r>
        <w:rPr>
          <w:rFonts w:ascii="Arial" w:cs="Arial" w:eastAsia="Arial" w:hAnsi="Arial"/>
          <w:sz w:val="16"/>
          <w:szCs w:val="16"/>
          <w:u w:val="single" w:color="auto"/>
          <w:color w:val="0000EE"/>
        </w:rPr>
        <w:tab/>
      </w:r>
      <w:hyperlink w:anchor="page4">
        <w:r>
          <w:rPr>
            <w:rFonts w:ascii="Arial" w:cs="Arial" w:eastAsia="Arial" w:hAnsi="Arial"/>
            <w:sz w:val="16"/>
            <w:szCs w:val="16"/>
            <w:u w:val="single" w:color="auto"/>
            <w:color w:val="0000EE"/>
          </w:rPr>
          <w:t>Registrant’s consolidated financial statements as of December 31, 2021 and the report thereon dated February 28, 2022 of Brightman Almagor Zohar &amp;</w:t>
        </w:r>
      </w:hyperlink>
      <w:r>
        <w:rPr>
          <w:rFonts w:ascii="Arial" w:cs="Arial" w:eastAsia="Arial" w:hAnsi="Arial"/>
          <w:sz w:val="16"/>
          <w:szCs w:val="16"/>
          <w:u w:val="single" w:color="auto"/>
          <w:color w:val="0000EE"/>
        </w:rPr>
        <w:t xml:space="preserve"> </w:t>
      </w:r>
      <w:hyperlink w:anchor="page4">
        <w:r>
          <w:rPr>
            <w:rFonts w:ascii="Arial" w:cs="Arial" w:eastAsia="Arial" w:hAnsi="Arial"/>
            <w:sz w:val="16"/>
            <w:szCs w:val="16"/>
            <w:u w:val="single" w:color="auto"/>
            <w:color w:val="0000EE"/>
          </w:rPr>
          <w:t>Co. (filed herewith)</w:t>
        </w:r>
      </w:hyperlink>
    </w:p>
    <w:p>
      <w:pPr>
        <w:spacing w:after="0" w:line="1" w:lineRule="exact"/>
        <w:rPr>
          <w:rFonts w:ascii="Arial" w:cs="Arial" w:eastAsia="Arial" w:hAnsi="Arial"/>
          <w:sz w:val="16"/>
          <w:szCs w:val="16"/>
          <w:u w:val="single" w:color="auto"/>
          <w:color w:val="0000EE"/>
        </w:rPr>
      </w:pPr>
    </w:p>
    <w:p>
      <w:pPr>
        <w:ind w:left="20"/>
        <w:spacing w:after="0"/>
        <w:tabs>
          <w:tab w:leader="none" w:pos="1240" w:val="left"/>
        </w:tabs>
        <w:rPr>
          <w:rFonts w:ascii="Arial" w:cs="Arial" w:eastAsia="Arial" w:hAnsi="Arial"/>
          <w:sz w:val="15"/>
          <w:szCs w:val="15"/>
          <w:u w:val="single" w:color="auto"/>
          <w:color w:val="0000EE"/>
        </w:rPr>
      </w:pPr>
      <w:hyperlink r:id="rId11">
        <w:r>
          <w:rPr>
            <w:rFonts w:ascii="Arial" w:cs="Arial" w:eastAsia="Arial" w:hAnsi="Arial"/>
            <w:sz w:val="16"/>
            <w:szCs w:val="16"/>
            <w:u w:val="single" w:color="auto"/>
            <w:color w:val="0000EE"/>
          </w:rPr>
          <w:t>Exhibit 99.2</w:t>
        </w:r>
      </w:hyperlink>
      <w:r>
        <w:rPr>
          <w:rFonts w:ascii="Arial" w:cs="Arial" w:eastAsia="Arial" w:hAnsi="Arial"/>
          <w:sz w:val="16"/>
          <w:szCs w:val="16"/>
          <w:u w:val="single" w:color="auto"/>
          <w:color w:val="0000EE"/>
        </w:rPr>
        <w:tab/>
      </w:r>
      <w:hyperlink r:id="rId11">
        <w:r>
          <w:rPr>
            <w:rFonts w:ascii="Arial" w:cs="Arial" w:eastAsia="Arial" w:hAnsi="Arial"/>
            <w:sz w:val="15"/>
            <w:szCs w:val="15"/>
            <w:u w:val="single" w:color="auto"/>
            <w:color w:val="0000EE"/>
          </w:rPr>
          <w:t>Management’s Discussion and Analysis of Financial Condition and Results of Operations (previously filed with the Original 6-K)</w:t>
        </w:r>
      </w:hyperlink>
    </w:p>
    <w:p>
      <w:pPr>
        <w:spacing w:after="0" w:line="62" w:lineRule="exact"/>
        <w:rPr>
          <w:sz w:val="20"/>
          <w:szCs w:val="20"/>
          <w:color w:val="auto"/>
        </w:rPr>
      </w:pPr>
    </w:p>
    <w:p>
      <w:pPr>
        <w:ind w:left="20"/>
        <w:spacing w:after="0"/>
        <w:tabs>
          <w:tab w:leader="none" w:pos="1240" w:val="left"/>
        </w:tabs>
        <w:rPr>
          <w:rFonts w:ascii="Arial" w:cs="Arial" w:eastAsia="Arial" w:hAnsi="Arial"/>
          <w:sz w:val="15"/>
          <w:szCs w:val="15"/>
          <w:u w:val="single" w:color="auto"/>
          <w:color w:val="0000EE"/>
        </w:rPr>
      </w:pPr>
      <w:hyperlink w:anchor="page55">
        <w:r>
          <w:rPr>
            <w:rFonts w:ascii="Arial" w:cs="Arial" w:eastAsia="Arial" w:hAnsi="Arial"/>
            <w:sz w:val="16"/>
            <w:szCs w:val="16"/>
            <w:u w:val="single" w:color="auto"/>
            <w:color w:val="0000EE"/>
          </w:rPr>
          <w:t>Exhibit 99.3</w:t>
        </w:r>
      </w:hyperlink>
      <w:r>
        <w:rPr>
          <w:rFonts w:ascii="Arial" w:cs="Arial" w:eastAsia="Arial" w:hAnsi="Arial"/>
          <w:sz w:val="16"/>
          <w:szCs w:val="16"/>
          <w:u w:val="single" w:color="auto"/>
          <w:color w:val="0000EE"/>
        </w:rPr>
        <w:tab/>
      </w:r>
      <w:hyperlink w:anchor="page55">
        <w:r>
          <w:rPr>
            <w:rFonts w:ascii="Arial" w:cs="Arial" w:eastAsia="Arial" w:hAnsi="Arial"/>
            <w:sz w:val="15"/>
            <w:szCs w:val="15"/>
            <w:u w:val="single" w:color="auto"/>
            <w:color w:val="0000EE"/>
          </w:rPr>
          <w:t>Consent of Independent Registered Accounting Firm (filed herewith)</w:t>
        </w:r>
      </w:hyperlink>
    </w:p>
    <w:p>
      <w:pPr>
        <w:spacing w:after="0" w:line="22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This Form 6-K/A, including all exhibits hereto, is hereby incorporated by reference into all effective registration statements filed by us under the Securities Act of</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97790</wp:posOffset>
            </wp:positionV>
            <wp:extent cx="7169785" cy="48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6"/>
          <w:szCs w:val="16"/>
          <w:b w:val="1"/>
          <w:bCs w:val="1"/>
          <w:color w:val="auto"/>
        </w:rPr>
        <w:t>SIGNATURES</w:t>
      </w:r>
    </w:p>
    <w:p>
      <w:pPr>
        <w:spacing w:after="0" w:line="189" w:lineRule="exact"/>
        <w:rPr>
          <w:sz w:val="20"/>
          <w:szCs w:val="20"/>
          <w:color w:val="auto"/>
        </w:rPr>
      </w:pPr>
    </w:p>
    <w:p>
      <w:pPr>
        <w:ind w:right="40" w:firstLine="590"/>
        <w:spacing w:after="0" w:line="28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6120" w:type="dxa"/>
            <w:vAlign w:val="bottom"/>
            <w:gridSpan w:val="2"/>
          </w:tcPr>
          <w:p>
            <w:pPr>
              <w:ind w:left="1860"/>
              <w:spacing w:after="0"/>
              <w:rPr>
                <w:sz w:val="20"/>
                <w:szCs w:val="20"/>
                <w:color w:val="auto"/>
              </w:rPr>
            </w:pPr>
            <w:r>
              <w:rPr>
                <w:rFonts w:ascii="Arial" w:cs="Arial" w:eastAsia="Arial" w:hAnsi="Arial"/>
                <w:sz w:val="16"/>
                <w:szCs w:val="16"/>
                <w:b w:val="1"/>
                <w:bCs w:val="1"/>
                <w:color w:val="auto"/>
              </w:rPr>
              <w:t>TOWER SEMICONDUCTOR LTD.</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24"/>
        </w:trPr>
        <w:tc>
          <w:tcPr>
            <w:tcW w:w="3780" w:type="dxa"/>
            <w:vAlign w:val="bottom"/>
          </w:tcPr>
          <w:p>
            <w:pPr>
              <w:ind w:left="580"/>
              <w:spacing w:after="0"/>
              <w:rPr>
                <w:sz w:val="20"/>
                <w:szCs w:val="20"/>
                <w:color w:val="auto"/>
              </w:rPr>
            </w:pPr>
            <w:r>
              <w:rPr>
                <w:rFonts w:ascii="Arial" w:cs="Arial" w:eastAsia="Arial" w:hAnsi="Arial"/>
                <w:sz w:val="16"/>
                <w:szCs w:val="16"/>
                <w:color w:val="auto"/>
              </w:rPr>
              <w:t>Date: March 8, 2022</w:t>
            </w:r>
          </w:p>
        </w:tc>
        <w:tc>
          <w:tcPr>
            <w:tcW w:w="6120" w:type="dxa"/>
            <w:vAlign w:val="bottom"/>
            <w:gridSpan w:val="2"/>
          </w:tcPr>
          <w:p>
            <w:pPr>
              <w:ind w:left="1860"/>
              <w:spacing w:after="0"/>
              <w:rPr>
                <w:sz w:val="20"/>
                <w:szCs w:val="20"/>
                <w:color w:val="auto"/>
              </w:rPr>
            </w:pPr>
            <w:r>
              <w:rPr>
                <w:rFonts w:ascii="Arial" w:cs="Arial" w:eastAsia="Arial" w:hAnsi="Arial"/>
                <w:sz w:val="16"/>
                <w:szCs w:val="16"/>
                <w:color w:val="auto"/>
              </w:rPr>
              <w:t>By:  /s/ Nati Somekh</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37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9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  Nati Somekh</w:t>
            </w: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37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Title:  Corporate Secretary</w:t>
            </w: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61"/>
        </w:trPr>
        <w:tc>
          <w:tcPr>
            <w:tcW w:w="3780" w:type="dxa"/>
            <w:vAlign w:val="bottom"/>
            <w:tcBorders>
              <w:bottom w:val="single" w:sz="8" w:color="EEEEEE"/>
            </w:tcBorders>
          </w:tcPr>
          <w:p>
            <w:pPr>
              <w:spacing w:after="0"/>
              <w:rPr>
                <w:sz w:val="14"/>
                <w:szCs w:val="14"/>
                <w:color w:val="auto"/>
              </w:rPr>
            </w:pPr>
          </w:p>
        </w:tc>
        <w:tc>
          <w:tcPr>
            <w:tcW w:w="2200" w:type="dxa"/>
            <w:vAlign w:val="bottom"/>
            <w:tcBorders>
              <w:bottom w:val="single" w:sz="8" w:color="EEEEEE"/>
            </w:tcBorders>
          </w:tcPr>
          <w:p>
            <w:pPr>
              <w:spacing w:after="0"/>
              <w:rPr>
                <w:sz w:val="14"/>
                <w:szCs w:val="14"/>
                <w:color w:val="auto"/>
              </w:rPr>
            </w:pPr>
          </w:p>
        </w:tc>
        <w:tc>
          <w:tcPr>
            <w:tcW w:w="3920" w:type="dxa"/>
            <w:vAlign w:val="bottom"/>
            <w:tcBorders>
              <w:bottom w:val="single" w:sz="8" w:color="EEEEEE"/>
            </w:tcBorders>
          </w:tcPr>
          <w:p>
            <w:pPr>
              <w:spacing w:after="0"/>
              <w:rPr>
                <w:sz w:val="14"/>
                <w:szCs w:val="14"/>
                <w:color w:val="auto"/>
              </w:rPr>
            </w:pPr>
          </w:p>
        </w:tc>
        <w:tc>
          <w:tcPr>
            <w:tcW w:w="1360" w:type="dxa"/>
            <w:vAlign w:val="bottom"/>
            <w:tcBorders>
              <w:bottom w:val="single" w:sz="8" w:color="EEEEEE"/>
            </w:tcBorders>
          </w:tcPr>
          <w:p>
            <w:pPr>
              <w:spacing w:after="0"/>
              <w:rPr>
                <w:sz w:val="14"/>
                <w:szCs w:val="14"/>
                <w:color w:val="auto"/>
              </w:rPr>
            </w:pPr>
          </w:p>
        </w:tc>
        <w:tc>
          <w:tcPr>
            <w:tcW w:w="20" w:type="dxa"/>
            <w:vAlign w:val="bottom"/>
          </w:tcPr>
          <w:p>
            <w:pPr>
              <w:spacing w:after="0"/>
              <w:rPr>
                <w:sz w:val="14"/>
                <w:szCs w:val="14"/>
                <w:color w:val="auto"/>
              </w:rPr>
            </w:pPr>
          </w:p>
        </w:tc>
      </w:tr>
      <w:tr>
        <w:trPr>
          <w:trHeight w:val="140"/>
        </w:trPr>
        <w:tc>
          <w:tcPr>
            <w:tcW w:w="3780" w:type="dxa"/>
            <w:vAlign w:val="bottom"/>
            <w:tcBorders>
              <w:bottom w:val="single" w:sz="8" w:color="EEEEEE"/>
            </w:tcBorders>
          </w:tcPr>
          <w:p>
            <w:pPr>
              <w:spacing w:after="0"/>
              <w:rPr>
                <w:sz w:val="12"/>
                <w:szCs w:val="12"/>
                <w:color w:val="auto"/>
              </w:rPr>
            </w:pPr>
          </w:p>
        </w:tc>
        <w:tc>
          <w:tcPr>
            <w:tcW w:w="2200" w:type="dxa"/>
            <w:vAlign w:val="bottom"/>
            <w:tcBorders>
              <w:bottom w:val="single" w:sz="8" w:color="EEEEEE"/>
            </w:tcBorders>
          </w:tcPr>
          <w:p>
            <w:pPr>
              <w:spacing w:after="0"/>
              <w:rPr>
                <w:sz w:val="12"/>
                <w:szCs w:val="12"/>
                <w:color w:val="auto"/>
              </w:rPr>
            </w:pPr>
          </w:p>
        </w:tc>
        <w:tc>
          <w:tcPr>
            <w:tcW w:w="3920" w:type="dxa"/>
            <w:vAlign w:val="bottom"/>
            <w:tcBorders>
              <w:bottom w:val="single" w:sz="8" w:color="EEEEEE"/>
            </w:tcBorders>
          </w:tcPr>
          <w:p>
            <w:pPr>
              <w:spacing w:after="0"/>
              <w:rPr>
                <w:sz w:val="12"/>
                <w:szCs w:val="12"/>
                <w:color w:val="auto"/>
              </w:rPr>
            </w:pPr>
          </w:p>
        </w:tc>
        <w:tc>
          <w:tcPr>
            <w:tcW w:w="1360" w:type="dxa"/>
            <w:vAlign w:val="bottom"/>
            <w:tcBorders>
              <w:bottom w:val="single" w:sz="8" w:color="EEEEEE"/>
            </w:tcBorders>
          </w:tcPr>
          <w:p>
            <w:pPr>
              <w:spacing w:after="0"/>
              <w:rPr>
                <w:sz w:val="12"/>
                <w:szCs w:val="12"/>
                <w:color w:val="auto"/>
              </w:rPr>
            </w:pPr>
          </w:p>
        </w:tc>
        <w:tc>
          <w:tcPr>
            <w:tcW w:w="20" w:type="dxa"/>
            <w:vAlign w:val="bottom"/>
            <w:tcBorders>
              <w:bottom w:val="single" w:sz="8" w:color="EEEEEE"/>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-128905</wp:posOffset>
            </wp:positionV>
            <wp:extent cx="7185660"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8566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-50800</wp:posOffset>
            </wp:positionV>
            <wp:extent cx="7185660" cy="641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85660" cy="64135"/>
                    </a:xfrm>
                    <a:prstGeom prst="rect">
                      <a:avLst/>
                    </a:prstGeom>
                    <a:noFill/>
                  </pic:spPr>
                </pic:pic>
              </a:graphicData>
            </a:graphic>
          </wp:anchor>
        </w:drawing>
      </w:r>
    </w:p>
    <w:p>
      <w:pPr>
        <w:sectPr>
          <w:pgSz w:w="11900" w:h="16838" w:orient="portrait"/>
          <w:cols w:equalWidth="0" w:num="1">
            <w:col w:w="11280"/>
          </w:cols>
          <w:pgMar w:left="320" w:top="455"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85660" cy="51435"/>
                    </a:xfrm>
                    <a:prstGeom prst="rect">
                      <a:avLst/>
                    </a:prstGeom>
                    <a:noFill/>
                  </pic:spPr>
                </pic:pic>
              </a:graphicData>
            </a:graphic>
          </wp:anchor>
        </w:drawing>
        <w:drawing>
          <wp:anchor simplePos="0" relativeHeight="251657728" behindDoc="1" locked="0" layoutInCell="0" allowOverlap="1">
            <wp:simplePos x="0" y="0"/>
            <wp:positionH relativeFrom="page">
              <wp:posOffset>189230</wp:posOffset>
            </wp:positionH>
            <wp:positionV relativeFrom="page">
              <wp:posOffset>177800</wp:posOffset>
            </wp:positionV>
            <wp:extent cx="718566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85660" cy="41275"/>
                    </a:xfrm>
                    <a:prstGeom prst="rect">
                      <a:avLst/>
                    </a:prstGeom>
                    <a:noFill/>
                  </pic:spPr>
                </pic:pic>
              </a:graphicData>
            </a:graphic>
          </wp:anchor>
        </w:drawing>
        <w:t>Exhibit 99.1</w:t>
      </w:r>
    </w:p>
    <w:p>
      <w:pPr>
        <w:spacing w:after="0" w:line="160"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TOWER SEMICONDUCTOR LIMITED</w:t>
      </w:r>
    </w:p>
    <w:p>
      <w:pPr>
        <w:spacing w:after="0" w:line="28"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AND SUBSIDIARIES</w:t>
      </w:r>
    </w:p>
    <w:p>
      <w:pPr>
        <w:spacing w:after="0" w:line="145"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CONSOLIDATED FINANCIAL STATEMENTS</w:t>
      </w:r>
    </w:p>
    <w:p>
      <w:pPr>
        <w:spacing w:after="0" w:line="28"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121285</wp:posOffset>
            </wp:positionV>
            <wp:extent cx="7169785" cy="48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0120"/>
          </w:cols>
          <w:pgMar w:left="1440" w:top="45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2"/>
        </w:trPr>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gridSpan w:val="4"/>
          </w:tcPr>
          <w:p>
            <w:pPr>
              <w:jc w:val="center"/>
              <w:ind w:right="780"/>
              <w:spacing w:after="0"/>
              <w:rPr>
                <w:sz w:val="20"/>
                <w:szCs w:val="20"/>
                <w:color w:val="auto"/>
              </w:rPr>
            </w:pPr>
            <w:r>
              <w:rPr>
                <w:rFonts w:ascii="Arial" w:cs="Arial" w:eastAsia="Arial" w:hAnsi="Arial"/>
                <w:sz w:val="16"/>
                <w:szCs w:val="16"/>
                <w:b w:val="1"/>
                <w:bCs w:val="1"/>
                <w:color w:val="auto"/>
              </w:rPr>
              <w:t>TOWER SEMICONDUCTOR LIMITED AND SUBSIDIARIES</w:t>
            </w:r>
          </w:p>
        </w:tc>
        <w:tc>
          <w:tcPr>
            <w:tcW w:w="2000" w:type="dxa"/>
            <w:vAlign w:val="bottom"/>
          </w:tcPr>
          <w:p>
            <w:pPr>
              <w:spacing w:after="0"/>
              <w:rPr>
                <w:sz w:val="18"/>
                <w:szCs w:val="18"/>
                <w:color w:val="auto"/>
              </w:rPr>
            </w:pPr>
          </w:p>
        </w:tc>
      </w:tr>
      <w:tr>
        <w:trPr>
          <w:trHeight w:val="344"/>
        </w:trPr>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60" w:type="dxa"/>
            <w:vAlign w:val="bottom"/>
            <w:gridSpan w:val="3"/>
          </w:tcPr>
          <w:p>
            <w:pPr>
              <w:jc w:val="center"/>
              <w:ind w:right="1360"/>
              <w:spacing w:after="0"/>
              <w:rPr>
                <w:sz w:val="20"/>
                <w:szCs w:val="20"/>
                <w:color w:val="auto"/>
              </w:rPr>
            </w:pPr>
            <w:r>
              <w:rPr>
                <w:rFonts w:ascii="Arial" w:cs="Arial" w:eastAsia="Arial" w:hAnsi="Arial"/>
                <w:sz w:val="16"/>
                <w:szCs w:val="16"/>
                <w:color w:val="auto"/>
                <w:w w:val="99"/>
              </w:rPr>
              <w:t>INDEX TO CONSOLIDATED FINANCIAL STATEMENTS</w:t>
            </w:r>
          </w:p>
        </w:tc>
        <w:tc>
          <w:tcPr>
            <w:tcW w:w="2000" w:type="dxa"/>
            <w:vAlign w:val="bottom"/>
          </w:tcPr>
          <w:p>
            <w:pPr>
              <w:spacing w:after="0"/>
              <w:rPr>
                <w:sz w:val="24"/>
                <w:szCs w:val="24"/>
                <w:color w:val="auto"/>
              </w:rPr>
            </w:pPr>
          </w:p>
        </w:tc>
      </w:tr>
      <w:tr>
        <w:trPr>
          <w:trHeight w:val="393"/>
        </w:trPr>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345"/>
        </w:trPr>
        <w:tc>
          <w:tcPr>
            <w:tcW w:w="5280" w:type="dxa"/>
            <w:vAlign w:val="bottom"/>
            <w:tcBorders>
              <w:bottom w:val="single" w:sz="8" w:color="0000EE"/>
            </w:tcBorders>
            <w:gridSpan w:val="7"/>
          </w:tcPr>
          <w:p>
            <w:pPr>
              <w:spacing w:after="0"/>
              <w:rPr>
                <w:rFonts w:ascii="Arial" w:cs="Arial" w:eastAsia="Arial" w:hAnsi="Arial"/>
                <w:sz w:val="16"/>
                <w:szCs w:val="16"/>
                <w:color w:val="0000EE"/>
                <w:w w:val="97"/>
              </w:rPr>
            </w:pPr>
            <w:hyperlink w:anchor="page6">
              <w:r>
                <w:rPr>
                  <w:rFonts w:ascii="Arial" w:cs="Arial" w:eastAsia="Arial" w:hAnsi="Arial"/>
                  <w:sz w:val="16"/>
                  <w:szCs w:val="16"/>
                  <w:color w:val="0000EE"/>
                  <w:w w:val="97"/>
                </w:rPr>
                <w:t>REPORT OF INDEPENDENT REGISTERED PUBLIC ACCOUNTING FIRM</w:t>
              </w:r>
            </w:hyperlink>
          </w:p>
        </w:tc>
        <w:tc>
          <w:tcPr>
            <w:tcW w:w="39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F-1</w:t>
            </w:r>
          </w:p>
        </w:tc>
      </w:tr>
      <w:tr>
        <w:trPr>
          <w:trHeight w:val="337"/>
        </w:trPr>
        <w:tc>
          <w:tcPr>
            <w:tcW w:w="1420" w:type="dxa"/>
            <w:vAlign w:val="bottom"/>
            <w:tcBorders>
              <w:bottom w:val="single" w:sz="8" w:color="0000EE"/>
            </w:tcBorders>
          </w:tcPr>
          <w:p>
            <w:pPr>
              <w:spacing w:after="0"/>
              <w:rPr>
                <w:rFonts w:ascii="Arial" w:cs="Arial" w:eastAsia="Arial" w:hAnsi="Arial"/>
                <w:sz w:val="16"/>
                <w:szCs w:val="16"/>
                <w:color w:val="0000EE"/>
                <w:w w:val="97"/>
              </w:rPr>
            </w:pPr>
            <w:hyperlink w:anchor="page8">
              <w:r>
                <w:rPr>
                  <w:rFonts w:ascii="Arial" w:cs="Arial" w:eastAsia="Arial" w:hAnsi="Arial"/>
                  <w:sz w:val="16"/>
                  <w:szCs w:val="16"/>
                  <w:color w:val="0000EE"/>
                  <w:w w:val="97"/>
                </w:rPr>
                <w:t>BALANCE SHEETS</w:t>
              </w:r>
            </w:hyperlink>
          </w:p>
        </w:tc>
        <w:tc>
          <w:tcPr>
            <w:tcW w:w="7820" w:type="dxa"/>
            <w:vAlign w:val="bottom"/>
            <w:gridSpan w:val="7"/>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F-3</w:t>
            </w:r>
          </w:p>
        </w:tc>
      </w:tr>
      <w:tr>
        <w:trPr>
          <w:trHeight w:val="337"/>
        </w:trPr>
        <w:tc>
          <w:tcPr>
            <w:tcW w:w="9240" w:type="dxa"/>
            <w:vAlign w:val="bottom"/>
            <w:gridSpan w:val="8"/>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STATEMENTS OF OPERATIONS</w:t>
              </w:r>
            </w:hyperlink>
          </w:p>
        </w:tc>
        <w:tc>
          <w:tcPr>
            <w:tcW w:w="2000" w:type="dxa"/>
            <w:vAlign w:val="bottom"/>
          </w:tcPr>
          <w:p>
            <w:pPr>
              <w:jc w:val="right"/>
              <w:spacing w:after="0"/>
              <w:rPr>
                <w:sz w:val="20"/>
                <w:szCs w:val="20"/>
                <w:color w:val="auto"/>
              </w:rPr>
            </w:pPr>
            <w:r>
              <w:rPr>
                <w:rFonts w:ascii="Arial" w:cs="Arial" w:eastAsia="Arial" w:hAnsi="Arial"/>
                <w:sz w:val="16"/>
                <w:szCs w:val="16"/>
                <w:color w:val="auto"/>
              </w:rPr>
              <w:t>F-4</w:t>
            </w:r>
          </w:p>
        </w:tc>
      </w:tr>
      <w:tr>
        <w:trPr>
          <w:trHeight w:val="20"/>
        </w:trPr>
        <w:tc>
          <w:tcPr>
            <w:tcW w:w="2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37"/>
        </w:trPr>
        <w:tc>
          <w:tcPr>
            <w:tcW w:w="9240" w:type="dxa"/>
            <w:vAlign w:val="bottom"/>
            <w:gridSpan w:val="8"/>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STATEMENTS OF COMPREHENSIVE INCOME</w:t>
              </w:r>
            </w:hyperlink>
          </w:p>
        </w:tc>
        <w:tc>
          <w:tcPr>
            <w:tcW w:w="2000" w:type="dxa"/>
            <w:vAlign w:val="bottom"/>
          </w:tcPr>
          <w:p>
            <w:pPr>
              <w:jc w:val="right"/>
              <w:spacing w:after="0"/>
              <w:rPr>
                <w:sz w:val="20"/>
                <w:szCs w:val="20"/>
                <w:color w:val="auto"/>
              </w:rPr>
            </w:pPr>
            <w:r>
              <w:rPr>
                <w:rFonts w:ascii="Arial" w:cs="Arial" w:eastAsia="Arial" w:hAnsi="Arial"/>
                <w:sz w:val="16"/>
                <w:szCs w:val="16"/>
                <w:color w:val="auto"/>
              </w:rPr>
              <w:t>F-5</w:t>
            </w:r>
          </w:p>
        </w:tc>
      </w:tr>
      <w:tr>
        <w:trPr>
          <w:trHeight w:val="20"/>
        </w:trPr>
        <w:tc>
          <w:tcPr>
            <w:tcW w:w="23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37"/>
        </w:trPr>
        <w:tc>
          <w:tcPr>
            <w:tcW w:w="9240" w:type="dxa"/>
            <w:vAlign w:val="bottom"/>
            <w:gridSpan w:val="8"/>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STATEMENTS OF CHANGES IN SHAREHOLDERS' EQUITY</w:t>
              </w:r>
            </w:hyperlink>
          </w:p>
        </w:tc>
        <w:tc>
          <w:tcPr>
            <w:tcW w:w="2000" w:type="dxa"/>
            <w:vAlign w:val="bottom"/>
          </w:tcPr>
          <w:p>
            <w:pPr>
              <w:jc w:val="right"/>
              <w:spacing w:after="0"/>
              <w:rPr>
                <w:sz w:val="20"/>
                <w:szCs w:val="20"/>
                <w:color w:val="auto"/>
              </w:rPr>
            </w:pPr>
            <w:r>
              <w:rPr>
                <w:rFonts w:ascii="Arial" w:cs="Arial" w:eastAsia="Arial" w:hAnsi="Arial"/>
                <w:sz w:val="16"/>
                <w:szCs w:val="16"/>
                <w:color w:val="auto"/>
              </w:rPr>
              <w:t>F-6</w:t>
            </w:r>
          </w:p>
        </w:tc>
      </w:tr>
      <w:tr>
        <w:trPr>
          <w:trHeight w:val="337"/>
        </w:trPr>
        <w:tc>
          <w:tcPr>
            <w:tcW w:w="236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95"/>
              </w:rPr>
            </w:pPr>
            <w:hyperlink w:anchor="page12">
              <w:r>
                <w:rPr>
                  <w:rFonts w:ascii="Arial" w:cs="Arial" w:eastAsia="Arial" w:hAnsi="Arial"/>
                  <w:sz w:val="16"/>
                  <w:szCs w:val="16"/>
                  <w:color w:val="0000EE"/>
                  <w:w w:val="95"/>
                </w:rPr>
                <w:t>STATEMENTS OF CASH FLOWS</w:t>
              </w:r>
            </w:hyperlink>
          </w:p>
        </w:tc>
        <w:tc>
          <w:tcPr>
            <w:tcW w:w="1960" w:type="dxa"/>
            <w:vAlign w:val="bottom"/>
            <w:tcBorders>
              <w:top w:val="single" w:sz="8" w:color="0000EE"/>
            </w:tcBorders>
            <w:gridSpan w:val="3"/>
          </w:tcPr>
          <w:p>
            <w:pPr>
              <w:spacing w:after="0"/>
              <w:rPr>
                <w:sz w:val="24"/>
                <w:szCs w:val="24"/>
                <w:color w:val="auto"/>
              </w:rPr>
            </w:pPr>
          </w:p>
        </w:tc>
        <w:tc>
          <w:tcPr>
            <w:tcW w:w="4920" w:type="dxa"/>
            <w:vAlign w:val="bottom"/>
            <w:gridSpan w:val="2"/>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F-7 - F-8</w:t>
            </w:r>
          </w:p>
        </w:tc>
      </w:tr>
      <w:tr>
        <w:trPr>
          <w:trHeight w:val="337"/>
        </w:trPr>
        <w:tc>
          <w:tcPr>
            <w:tcW w:w="9240" w:type="dxa"/>
            <w:vAlign w:val="bottom"/>
            <w:gridSpan w:val="8"/>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NOTES TO FINANCIAL STATEMENTS</w:t>
              </w:r>
            </w:hyperlink>
          </w:p>
        </w:tc>
        <w:tc>
          <w:tcPr>
            <w:tcW w:w="2000" w:type="dxa"/>
            <w:vAlign w:val="bottom"/>
          </w:tcPr>
          <w:p>
            <w:pPr>
              <w:jc w:val="right"/>
              <w:spacing w:after="0"/>
              <w:rPr>
                <w:sz w:val="20"/>
                <w:szCs w:val="20"/>
                <w:color w:val="auto"/>
              </w:rPr>
            </w:pPr>
            <w:r>
              <w:rPr>
                <w:rFonts w:ascii="Arial" w:cs="Arial" w:eastAsia="Arial" w:hAnsi="Arial"/>
                <w:sz w:val="16"/>
                <w:szCs w:val="16"/>
                <w:color w:val="auto"/>
              </w:rPr>
              <w:t>F-9 - F-49</w:t>
            </w:r>
          </w:p>
        </w:tc>
      </w:tr>
      <w:tr>
        <w:trPr>
          <w:trHeight w:val="189"/>
        </w:trPr>
        <w:tc>
          <w:tcPr>
            <w:tcW w:w="1420" w:type="dxa"/>
            <w:vAlign w:val="bottom"/>
            <w:tcBorders>
              <w:top w:val="single" w:sz="8" w:color="0000EE"/>
              <w:bottom w:val="single" w:sz="8" w:color="EEEEEE"/>
            </w:tcBorders>
          </w:tcPr>
          <w:p>
            <w:pPr>
              <w:spacing w:after="0"/>
              <w:rPr>
                <w:sz w:val="16"/>
                <w:szCs w:val="16"/>
                <w:color w:val="auto"/>
              </w:rPr>
            </w:pPr>
          </w:p>
        </w:tc>
        <w:tc>
          <w:tcPr>
            <w:tcW w:w="900" w:type="dxa"/>
            <w:vAlign w:val="bottom"/>
            <w:tcBorders>
              <w:top w:val="single" w:sz="8" w:color="0000EE"/>
              <w:bottom w:val="single" w:sz="8" w:color="EEEEEE"/>
            </w:tcBorders>
          </w:tcPr>
          <w:p>
            <w:pPr>
              <w:spacing w:after="0"/>
              <w:rPr>
                <w:sz w:val="16"/>
                <w:szCs w:val="16"/>
                <w:color w:val="auto"/>
              </w:rPr>
            </w:pPr>
          </w:p>
        </w:tc>
        <w:tc>
          <w:tcPr>
            <w:tcW w:w="40" w:type="dxa"/>
            <w:vAlign w:val="bottom"/>
            <w:tcBorders>
              <w:top w:val="single" w:sz="8" w:color="0000EE"/>
              <w:bottom w:val="single" w:sz="8" w:color="EEEEEE"/>
            </w:tcBorders>
          </w:tcPr>
          <w:p>
            <w:pPr>
              <w:spacing w:after="0"/>
              <w:rPr>
                <w:sz w:val="16"/>
                <w:szCs w:val="16"/>
                <w:color w:val="auto"/>
              </w:rPr>
            </w:pPr>
          </w:p>
        </w:tc>
        <w:tc>
          <w:tcPr>
            <w:tcW w:w="420" w:type="dxa"/>
            <w:vAlign w:val="bottom"/>
            <w:tcBorders>
              <w:top w:val="single" w:sz="8" w:color="0000EE"/>
              <w:bottom w:val="single" w:sz="8" w:color="EEEEEE"/>
            </w:tcBorders>
          </w:tcPr>
          <w:p>
            <w:pPr>
              <w:spacing w:after="0"/>
              <w:rPr>
                <w:sz w:val="16"/>
                <w:szCs w:val="16"/>
                <w:color w:val="auto"/>
              </w:rPr>
            </w:pPr>
          </w:p>
        </w:tc>
        <w:tc>
          <w:tcPr>
            <w:tcW w:w="600" w:type="dxa"/>
            <w:vAlign w:val="bottom"/>
            <w:tcBorders>
              <w:bottom w:val="single" w:sz="8" w:color="EEEEEE"/>
            </w:tcBorders>
          </w:tcPr>
          <w:p>
            <w:pPr>
              <w:spacing w:after="0"/>
              <w:rPr>
                <w:sz w:val="16"/>
                <w:szCs w:val="16"/>
                <w:color w:val="auto"/>
              </w:rPr>
            </w:pPr>
          </w:p>
        </w:tc>
        <w:tc>
          <w:tcPr>
            <w:tcW w:w="940" w:type="dxa"/>
            <w:vAlign w:val="bottom"/>
            <w:tcBorders>
              <w:bottom w:val="single" w:sz="8" w:color="EEEEEE"/>
            </w:tcBorders>
          </w:tcPr>
          <w:p>
            <w:pPr>
              <w:spacing w:after="0"/>
              <w:rPr>
                <w:sz w:val="16"/>
                <w:szCs w:val="16"/>
                <w:color w:val="auto"/>
              </w:rPr>
            </w:pPr>
          </w:p>
        </w:tc>
        <w:tc>
          <w:tcPr>
            <w:tcW w:w="960" w:type="dxa"/>
            <w:vAlign w:val="bottom"/>
            <w:tcBorders>
              <w:bottom w:val="single" w:sz="8" w:color="EEEEEE"/>
            </w:tcBorders>
          </w:tcPr>
          <w:p>
            <w:pPr>
              <w:spacing w:after="0"/>
              <w:rPr>
                <w:sz w:val="16"/>
                <w:szCs w:val="16"/>
                <w:color w:val="auto"/>
              </w:rPr>
            </w:pPr>
          </w:p>
        </w:tc>
        <w:tc>
          <w:tcPr>
            <w:tcW w:w="3960" w:type="dxa"/>
            <w:vAlign w:val="bottom"/>
            <w:tcBorders>
              <w:bottom w:val="single" w:sz="8" w:color="EEEEEE"/>
            </w:tcBorders>
          </w:tcPr>
          <w:p>
            <w:pPr>
              <w:spacing w:after="0"/>
              <w:rPr>
                <w:sz w:val="16"/>
                <w:szCs w:val="16"/>
                <w:color w:val="auto"/>
              </w:rPr>
            </w:pPr>
          </w:p>
        </w:tc>
        <w:tc>
          <w:tcPr>
            <w:tcW w:w="2000" w:type="dxa"/>
            <w:vAlign w:val="bottom"/>
            <w:tcBorders>
              <w:bottom w:val="single" w:sz="8" w:color="EEEEEE"/>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-35560</wp:posOffset>
            </wp:positionV>
            <wp:extent cx="7169785" cy="48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492"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201930</wp:posOffset>
            </wp:positionH>
            <wp:positionV relativeFrom="page">
              <wp:posOffset>354330</wp:posOffset>
            </wp:positionV>
            <wp:extent cx="1170940" cy="351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70940" cy="351155"/>
                    </a:xfrm>
                    <a:prstGeom prst="rect">
                      <a:avLst/>
                    </a:prstGeom>
                    <a:noFill/>
                  </pic:spPr>
                </pic:pic>
              </a:graphicData>
            </a:graphic>
          </wp:anchor>
        </w:drawing>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Tower Semiconductor Ltd.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have audited the accompanying consolidated balance sheets of Tower Semiconductor Ltd. and subsidiaries (the "Company") as of December 31, 2021 and 2020, the related consolidated statements of operations, comprehensive income, shareholders'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6" w:name="page7"/>
    <w:bookmarkEnd w:id="6"/>
    <w:p>
      <w:pPr>
        <w:ind w:left="2"/>
        <w:spacing w:after="0"/>
        <w:rPr>
          <w:sz w:val="20"/>
          <w:szCs w:val="20"/>
          <w:color w:val="auto"/>
        </w:rPr>
      </w:pPr>
      <w:r>
        <w:rPr>
          <w:rFonts w:ascii="Arial" w:cs="Arial" w:eastAsia="Arial" w:hAnsi="Arial"/>
          <w:sz w:val="16"/>
          <w:szCs w:val="16"/>
          <w:b w:val="1"/>
          <w:bCs w:val="1"/>
          <w:color w:val="auto"/>
        </w:rPr>
        <w:t>Income Taxes — Income Tax Provision — Refer to Note 19 to the financial statements Critical Audit Matter Description</w:t>
      </w:r>
    </w:p>
    <w:p>
      <w:pPr>
        <w:spacing w:after="0" w:line="201" w:lineRule="exact"/>
        <w:rPr>
          <w:sz w:val="20"/>
          <w:szCs w:val="20"/>
          <w:color w:val="auto"/>
        </w:rPr>
      </w:pPr>
    </w:p>
    <w:p>
      <w:pPr>
        <w:jc w:val="both"/>
        <w:ind w:left="2"/>
        <w:spacing w:after="0" w:line="316" w:lineRule="auto"/>
        <w:rPr>
          <w:sz w:val="20"/>
          <w:szCs w:val="20"/>
          <w:color w:val="auto"/>
        </w:rPr>
      </w:pPr>
      <w:r>
        <w:rPr>
          <w:rFonts w:ascii="Arial" w:cs="Arial" w:eastAsia="Arial" w:hAnsi="Arial"/>
          <w:sz w:val="14"/>
          <w:szCs w:val="14"/>
          <w:color w:val="auto"/>
        </w:rPr>
        <w:t>The Company's provision for income taxes is affected by income taxes in a multinational tax environment. The income tax provision is an estimate determined based on current enacted tax laws and tax rates at each of its geographic locations with the use of acceptable allocation methodologies based upon the Company’s organizational structure, the Company’s operations and business mode of work, and result in applicable local taxable income attributable to those locations. For the year-ended December 31, 2021, the consolidated provision for income taxes was $1.02 million comprised of amounts related to Israel, Japan and U.S. operations, as detailed in Note 19.</w:t>
      </w:r>
    </w:p>
    <w:p>
      <w:pPr>
        <w:spacing w:after="0" w:line="124" w:lineRule="exact"/>
        <w:rPr>
          <w:sz w:val="20"/>
          <w:szCs w:val="20"/>
          <w:color w:val="auto"/>
        </w:rPr>
      </w:pPr>
    </w:p>
    <w:p>
      <w:pPr>
        <w:jc w:val="both"/>
        <w:ind w:left="2"/>
        <w:spacing w:after="0" w:line="267" w:lineRule="auto"/>
        <w:rPr>
          <w:sz w:val="20"/>
          <w:szCs w:val="20"/>
          <w:color w:val="auto"/>
        </w:rPr>
      </w:pPr>
      <w:r>
        <w:rPr>
          <w:rFonts w:ascii="Arial" w:cs="Arial" w:eastAsia="Arial" w:hAnsi="Arial"/>
          <w:sz w:val="16"/>
          <w:szCs w:val="16"/>
          <w:color w:val="auto"/>
        </w:rPr>
        <w:t>We identified management’s determination of the taxable income and its related income tax provision as a critical audit matter because of the significant judgements and estimates management makes related to the charges between the sites located in different tax jurisdictions, the consideration of different tax status in each jurisdiction. This required a high degree of auditor judgement and an increased extent of effort, including the need to involve our income tax specialists, when performing audit procedures to evaluate the reasonableness of management’s estimate of the income tax provision.</w:t>
      </w:r>
    </w:p>
    <w:p>
      <w:pPr>
        <w:spacing w:after="0" w:line="13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How the Critical Audit Matter was addressed in the Audit</w:t>
      </w:r>
    </w:p>
    <w:p>
      <w:pPr>
        <w:spacing w:after="0" w:line="201" w:lineRule="exact"/>
        <w:rPr>
          <w:sz w:val="20"/>
          <w:szCs w:val="20"/>
          <w:color w:val="auto"/>
        </w:rPr>
      </w:pPr>
    </w:p>
    <w:p>
      <w:pPr>
        <w:ind w:left="2"/>
        <w:spacing w:after="0"/>
        <w:rPr>
          <w:sz w:val="20"/>
          <w:szCs w:val="20"/>
          <w:color w:val="auto"/>
        </w:rPr>
      </w:pPr>
      <w:r>
        <w:rPr>
          <w:rFonts w:ascii="Arial" w:cs="Arial" w:eastAsia="Arial" w:hAnsi="Arial"/>
          <w:sz w:val="16"/>
          <w:szCs w:val="16"/>
          <w:color w:val="auto"/>
        </w:rPr>
        <w:t>Our audit procedures related to the determination of the taxable income allocation and income tax provision included the following, among others:</w:t>
      </w:r>
    </w:p>
    <w:p>
      <w:pPr>
        <w:spacing w:after="0" w:line="197" w:lineRule="exact"/>
        <w:rPr>
          <w:sz w:val="20"/>
          <w:szCs w:val="20"/>
          <w:color w:val="auto"/>
        </w:rPr>
      </w:pPr>
    </w:p>
    <w:p>
      <w:pPr>
        <w:ind w:left="302" w:hanging="302"/>
        <w:spacing w:after="0" w:line="323" w:lineRule="auto"/>
        <w:tabs>
          <w:tab w:leader="none" w:pos="302" w:val="left"/>
        </w:tabs>
        <w:numPr>
          <w:ilvl w:val="0"/>
          <w:numId w:val="1"/>
        </w:numPr>
        <w:rPr>
          <w:rFonts w:ascii="Arial" w:cs="Arial" w:eastAsia="Arial" w:hAnsi="Arial"/>
          <w:sz w:val="15"/>
          <w:szCs w:val="15"/>
          <w:color w:val="auto"/>
        </w:rPr>
      </w:pPr>
      <w:r>
        <w:rPr>
          <w:rFonts w:ascii="Arial" w:cs="Arial" w:eastAsia="Arial" w:hAnsi="Arial"/>
          <w:sz w:val="15"/>
          <w:szCs w:val="15"/>
          <w:color w:val="auto"/>
        </w:rPr>
        <w:t>We obtained the taxable income allocation used in calculating the income tax provision and tested that the taxable income allocation between Israel and corporate operations and the other subsidiaries is appropriate based on the specified services and margins determined in the Company's transfer pricing studies.</w:t>
      </w:r>
    </w:p>
    <w:p>
      <w:pPr>
        <w:spacing w:after="0" w:line="101" w:lineRule="exact"/>
        <w:rPr>
          <w:rFonts w:ascii="Arial" w:cs="Arial" w:eastAsia="Arial" w:hAnsi="Arial"/>
          <w:sz w:val="15"/>
          <w:szCs w:val="15"/>
          <w:color w:val="auto"/>
        </w:rPr>
      </w:pPr>
    </w:p>
    <w:p>
      <w:pPr>
        <w:ind w:left="302" w:hanging="302"/>
        <w:spacing w:after="0" w:line="288" w:lineRule="auto"/>
        <w:tabs>
          <w:tab w:leader="none" w:pos="302"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tested the effectiveness of controls over the Company’s process to allocate its taxable income between the different subsidiaries based on the Company's transfer pricing studies.</w:t>
      </w:r>
    </w:p>
    <w:p>
      <w:pPr>
        <w:spacing w:after="0" w:line="136" w:lineRule="exact"/>
        <w:rPr>
          <w:rFonts w:ascii="Arial" w:cs="Arial" w:eastAsia="Arial" w:hAnsi="Arial"/>
          <w:sz w:val="16"/>
          <w:szCs w:val="16"/>
          <w:color w:val="auto"/>
        </w:rPr>
      </w:pPr>
    </w:p>
    <w:p>
      <w:pPr>
        <w:ind w:left="302" w:hanging="302"/>
        <w:spacing w:after="0" w:line="288" w:lineRule="auto"/>
        <w:tabs>
          <w:tab w:leader="none" w:pos="302"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read and evaluated management’s documentation, including information obtained by management from external tax specialists that detailed the basis of the uncertain tax positions.</w:t>
      </w:r>
    </w:p>
    <w:p>
      <w:pPr>
        <w:spacing w:after="0" w:line="136" w:lineRule="exact"/>
        <w:rPr>
          <w:rFonts w:ascii="Arial" w:cs="Arial" w:eastAsia="Arial" w:hAnsi="Arial"/>
          <w:sz w:val="16"/>
          <w:szCs w:val="16"/>
          <w:color w:val="auto"/>
        </w:rPr>
      </w:pPr>
    </w:p>
    <w:p>
      <w:pPr>
        <w:ind w:left="302" w:hanging="302"/>
        <w:spacing w:after="0"/>
        <w:tabs>
          <w:tab w:leader="none" w:pos="302" w:val="left"/>
        </w:tabs>
        <w:numPr>
          <w:ilvl w:val="0"/>
          <w:numId w:val="1"/>
        </w:numPr>
        <w:rPr>
          <w:rFonts w:ascii="Arial" w:cs="Arial" w:eastAsia="Arial" w:hAnsi="Arial"/>
          <w:sz w:val="16"/>
          <w:szCs w:val="16"/>
          <w:color w:val="auto"/>
        </w:rPr>
      </w:pPr>
      <w:r>
        <w:rPr>
          <w:rFonts w:ascii="Arial" w:cs="Arial" w:eastAsia="Arial" w:hAnsi="Arial"/>
          <w:sz w:val="16"/>
          <w:szCs w:val="16"/>
          <w:color w:val="auto"/>
        </w:rPr>
        <w:t>With the assistance of our income tax specialists, we evaluated:</w:t>
      </w:r>
    </w:p>
    <w:p>
      <w:pPr>
        <w:spacing w:after="0" w:line="184" w:lineRule="exact"/>
        <w:rPr>
          <w:rFonts w:ascii="Arial" w:cs="Arial" w:eastAsia="Arial" w:hAnsi="Arial"/>
          <w:sz w:val="16"/>
          <w:szCs w:val="16"/>
          <w:color w:val="auto"/>
        </w:rPr>
      </w:pPr>
    </w:p>
    <w:p>
      <w:pPr>
        <w:ind w:left="582" w:hanging="287"/>
        <w:spacing w:after="0" w:line="288" w:lineRule="auto"/>
        <w:tabs>
          <w:tab w:leader="none" w:pos="582" w:val="left"/>
        </w:tabs>
        <w:numPr>
          <w:ilvl w:val="1"/>
          <w:numId w:val="1"/>
        </w:numPr>
        <w:rPr>
          <w:rFonts w:ascii="Arial" w:cs="Arial" w:eastAsia="Arial" w:hAnsi="Arial"/>
          <w:sz w:val="16"/>
          <w:szCs w:val="16"/>
          <w:color w:val="auto"/>
        </w:rPr>
      </w:pPr>
      <w:r>
        <w:rPr>
          <w:rFonts w:ascii="Arial" w:cs="Arial" w:eastAsia="Arial" w:hAnsi="Arial"/>
          <w:sz w:val="16"/>
          <w:szCs w:val="16"/>
          <w:color w:val="auto"/>
        </w:rPr>
        <w:t>The appropriateness of the ranges of outcomes utilized and the pricing conclusions reached within the transfer pricing studies conducted by the Company's external tax specialists.</w:t>
      </w:r>
    </w:p>
    <w:p>
      <w:pPr>
        <w:spacing w:after="0" w:line="136" w:lineRule="exact"/>
        <w:rPr>
          <w:rFonts w:ascii="Arial" w:cs="Arial" w:eastAsia="Arial" w:hAnsi="Arial"/>
          <w:sz w:val="16"/>
          <w:szCs w:val="16"/>
          <w:color w:val="auto"/>
        </w:rPr>
      </w:pPr>
    </w:p>
    <w:p>
      <w:pPr>
        <w:ind w:left="582" w:hanging="287"/>
        <w:spacing w:after="0"/>
        <w:tabs>
          <w:tab w:leader="none" w:pos="582" w:val="left"/>
        </w:tabs>
        <w:numPr>
          <w:ilvl w:val="1"/>
          <w:numId w:val="1"/>
        </w:numPr>
        <w:rPr>
          <w:rFonts w:ascii="Arial" w:cs="Arial" w:eastAsia="Arial" w:hAnsi="Arial"/>
          <w:sz w:val="16"/>
          <w:szCs w:val="16"/>
          <w:color w:val="auto"/>
        </w:rPr>
      </w:pPr>
      <w:r>
        <w:rPr>
          <w:rFonts w:ascii="Arial" w:cs="Arial" w:eastAsia="Arial" w:hAnsi="Arial"/>
          <w:sz w:val="16"/>
          <w:szCs w:val="16"/>
          <w:color w:val="auto"/>
        </w:rPr>
        <w:t>The transfer pricing methodology utilized by management with alternative methodologies and industry benchmarks.</w:t>
      </w:r>
    </w:p>
    <w:p>
      <w:pPr>
        <w:spacing w:after="0" w:line="197" w:lineRule="exact"/>
        <w:rPr>
          <w:rFonts w:ascii="Arial" w:cs="Arial" w:eastAsia="Arial" w:hAnsi="Arial"/>
          <w:sz w:val="16"/>
          <w:szCs w:val="16"/>
          <w:color w:val="auto"/>
        </w:rPr>
      </w:pPr>
    </w:p>
    <w:p>
      <w:pPr>
        <w:ind w:left="582" w:hanging="287"/>
        <w:spacing w:after="0"/>
        <w:tabs>
          <w:tab w:leader="none" w:pos="582" w:val="left"/>
        </w:tabs>
        <w:numPr>
          <w:ilvl w:val="1"/>
          <w:numId w:val="1"/>
        </w:numPr>
        <w:rPr>
          <w:rFonts w:ascii="Arial" w:cs="Arial" w:eastAsia="Arial" w:hAnsi="Arial"/>
          <w:sz w:val="16"/>
          <w:szCs w:val="16"/>
          <w:color w:val="auto"/>
        </w:rPr>
      </w:pPr>
      <w:r>
        <w:rPr>
          <w:rFonts w:ascii="Arial" w:cs="Arial" w:eastAsia="Arial" w:hAnsi="Arial"/>
          <w:sz w:val="16"/>
          <w:szCs w:val="16"/>
          <w:color w:val="auto"/>
        </w:rPr>
        <w:t>The relevant facts by reading the Company’s correspondence with the relevant tax authorities and any third-party advice obtained by the Company.</w:t>
      </w:r>
    </w:p>
    <w:p>
      <w:pPr>
        <w:spacing w:after="0" w:line="184" w:lineRule="exact"/>
        <w:rPr>
          <w:rFonts w:ascii="Arial" w:cs="Arial" w:eastAsia="Arial" w:hAnsi="Arial"/>
          <w:sz w:val="16"/>
          <w:szCs w:val="16"/>
          <w:color w:val="auto"/>
        </w:rPr>
      </w:pPr>
    </w:p>
    <w:p>
      <w:pPr>
        <w:ind w:left="582" w:hanging="287"/>
        <w:spacing w:after="0" w:line="288" w:lineRule="auto"/>
        <w:tabs>
          <w:tab w:leader="none" w:pos="582" w:val="left"/>
        </w:tabs>
        <w:numPr>
          <w:ilvl w:val="1"/>
          <w:numId w:val="1"/>
        </w:numPr>
        <w:rPr>
          <w:rFonts w:ascii="Arial" w:cs="Arial" w:eastAsia="Arial" w:hAnsi="Arial"/>
          <w:sz w:val="16"/>
          <w:szCs w:val="16"/>
          <w:color w:val="auto"/>
        </w:rPr>
      </w:pPr>
      <w:r>
        <w:rPr>
          <w:rFonts w:ascii="Arial" w:cs="Arial" w:eastAsia="Arial" w:hAnsi="Arial"/>
          <w:sz w:val="16"/>
          <w:szCs w:val="16"/>
          <w:color w:val="auto"/>
        </w:rPr>
        <w:t>The Company’s measurement of uncertain tax positions related to transfer pricing based on our knowledge of international and local income tax laws, as well as historical settlement activity from income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258445</wp:posOffset>
            </wp:positionV>
            <wp:extent cx="1639570" cy="405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639570" cy="40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Brightman Almagor Zohar &amp; Co.</w:t>
      </w:r>
    </w:p>
    <w:p>
      <w:pPr>
        <w:spacing w:after="0" w:line="2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Certified Public Accountants</w:t>
      </w:r>
    </w:p>
    <w:p>
      <w:pPr>
        <w:spacing w:after="0" w:line="1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 Firm in The Deloitte Global Network</w:t>
      </w:r>
    </w:p>
    <w:p>
      <w:pPr>
        <w:spacing w:after="0" w:line="174" w:lineRule="exact"/>
        <w:rPr>
          <w:sz w:val="20"/>
          <w:szCs w:val="20"/>
          <w:color w:val="auto"/>
        </w:rPr>
      </w:pPr>
    </w:p>
    <w:p>
      <w:pPr>
        <w:ind w:left="2"/>
        <w:spacing w:after="0"/>
        <w:rPr>
          <w:sz w:val="20"/>
          <w:szCs w:val="20"/>
          <w:color w:val="auto"/>
        </w:rPr>
      </w:pPr>
      <w:r>
        <w:rPr>
          <w:rFonts w:ascii="Arial" w:cs="Arial" w:eastAsia="Arial" w:hAnsi="Arial"/>
          <w:sz w:val="16"/>
          <w:szCs w:val="16"/>
          <w:color w:val="auto"/>
        </w:rPr>
        <w:t>Tel Aviv, Israel</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6"/>
          <w:szCs w:val="16"/>
          <w:color w:val="auto"/>
        </w:rPr>
        <w:t>February 28, 2022</w:t>
      </w:r>
    </w:p>
    <w:p>
      <w:pPr>
        <w:spacing w:after="0" w:line="174" w:lineRule="exact"/>
        <w:rPr>
          <w:sz w:val="20"/>
          <w:szCs w:val="20"/>
          <w:color w:val="auto"/>
        </w:rPr>
      </w:pPr>
    </w:p>
    <w:p>
      <w:pPr>
        <w:ind w:left="2"/>
        <w:spacing w:after="0"/>
        <w:rPr>
          <w:sz w:val="20"/>
          <w:szCs w:val="20"/>
          <w:color w:val="auto"/>
        </w:rPr>
      </w:pPr>
      <w:r>
        <w:rPr>
          <w:rFonts w:ascii="Arial" w:cs="Arial" w:eastAsia="Arial" w:hAnsi="Arial"/>
          <w:sz w:val="16"/>
          <w:szCs w:val="16"/>
          <w:color w:val="auto"/>
        </w:rPr>
        <w:t>We have served as the Company's auditor since 1993.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125095</wp:posOffset>
            </wp:positionV>
            <wp:extent cx="4794250" cy="1413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4794250" cy="141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128270</wp:posOffset>
            </wp:positionV>
            <wp:extent cx="7169785" cy="48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2"/>
          </w:cols>
          <w:pgMar w:left="318" w:top="38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and shares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3"/>
          </w:tcPr>
          <w:p>
            <w:pPr>
              <w:jc w:val="right"/>
              <w:ind w:right="258"/>
              <w:spacing w:after="0"/>
              <w:rPr>
                <w:sz w:val="20"/>
                <w:szCs w:val="20"/>
                <w:color w:val="auto"/>
              </w:rPr>
            </w:pPr>
            <w:r>
              <w:rPr>
                <w:rFonts w:ascii="Arial" w:cs="Arial" w:eastAsia="Arial" w:hAnsi="Arial"/>
                <w:sz w:val="16"/>
                <w:szCs w:val="16"/>
                <w:b w:val="1"/>
                <w:bCs w:val="1"/>
                <w:color w:val="auto"/>
              </w:rPr>
              <w:t>As of</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8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8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7"/>
                <w:szCs w:val="17"/>
                <w:color w:val="auto"/>
              </w:rPr>
            </w:pPr>
          </w:p>
        </w:tc>
      </w:tr>
      <w:tr>
        <w:trPr>
          <w:trHeight w:val="221"/>
        </w:trPr>
        <w:tc>
          <w:tcPr>
            <w:tcW w:w="8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1"/>
        </w:trPr>
        <w:tc>
          <w:tcPr>
            <w:tcW w:w="8460" w:type="dxa"/>
            <w:vAlign w:val="bottom"/>
          </w:tcPr>
          <w:p>
            <w:pPr>
              <w:ind w:left="120"/>
              <w:spacing w:after="0"/>
              <w:rPr>
                <w:sz w:val="20"/>
                <w:szCs w:val="20"/>
                <w:color w:val="auto"/>
              </w:rPr>
            </w:pPr>
            <w:r>
              <w:rPr>
                <w:rFonts w:ascii="Arial" w:cs="Arial" w:eastAsia="Arial" w:hAnsi="Arial"/>
                <w:sz w:val="16"/>
                <w:szCs w:val="16"/>
                <w:b w:val="1"/>
                <w:bCs w:val="1"/>
                <w:color w:val="auto"/>
              </w:rPr>
              <w:t>CURRENT ASSETS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8460" w:type="dxa"/>
            <w:vAlign w:val="bottom"/>
            <w:shd w:val="clear" w:color="auto" w:fill="CCEEFF"/>
          </w:tcPr>
          <w:p>
            <w:pPr>
              <w:ind w:left="260"/>
              <w:spacing w:after="0"/>
              <w:rPr>
                <w:sz w:val="20"/>
                <w:szCs w:val="20"/>
                <w:color w:val="auto"/>
              </w:rPr>
            </w:pPr>
            <w:r>
              <w:rPr>
                <w:rFonts w:ascii="Arial" w:cs="Arial" w:eastAsia="Arial" w:hAnsi="Arial"/>
                <w:sz w:val="16"/>
                <w:szCs w:val="16"/>
                <w:b w:val="1"/>
                <w:bCs w:val="1"/>
                <w:color w:val="auto"/>
              </w:rPr>
              <w:t>Cash and cash equivalents</w:t>
            </w: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210,930</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8"/>
              <w:spacing w:after="0"/>
              <w:rPr>
                <w:sz w:val="20"/>
                <w:szCs w:val="20"/>
                <w:color w:val="auto"/>
              </w:rPr>
            </w:pPr>
            <w:r>
              <w:rPr>
                <w:rFonts w:ascii="Arial" w:cs="Arial" w:eastAsia="Arial" w:hAnsi="Arial"/>
                <w:sz w:val="16"/>
                <w:szCs w:val="16"/>
                <w:b w:val="1"/>
                <w:bCs w:val="1"/>
                <w:color w:val="auto"/>
                <w:w w:val="8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211,683</w:t>
            </w:r>
          </w:p>
        </w:tc>
      </w:tr>
      <w:tr>
        <w:trPr>
          <w:trHeight w:val="197"/>
        </w:trPr>
        <w:tc>
          <w:tcPr>
            <w:tcW w:w="8460" w:type="dxa"/>
            <w:vAlign w:val="bottom"/>
          </w:tcPr>
          <w:p>
            <w:pPr>
              <w:ind w:left="260"/>
              <w:spacing w:after="0"/>
              <w:rPr>
                <w:sz w:val="20"/>
                <w:szCs w:val="20"/>
                <w:color w:val="auto"/>
              </w:rPr>
            </w:pPr>
            <w:r>
              <w:rPr>
                <w:rFonts w:ascii="Arial" w:cs="Arial" w:eastAsia="Arial" w:hAnsi="Arial"/>
                <w:sz w:val="16"/>
                <w:szCs w:val="16"/>
                <w:b w:val="1"/>
                <w:bCs w:val="1"/>
                <w:color w:val="auto"/>
              </w:rPr>
              <w:t>Short-term deposits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363,648</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310,230</w:t>
            </w:r>
          </w:p>
        </w:tc>
      </w:tr>
      <w:tr>
        <w:trPr>
          <w:trHeight w:val="197"/>
        </w:trPr>
        <w:tc>
          <w:tcPr>
            <w:tcW w:w="8460" w:type="dxa"/>
            <w:vAlign w:val="bottom"/>
            <w:shd w:val="clear" w:color="auto" w:fill="CCEEFF"/>
          </w:tcPr>
          <w:p>
            <w:pPr>
              <w:ind w:left="260"/>
              <w:spacing w:after="0"/>
              <w:rPr>
                <w:sz w:val="20"/>
                <w:szCs w:val="20"/>
                <w:color w:val="auto"/>
              </w:rPr>
            </w:pPr>
            <w:r>
              <w:rPr>
                <w:rFonts w:ascii="Arial" w:cs="Arial" w:eastAsia="Arial" w:hAnsi="Arial"/>
                <w:sz w:val="16"/>
                <w:szCs w:val="16"/>
                <w:b w:val="1"/>
                <w:bCs w:val="1"/>
                <w:color w:val="auto"/>
              </w:rPr>
              <w:t>Marketable securities (*)</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190,068</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188,967</w:t>
            </w:r>
          </w:p>
        </w:tc>
      </w:tr>
      <w:tr>
        <w:trPr>
          <w:trHeight w:val="197"/>
        </w:trPr>
        <w:tc>
          <w:tcPr>
            <w:tcW w:w="8460" w:type="dxa"/>
            <w:vAlign w:val="bottom"/>
          </w:tcPr>
          <w:p>
            <w:pPr>
              <w:ind w:left="260"/>
              <w:spacing w:after="0"/>
              <w:rPr>
                <w:sz w:val="20"/>
                <w:szCs w:val="20"/>
                <w:color w:val="auto"/>
              </w:rPr>
            </w:pPr>
            <w:r>
              <w:rPr>
                <w:rFonts w:ascii="Arial" w:cs="Arial" w:eastAsia="Arial" w:hAnsi="Arial"/>
                <w:sz w:val="16"/>
                <w:szCs w:val="16"/>
                <w:b w:val="1"/>
                <w:bCs w:val="1"/>
                <w:color w:val="auto"/>
              </w:rPr>
              <w:t>Trade accounts receivable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142,228</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162,100</w:t>
            </w:r>
          </w:p>
        </w:tc>
      </w:tr>
      <w:tr>
        <w:trPr>
          <w:trHeight w:val="197"/>
        </w:trPr>
        <w:tc>
          <w:tcPr>
            <w:tcW w:w="8460" w:type="dxa"/>
            <w:vAlign w:val="bottom"/>
            <w:shd w:val="clear" w:color="auto" w:fill="CCEEFF"/>
          </w:tcPr>
          <w:p>
            <w:pPr>
              <w:ind w:left="260"/>
              <w:spacing w:after="0"/>
              <w:rPr>
                <w:sz w:val="20"/>
                <w:szCs w:val="20"/>
                <w:color w:val="auto"/>
              </w:rPr>
            </w:pPr>
            <w:r>
              <w:rPr>
                <w:rFonts w:ascii="Arial" w:cs="Arial" w:eastAsia="Arial" w:hAnsi="Arial"/>
                <w:sz w:val="16"/>
                <w:szCs w:val="16"/>
                <w:b w:val="1"/>
                <w:bCs w:val="1"/>
                <w:color w:val="auto"/>
              </w:rPr>
              <w:t>Inventories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234,512</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199,126</w:t>
            </w:r>
          </w:p>
        </w:tc>
      </w:tr>
      <w:tr>
        <w:trPr>
          <w:trHeight w:val="201"/>
        </w:trPr>
        <w:tc>
          <w:tcPr>
            <w:tcW w:w="8460" w:type="dxa"/>
            <w:vAlign w:val="bottom"/>
          </w:tcPr>
          <w:p>
            <w:pPr>
              <w:ind w:left="260"/>
              <w:spacing w:after="0"/>
              <w:rPr>
                <w:sz w:val="20"/>
                <w:szCs w:val="20"/>
                <w:color w:val="auto"/>
              </w:rPr>
            </w:pPr>
            <w:r>
              <w:rPr>
                <w:rFonts w:ascii="Arial" w:cs="Arial" w:eastAsia="Arial" w:hAnsi="Arial"/>
                <w:sz w:val="16"/>
                <w:szCs w:val="16"/>
                <w:b w:val="1"/>
                <w:bCs w:val="1"/>
                <w:color w:val="auto"/>
              </w:rPr>
              <w:t>Other current assets</w:t>
            </w:r>
          </w:p>
        </w:tc>
        <w:tc>
          <w:tcPr>
            <w:tcW w:w="2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54,817</w:t>
            </w:r>
          </w:p>
        </w:tc>
        <w:tc>
          <w:tcPr>
            <w:tcW w:w="4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30,810</w:t>
            </w:r>
          </w:p>
        </w:tc>
      </w:tr>
      <w:tr>
        <w:trPr>
          <w:trHeight w:val="197"/>
        </w:trPr>
        <w:tc>
          <w:tcPr>
            <w:tcW w:w="846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Total current assets</w:t>
            </w: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1,196,203</w:t>
            </w:r>
          </w:p>
        </w:tc>
        <w:tc>
          <w:tcPr>
            <w:tcW w:w="22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1,102,916</w:t>
            </w:r>
          </w:p>
        </w:tc>
        <w:tc>
          <w:tcPr>
            <w:tcW w:w="100" w:type="dxa"/>
            <w:vAlign w:val="bottom"/>
            <w:shd w:val="clear" w:color="auto" w:fill="CCEEFF"/>
          </w:tcPr>
          <w:p>
            <w:pPr>
              <w:spacing w:after="0"/>
              <w:rPr>
                <w:sz w:val="17"/>
                <w:szCs w:val="17"/>
                <w:color w:val="auto"/>
              </w:rPr>
            </w:pPr>
          </w:p>
        </w:tc>
      </w:tr>
      <w:tr>
        <w:trPr>
          <w:trHeight w:val="197"/>
        </w:trPr>
        <w:tc>
          <w:tcPr>
            <w:tcW w:w="8460" w:type="dxa"/>
            <w:vAlign w:val="bottom"/>
          </w:tcPr>
          <w:p>
            <w:pPr>
              <w:ind w:left="120"/>
              <w:spacing w:after="0"/>
              <w:rPr>
                <w:sz w:val="20"/>
                <w:szCs w:val="20"/>
                <w:color w:val="auto"/>
              </w:rPr>
            </w:pPr>
            <w:r>
              <w:rPr>
                <w:rFonts w:ascii="Arial" w:cs="Arial" w:eastAsia="Arial" w:hAnsi="Arial"/>
                <w:sz w:val="16"/>
                <w:szCs w:val="16"/>
                <w:b w:val="1"/>
                <w:bCs w:val="1"/>
                <w:color w:val="auto"/>
              </w:rPr>
              <w:t>LONG-TERM INVESTMENTS</w:t>
            </w:r>
          </w:p>
        </w:tc>
        <w:tc>
          <w:tcPr>
            <w:tcW w:w="2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39,597</w:t>
            </w:r>
          </w:p>
        </w:tc>
        <w:tc>
          <w:tcPr>
            <w:tcW w:w="4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40,699</w:t>
            </w:r>
          </w:p>
        </w:tc>
      </w:tr>
      <w:tr>
        <w:trPr>
          <w:trHeight w:val="197"/>
        </w:trPr>
        <w:tc>
          <w:tcPr>
            <w:tcW w:w="84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PROPERTY AND EQUIPMENT, NET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876,683</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839,171</w:t>
            </w:r>
          </w:p>
        </w:tc>
      </w:tr>
      <w:tr>
        <w:trPr>
          <w:trHeight w:val="197"/>
        </w:trPr>
        <w:tc>
          <w:tcPr>
            <w:tcW w:w="8460" w:type="dxa"/>
            <w:vAlign w:val="bottom"/>
          </w:tcPr>
          <w:p>
            <w:pPr>
              <w:ind w:left="120"/>
              <w:spacing w:after="0"/>
              <w:rPr>
                <w:sz w:val="20"/>
                <w:szCs w:val="20"/>
                <w:color w:val="auto"/>
              </w:rPr>
            </w:pPr>
            <w:r>
              <w:rPr>
                <w:rFonts w:ascii="Arial" w:cs="Arial" w:eastAsia="Arial" w:hAnsi="Arial"/>
                <w:sz w:val="16"/>
                <w:szCs w:val="16"/>
                <w:b w:val="1"/>
                <w:bCs w:val="1"/>
                <w:color w:val="auto"/>
              </w:rPr>
              <w:t>INTANGIBLE ASSETS, NET</w:t>
            </w:r>
          </w:p>
        </w:tc>
        <w:tc>
          <w:tcPr>
            <w:tcW w:w="2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11,820</w:t>
            </w:r>
          </w:p>
        </w:tc>
        <w:tc>
          <w:tcPr>
            <w:tcW w:w="4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10,962</w:t>
            </w:r>
          </w:p>
        </w:tc>
      </w:tr>
      <w:tr>
        <w:trPr>
          <w:trHeight w:val="197"/>
        </w:trPr>
        <w:tc>
          <w:tcPr>
            <w:tcW w:w="84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GOODWILL</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7,000</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7,000</w:t>
            </w:r>
          </w:p>
        </w:tc>
      </w:tr>
      <w:tr>
        <w:trPr>
          <w:trHeight w:val="201"/>
        </w:trPr>
        <w:tc>
          <w:tcPr>
            <w:tcW w:w="8460" w:type="dxa"/>
            <w:vAlign w:val="bottom"/>
          </w:tcPr>
          <w:p>
            <w:pPr>
              <w:ind w:left="120"/>
              <w:spacing w:after="0"/>
              <w:rPr>
                <w:sz w:val="20"/>
                <w:szCs w:val="20"/>
                <w:color w:val="auto"/>
              </w:rPr>
            </w:pPr>
            <w:r>
              <w:rPr>
                <w:rFonts w:ascii="Arial" w:cs="Arial" w:eastAsia="Arial" w:hAnsi="Arial"/>
                <w:sz w:val="16"/>
                <w:szCs w:val="16"/>
                <w:b w:val="1"/>
                <w:bCs w:val="1"/>
                <w:color w:val="auto"/>
              </w:rPr>
              <w:t>DEFERRED TAX AND OTHER LONG-TERM ASSETS, NET</w:t>
            </w:r>
          </w:p>
        </w:tc>
        <w:tc>
          <w:tcPr>
            <w:tcW w:w="2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99,938</w:t>
            </w:r>
          </w:p>
        </w:tc>
        <w:tc>
          <w:tcPr>
            <w:tcW w:w="4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93,401</w:t>
            </w:r>
          </w:p>
        </w:tc>
      </w:tr>
      <w:tr>
        <w:trPr>
          <w:trHeight w:val="237"/>
        </w:trPr>
        <w:tc>
          <w:tcPr>
            <w:tcW w:w="8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2,231,241</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8"/>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2,094,149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8"/>
        </w:trPr>
        <w:tc>
          <w:tcPr>
            <w:tcW w:w="8460" w:type="dxa"/>
            <w:vAlign w:val="bottom"/>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84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CURRENT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7"/>
        </w:trPr>
        <w:tc>
          <w:tcPr>
            <w:tcW w:w="8460" w:type="dxa"/>
            <w:vAlign w:val="bottom"/>
          </w:tcPr>
          <w:p>
            <w:pPr>
              <w:ind w:left="260"/>
              <w:spacing w:after="0"/>
              <w:rPr>
                <w:sz w:val="20"/>
                <w:szCs w:val="20"/>
                <w:color w:val="auto"/>
              </w:rPr>
            </w:pPr>
            <w:r>
              <w:rPr>
                <w:rFonts w:ascii="Arial" w:cs="Arial" w:eastAsia="Arial" w:hAnsi="Arial"/>
                <w:sz w:val="16"/>
                <w:szCs w:val="16"/>
                <w:b w:val="1"/>
                <w:bCs w:val="1"/>
                <w:color w:val="auto"/>
              </w:rPr>
              <w:t>Current maturities of long-term debt</w:t>
            </w:r>
          </w:p>
        </w:tc>
        <w:tc>
          <w:tcPr>
            <w:tcW w:w="280" w:type="dxa"/>
            <w:vAlign w:val="bottom"/>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83,868</w:t>
            </w:r>
          </w:p>
        </w:tc>
        <w:tc>
          <w:tcPr>
            <w:tcW w:w="420" w:type="dxa"/>
            <w:vAlign w:val="bottom"/>
          </w:tcPr>
          <w:p>
            <w:pPr>
              <w:jc w:val="right"/>
              <w:ind w:right="238"/>
              <w:spacing w:after="0"/>
              <w:rPr>
                <w:sz w:val="20"/>
                <w:szCs w:val="20"/>
                <w:color w:val="auto"/>
              </w:rPr>
            </w:pPr>
            <w:r>
              <w:rPr>
                <w:rFonts w:ascii="Arial" w:cs="Arial" w:eastAsia="Arial" w:hAnsi="Arial"/>
                <w:sz w:val="16"/>
                <w:szCs w:val="16"/>
                <w:b w:val="1"/>
                <w:bCs w:val="1"/>
                <w:color w:val="auto"/>
                <w:w w:val="89"/>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106,513</w:t>
            </w:r>
          </w:p>
        </w:tc>
      </w:tr>
      <w:tr>
        <w:trPr>
          <w:trHeight w:val="197"/>
        </w:trPr>
        <w:tc>
          <w:tcPr>
            <w:tcW w:w="8460" w:type="dxa"/>
            <w:vAlign w:val="bottom"/>
            <w:shd w:val="clear" w:color="auto" w:fill="CCEEFF"/>
          </w:tcPr>
          <w:p>
            <w:pPr>
              <w:ind w:left="260"/>
              <w:spacing w:after="0"/>
              <w:rPr>
                <w:sz w:val="20"/>
                <w:szCs w:val="20"/>
                <w:color w:val="auto"/>
              </w:rPr>
            </w:pPr>
            <w:r>
              <w:rPr>
                <w:rFonts w:ascii="Arial" w:cs="Arial" w:eastAsia="Arial" w:hAnsi="Arial"/>
                <w:sz w:val="16"/>
                <w:szCs w:val="16"/>
                <w:b w:val="1"/>
                <w:bCs w:val="1"/>
                <w:color w:val="auto"/>
              </w:rPr>
              <w:t>Trade accounts payable</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78,712</w:t>
            </w: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96,940</w:t>
            </w:r>
          </w:p>
        </w:tc>
      </w:tr>
      <w:tr>
        <w:trPr>
          <w:trHeight w:val="197"/>
        </w:trPr>
        <w:tc>
          <w:tcPr>
            <w:tcW w:w="8460" w:type="dxa"/>
            <w:vAlign w:val="bottom"/>
          </w:tcPr>
          <w:p>
            <w:pPr>
              <w:ind w:left="260"/>
              <w:spacing w:after="0"/>
              <w:rPr>
                <w:sz w:val="20"/>
                <w:szCs w:val="20"/>
                <w:color w:val="auto"/>
              </w:rPr>
            </w:pPr>
            <w:r>
              <w:rPr>
                <w:rFonts w:ascii="Arial" w:cs="Arial" w:eastAsia="Arial" w:hAnsi="Arial"/>
                <w:sz w:val="16"/>
                <w:szCs w:val="16"/>
                <w:b w:val="1"/>
                <w:bCs w:val="1"/>
                <w:color w:val="auto"/>
              </w:rPr>
              <w:t>Deferred revenue and customers' advances</w:t>
            </w:r>
          </w:p>
        </w:tc>
        <w:tc>
          <w:tcPr>
            <w:tcW w:w="2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39,992</w:t>
            </w:r>
          </w:p>
        </w:tc>
        <w:tc>
          <w:tcPr>
            <w:tcW w:w="4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10,027</w:t>
            </w:r>
          </w:p>
        </w:tc>
      </w:tr>
      <w:tr>
        <w:trPr>
          <w:trHeight w:val="197"/>
        </w:trPr>
        <w:tc>
          <w:tcPr>
            <w:tcW w:w="8460" w:type="dxa"/>
            <w:vAlign w:val="bottom"/>
            <w:shd w:val="clear" w:color="auto" w:fill="CCEEFF"/>
          </w:tcPr>
          <w:p>
            <w:pPr>
              <w:ind w:left="260"/>
              <w:spacing w:after="0"/>
              <w:rPr>
                <w:sz w:val="20"/>
                <w:szCs w:val="20"/>
                <w:color w:val="auto"/>
              </w:rPr>
            </w:pPr>
            <w:r>
              <w:rPr>
                <w:rFonts w:ascii="Arial" w:cs="Arial" w:eastAsia="Arial" w:hAnsi="Arial"/>
                <w:sz w:val="16"/>
                <w:szCs w:val="16"/>
                <w:b w:val="1"/>
                <w:bCs w:val="1"/>
                <w:color w:val="auto"/>
              </w:rPr>
              <w:t>Employee related liabilities</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57,747</w:t>
            </w: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51,527</w:t>
            </w:r>
          </w:p>
        </w:tc>
      </w:tr>
      <w:tr>
        <w:trPr>
          <w:trHeight w:val="201"/>
        </w:trPr>
        <w:tc>
          <w:tcPr>
            <w:tcW w:w="8460" w:type="dxa"/>
            <w:vAlign w:val="bottom"/>
          </w:tcPr>
          <w:p>
            <w:pPr>
              <w:ind w:left="260"/>
              <w:spacing w:after="0"/>
              <w:rPr>
                <w:sz w:val="20"/>
                <w:szCs w:val="20"/>
                <w:color w:val="auto"/>
              </w:rPr>
            </w:pPr>
            <w:r>
              <w:rPr>
                <w:rFonts w:ascii="Arial" w:cs="Arial" w:eastAsia="Arial" w:hAnsi="Arial"/>
                <w:sz w:val="16"/>
                <w:szCs w:val="16"/>
                <w:b w:val="1"/>
                <w:bCs w:val="1"/>
                <w:color w:val="auto"/>
              </w:rPr>
              <w:t>Other current liabilities</w:t>
            </w:r>
          </w:p>
        </w:tc>
        <w:tc>
          <w:tcPr>
            <w:tcW w:w="2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16,009</w:t>
            </w:r>
          </w:p>
        </w:tc>
        <w:tc>
          <w:tcPr>
            <w:tcW w:w="4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7,905</w:t>
            </w:r>
          </w:p>
        </w:tc>
      </w:tr>
      <w:tr>
        <w:trPr>
          <w:trHeight w:val="197"/>
        </w:trPr>
        <w:tc>
          <w:tcPr>
            <w:tcW w:w="846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Total current liabilities</w:t>
            </w: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276,328</w:t>
            </w:r>
          </w:p>
        </w:tc>
        <w:tc>
          <w:tcPr>
            <w:tcW w:w="22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272,912</w:t>
            </w:r>
          </w:p>
        </w:tc>
        <w:tc>
          <w:tcPr>
            <w:tcW w:w="100" w:type="dxa"/>
            <w:vAlign w:val="bottom"/>
            <w:shd w:val="clear" w:color="auto" w:fill="CCEEFF"/>
          </w:tcPr>
          <w:p>
            <w:pPr>
              <w:spacing w:after="0"/>
              <w:rPr>
                <w:sz w:val="17"/>
                <w:szCs w:val="17"/>
                <w:color w:val="auto"/>
              </w:rPr>
            </w:pPr>
          </w:p>
        </w:tc>
      </w:tr>
      <w:tr>
        <w:trPr>
          <w:trHeight w:val="197"/>
        </w:trPr>
        <w:tc>
          <w:tcPr>
            <w:tcW w:w="8460" w:type="dxa"/>
            <w:vAlign w:val="bottom"/>
          </w:tcPr>
          <w:p>
            <w:pPr>
              <w:ind w:left="120"/>
              <w:spacing w:after="0"/>
              <w:rPr>
                <w:sz w:val="20"/>
                <w:szCs w:val="20"/>
                <w:color w:val="auto"/>
              </w:rPr>
            </w:pPr>
            <w:r>
              <w:rPr>
                <w:rFonts w:ascii="Arial" w:cs="Arial" w:eastAsia="Arial" w:hAnsi="Arial"/>
                <w:sz w:val="16"/>
                <w:szCs w:val="16"/>
                <w:b w:val="1"/>
                <w:bCs w:val="1"/>
                <w:color w:val="auto"/>
              </w:rPr>
              <w:t>LONG-TERM DEBT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230,972</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283,765</w:t>
            </w:r>
          </w:p>
        </w:tc>
      </w:tr>
      <w:tr>
        <w:trPr>
          <w:trHeight w:val="197"/>
        </w:trPr>
        <w:tc>
          <w:tcPr>
            <w:tcW w:w="84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LONG-TERM CUSTOMERS' ADVANCES</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69,968</w:t>
            </w: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25,451</w:t>
            </w:r>
          </w:p>
        </w:tc>
      </w:tr>
      <w:tr>
        <w:trPr>
          <w:trHeight w:val="197"/>
        </w:trPr>
        <w:tc>
          <w:tcPr>
            <w:tcW w:w="8460" w:type="dxa"/>
            <w:vAlign w:val="bottom"/>
          </w:tcPr>
          <w:p>
            <w:pPr>
              <w:ind w:left="120"/>
              <w:spacing w:after="0"/>
              <w:rPr>
                <w:sz w:val="20"/>
                <w:szCs w:val="20"/>
                <w:color w:val="auto"/>
              </w:rPr>
            </w:pPr>
            <w:r>
              <w:rPr>
                <w:rFonts w:ascii="Arial" w:cs="Arial" w:eastAsia="Arial" w:hAnsi="Arial"/>
                <w:sz w:val="16"/>
                <w:szCs w:val="16"/>
                <w:b w:val="1"/>
                <w:bCs w:val="1"/>
                <w:color w:val="auto"/>
              </w:rPr>
              <w:t>EMPLOYEE RELATED LIABILITIES</w:t>
            </w:r>
          </w:p>
        </w:tc>
        <w:tc>
          <w:tcPr>
            <w:tcW w:w="2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14,622</w:t>
            </w:r>
          </w:p>
        </w:tc>
        <w:tc>
          <w:tcPr>
            <w:tcW w:w="4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15,833</w:t>
            </w:r>
          </w:p>
        </w:tc>
      </w:tr>
      <w:tr>
        <w:trPr>
          <w:trHeight w:val="201"/>
        </w:trPr>
        <w:tc>
          <w:tcPr>
            <w:tcW w:w="84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DEFERRED TAX AND OTHER LONG-TERM LIABILITIES</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23,962</w:t>
            </w: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41,286</w:t>
            </w:r>
          </w:p>
        </w:tc>
      </w:tr>
      <w:tr>
        <w:trPr>
          <w:trHeight w:val="201"/>
        </w:trPr>
        <w:tc>
          <w:tcPr>
            <w:tcW w:w="8460" w:type="dxa"/>
            <w:vAlign w:val="bottom"/>
            <w:tcBorders>
              <w:top w:val="single" w:sz="8" w:color="CCEEFF"/>
            </w:tcBorders>
          </w:tcPr>
          <w:p>
            <w:pPr>
              <w:ind w:left="520"/>
              <w:spacing w:after="0"/>
              <w:rPr>
                <w:sz w:val="20"/>
                <w:szCs w:val="20"/>
                <w:color w:val="auto"/>
              </w:rPr>
            </w:pPr>
            <w:r>
              <w:rPr>
                <w:rFonts w:ascii="Arial" w:cs="Arial" w:eastAsia="Arial" w:hAnsi="Arial"/>
                <w:sz w:val="16"/>
                <w:szCs w:val="16"/>
                <w:b w:val="1"/>
                <w:bCs w:val="1"/>
                <w:color w:val="auto"/>
              </w:rPr>
              <w:t>TOTAL LIABILITIES</w:t>
            </w: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615,852</w:t>
            </w:r>
          </w:p>
        </w:tc>
        <w:tc>
          <w:tcPr>
            <w:tcW w:w="220" w:type="dxa"/>
            <w:vAlign w:val="bottom"/>
            <w:tcBorders>
              <w:top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639,247</w:t>
            </w:r>
          </w:p>
        </w:tc>
        <w:tc>
          <w:tcPr>
            <w:tcW w:w="100" w:type="dxa"/>
            <w:vAlign w:val="bottom"/>
            <w:tcBorders>
              <w:top w:val="single" w:sz="8" w:color="CCEEFF"/>
            </w:tcBorders>
          </w:tcPr>
          <w:p>
            <w:pPr>
              <w:spacing w:after="0"/>
              <w:rPr>
                <w:sz w:val="17"/>
                <w:szCs w:val="17"/>
                <w:color w:val="auto"/>
              </w:rPr>
            </w:pPr>
          </w:p>
        </w:tc>
      </w:tr>
      <w:tr>
        <w:trPr>
          <w:trHeight w:val="197"/>
        </w:trPr>
        <w:tc>
          <w:tcPr>
            <w:tcW w:w="8460" w:type="dxa"/>
            <w:vAlign w:val="bottom"/>
            <w:shd w:val="clear" w:color="auto" w:fill="CCEEFF"/>
          </w:tcPr>
          <w:p>
            <w:pPr>
              <w:ind w:left="260"/>
              <w:spacing w:after="0"/>
              <w:rPr>
                <w:sz w:val="20"/>
                <w:szCs w:val="20"/>
                <w:color w:val="auto"/>
              </w:rPr>
            </w:pPr>
            <w:r>
              <w:rPr>
                <w:rFonts w:ascii="Arial" w:cs="Arial" w:eastAsia="Arial" w:hAnsi="Arial"/>
                <w:sz w:val="16"/>
                <w:szCs w:val="16"/>
                <w:b w:val="1"/>
                <w:bCs w:val="1"/>
                <w:color w:val="auto"/>
              </w:rPr>
              <w:t>Ordinary shares of NIS 15 par value: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435,453</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430,996</w:t>
            </w:r>
          </w:p>
        </w:tc>
        <w:tc>
          <w:tcPr>
            <w:tcW w:w="100" w:type="dxa"/>
            <w:vAlign w:val="bottom"/>
            <w:shd w:val="clear" w:color="auto" w:fill="CCEEFF"/>
          </w:tcPr>
          <w:p>
            <w:pPr>
              <w:spacing w:after="0"/>
              <w:rPr>
                <w:sz w:val="17"/>
                <w:szCs w:val="17"/>
                <w:color w:val="auto"/>
              </w:rPr>
            </w:pPr>
          </w:p>
        </w:tc>
      </w:tr>
      <w:tr>
        <w:trPr>
          <w:trHeight w:val="220"/>
        </w:trPr>
        <w:tc>
          <w:tcPr>
            <w:tcW w:w="8460" w:type="dxa"/>
            <w:vAlign w:val="bottom"/>
          </w:tcPr>
          <w:p>
            <w:pPr>
              <w:ind w:left="360"/>
              <w:spacing w:after="0"/>
              <w:rPr>
                <w:sz w:val="20"/>
                <w:szCs w:val="20"/>
                <w:color w:val="auto"/>
              </w:rPr>
            </w:pPr>
            <w:r>
              <w:rPr>
                <w:rFonts w:ascii="Arial" w:cs="Arial" w:eastAsia="Arial" w:hAnsi="Arial"/>
                <w:sz w:val="16"/>
                <w:szCs w:val="16"/>
                <w:b w:val="1"/>
                <w:bCs w:val="1"/>
                <w:color w:val="auto"/>
              </w:rPr>
              <w:t>150,000 authorized as of December 31, 2021 and 2020</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8460" w:type="dxa"/>
            <w:vAlign w:val="bottom"/>
          </w:tcPr>
          <w:p>
            <w:pPr>
              <w:ind w:left="360"/>
              <w:spacing w:after="0"/>
              <w:rPr>
                <w:sz w:val="20"/>
                <w:szCs w:val="20"/>
                <w:color w:val="auto"/>
              </w:rPr>
            </w:pPr>
            <w:r>
              <w:rPr>
                <w:rFonts w:ascii="Arial" w:cs="Arial" w:eastAsia="Arial" w:hAnsi="Arial"/>
                <w:sz w:val="16"/>
                <w:szCs w:val="16"/>
                <w:b w:val="1"/>
                <w:bCs w:val="1"/>
                <w:color w:val="auto"/>
              </w:rPr>
              <w:t>108,970 and 108,883 issued and outstanding, respectively, as of December 31, 2021</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8460" w:type="dxa"/>
            <w:vAlign w:val="bottom"/>
          </w:tcPr>
          <w:p>
            <w:pPr>
              <w:ind w:left="360"/>
              <w:spacing w:after="0"/>
              <w:rPr>
                <w:sz w:val="20"/>
                <w:szCs w:val="20"/>
                <w:color w:val="auto"/>
              </w:rPr>
            </w:pPr>
            <w:r>
              <w:rPr>
                <w:rFonts w:ascii="Arial" w:cs="Arial" w:eastAsia="Arial" w:hAnsi="Arial"/>
                <w:sz w:val="16"/>
                <w:szCs w:val="16"/>
                <w:b w:val="1"/>
                <w:bCs w:val="1"/>
                <w:color w:val="auto"/>
              </w:rPr>
              <w:t>108,010 and 107,923 issued and outstanding, respectively, as of December 31, 2020</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846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Additional paid-in capital</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1,389,051</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1,393,095</w:t>
            </w:r>
          </w:p>
        </w:tc>
      </w:tr>
      <w:tr>
        <w:trPr>
          <w:trHeight w:val="197"/>
        </w:trPr>
        <w:tc>
          <w:tcPr>
            <w:tcW w:w="8460" w:type="dxa"/>
            <w:vAlign w:val="bottom"/>
          </w:tcPr>
          <w:p>
            <w:pPr>
              <w:ind w:left="360"/>
              <w:spacing w:after="0"/>
              <w:rPr>
                <w:sz w:val="20"/>
                <w:szCs w:val="20"/>
                <w:color w:val="auto"/>
              </w:rPr>
            </w:pPr>
            <w:r>
              <w:rPr>
                <w:rFonts w:ascii="Arial" w:cs="Arial" w:eastAsia="Arial" w:hAnsi="Arial"/>
                <w:sz w:val="16"/>
                <w:szCs w:val="16"/>
                <w:b w:val="1"/>
                <w:bCs w:val="1"/>
                <w:color w:val="auto"/>
              </w:rPr>
              <w:t>Cumulative stock based compensation</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149,906</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124,762</w:t>
            </w:r>
          </w:p>
        </w:tc>
      </w:tr>
      <w:tr>
        <w:trPr>
          <w:trHeight w:val="197"/>
        </w:trPr>
        <w:tc>
          <w:tcPr>
            <w:tcW w:w="846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Accumulated other comprehensive loss</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(27,883)</w:t>
            </w: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(16,509)</w:t>
            </w:r>
          </w:p>
        </w:tc>
      </w:tr>
      <w:tr>
        <w:trPr>
          <w:trHeight w:val="201"/>
        </w:trPr>
        <w:tc>
          <w:tcPr>
            <w:tcW w:w="8460" w:type="dxa"/>
            <w:vAlign w:val="bottom"/>
          </w:tcPr>
          <w:p>
            <w:pPr>
              <w:ind w:left="360"/>
              <w:spacing w:after="0"/>
              <w:rPr>
                <w:sz w:val="20"/>
                <w:szCs w:val="20"/>
                <w:color w:val="auto"/>
              </w:rPr>
            </w:pPr>
            <w:r>
              <w:rPr>
                <w:rFonts w:ascii="Arial" w:cs="Arial" w:eastAsia="Arial" w:hAnsi="Arial"/>
                <w:sz w:val="16"/>
                <w:szCs w:val="16"/>
                <w:b w:val="1"/>
                <w:bCs w:val="1"/>
                <w:color w:val="auto"/>
              </w:rPr>
              <w:t>Accumulated deficit</w:t>
            </w:r>
          </w:p>
        </w:tc>
        <w:tc>
          <w:tcPr>
            <w:tcW w:w="2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(315,448)</w:t>
            </w:r>
          </w:p>
        </w:tc>
        <w:tc>
          <w:tcPr>
            <w:tcW w:w="4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(465,460)</w:t>
            </w:r>
          </w:p>
        </w:tc>
      </w:tr>
      <w:tr>
        <w:trPr>
          <w:trHeight w:val="197"/>
        </w:trPr>
        <w:tc>
          <w:tcPr>
            <w:tcW w:w="84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1,631,079</w:t>
            </w:r>
          </w:p>
        </w:tc>
        <w:tc>
          <w:tcPr>
            <w:tcW w:w="22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1,466,884</w:t>
            </w:r>
          </w:p>
        </w:tc>
        <w:tc>
          <w:tcPr>
            <w:tcW w:w="100" w:type="dxa"/>
            <w:vAlign w:val="bottom"/>
            <w:shd w:val="clear" w:color="auto" w:fill="CCEEFF"/>
          </w:tcPr>
          <w:p>
            <w:pPr>
              <w:spacing w:after="0"/>
              <w:rPr>
                <w:sz w:val="17"/>
                <w:szCs w:val="17"/>
                <w:color w:val="auto"/>
              </w:rPr>
            </w:pPr>
          </w:p>
        </w:tc>
      </w:tr>
      <w:tr>
        <w:trPr>
          <w:trHeight w:val="201"/>
        </w:trPr>
        <w:tc>
          <w:tcPr>
            <w:tcW w:w="8460" w:type="dxa"/>
            <w:vAlign w:val="bottom"/>
          </w:tcPr>
          <w:p>
            <w:pPr>
              <w:ind w:left="360"/>
              <w:spacing w:after="0"/>
              <w:rPr>
                <w:sz w:val="20"/>
                <w:szCs w:val="20"/>
                <w:color w:val="auto"/>
              </w:rPr>
            </w:pPr>
            <w:r>
              <w:rPr>
                <w:rFonts w:ascii="Arial" w:cs="Arial" w:eastAsia="Arial" w:hAnsi="Arial"/>
                <w:sz w:val="16"/>
                <w:szCs w:val="16"/>
                <w:b w:val="1"/>
                <w:bCs w:val="1"/>
                <w:color w:val="auto"/>
              </w:rPr>
              <w:t>Treasury stock, at cost - 87 shares</w:t>
            </w:r>
          </w:p>
        </w:tc>
        <w:tc>
          <w:tcPr>
            <w:tcW w:w="2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(9,072)</w:t>
            </w:r>
          </w:p>
        </w:tc>
        <w:tc>
          <w:tcPr>
            <w:tcW w:w="4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(9,072)</w:t>
            </w:r>
          </w:p>
        </w:tc>
      </w:tr>
      <w:tr>
        <w:trPr>
          <w:trHeight w:val="197"/>
        </w:trPr>
        <w:tc>
          <w:tcPr>
            <w:tcW w:w="84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THE COMPANY'S SHAREHOLDERS' EQUITY</w:t>
            </w: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1,622,007</w:t>
            </w:r>
          </w:p>
        </w:tc>
        <w:tc>
          <w:tcPr>
            <w:tcW w:w="22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1,457,812</w:t>
            </w:r>
          </w:p>
        </w:tc>
        <w:tc>
          <w:tcPr>
            <w:tcW w:w="100" w:type="dxa"/>
            <w:vAlign w:val="bottom"/>
            <w:shd w:val="clear" w:color="auto" w:fill="CCEEFF"/>
          </w:tcPr>
          <w:p>
            <w:pPr>
              <w:spacing w:after="0"/>
              <w:rPr>
                <w:sz w:val="17"/>
                <w:szCs w:val="17"/>
                <w:color w:val="auto"/>
              </w:rPr>
            </w:pPr>
          </w:p>
        </w:tc>
      </w:tr>
      <w:tr>
        <w:trPr>
          <w:trHeight w:val="201"/>
        </w:trPr>
        <w:tc>
          <w:tcPr>
            <w:tcW w:w="8460" w:type="dxa"/>
            <w:vAlign w:val="bottom"/>
          </w:tcPr>
          <w:p>
            <w:pPr>
              <w:ind w:left="360"/>
              <w:spacing w:after="0"/>
              <w:rPr>
                <w:sz w:val="20"/>
                <w:szCs w:val="20"/>
                <w:color w:val="auto"/>
              </w:rPr>
            </w:pPr>
            <w:r>
              <w:rPr>
                <w:rFonts w:ascii="Arial" w:cs="Arial" w:eastAsia="Arial" w:hAnsi="Arial"/>
                <w:sz w:val="16"/>
                <w:szCs w:val="16"/>
                <w:b w:val="1"/>
                <w:bCs w:val="1"/>
                <w:color w:val="auto"/>
              </w:rPr>
              <w:t>Non-controlling interest</w:t>
            </w:r>
          </w:p>
        </w:tc>
        <w:tc>
          <w:tcPr>
            <w:tcW w:w="2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(6,618)</w:t>
            </w:r>
          </w:p>
        </w:tc>
        <w:tc>
          <w:tcPr>
            <w:tcW w:w="4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(2,910)</w:t>
            </w:r>
          </w:p>
        </w:tc>
      </w:tr>
      <w:tr>
        <w:trPr>
          <w:trHeight w:val="237"/>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TOTAL SHAREHOLDERS' EQUITY</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1,615,389</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1,454,902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8"/>
        </w:trPr>
        <w:tc>
          <w:tcPr>
            <w:tcW w:w="8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r>
      <w:tr>
        <w:trPr>
          <w:trHeight w:val="237"/>
        </w:trPr>
        <w:tc>
          <w:tcPr>
            <w:tcW w:w="84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TOTAL LIABILITIES AND SHAREHOLDERS' EQUITY</w:t>
            </w: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2,231,241</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2,094,149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Marketable securities are available-for-sale securities presented at fair value, net of an immaterial allowance for credit losses;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amortized cost of such marketable securities is $189,543 and $187,719 as of December 31, 2021 and December 31, 2020,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notes to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and shares in thousands,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8"/>
          </w:tcPr>
          <w:p>
            <w:pPr>
              <w:jc w:val="right"/>
              <w:ind w:right="138"/>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150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1,508,166</w:t>
            </w: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1,265,684</w:t>
            </w: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1,234,003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60" w:type="dxa"/>
            <w:vAlign w:val="bottom"/>
          </w:tcPr>
          <w:p>
            <w:pPr>
              <w:spacing w:after="0"/>
              <w:rPr>
                <w:sz w:val="20"/>
                <w:szCs w:val="20"/>
                <w:color w:val="auto"/>
              </w:rPr>
            </w:pPr>
            <w:r>
              <w:rPr>
                <w:rFonts w:ascii="Arial" w:cs="Arial" w:eastAsia="Arial" w:hAnsi="Arial"/>
                <w:sz w:val="16"/>
                <w:szCs w:val="16"/>
                <w:b w:val="1"/>
                <w:bCs w:val="1"/>
                <w:color w:val="auto"/>
              </w:rPr>
              <w:t>COST OF REVENUES</w:t>
            </w:r>
          </w:p>
        </w:tc>
        <w:tc>
          <w:tcPr>
            <w:tcW w:w="1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1,179,048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1,032,366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1,004,332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60" w:type="dxa"/>
            <w:vAlign w:val="bottom"/>
            <w:shd w:val="clear" w:color="auto" w:fill="CCEEFF"/>
          </w:tcPr>
          <w:p>
            <w:pPr>
              <w:ind w:left="260"/>
              <w:spacing w:after="0"/>
              <w:rPr>
                <w:sz w:val="20"/>
                <w:szCs w:val="20"/>
                <w:color w:val="auto"/>
              </w:rPr>
            </w:pPr>
            <w:r>
              <w:rPr>
                <w:rFonts w:ascii="Arial" w:cs="Arial" w:eastAsia="Arial" w:hAnsi="Arial"/>
                <w:sz w:val="16"/>
                <w:szCs w:val="16"/>
                <w:b w:val="1"/>
                <w:bCs w:val="1"/>
                <w:color w:val="auto"/>
              </w:rPr>
              <w:t>GROSS PROFIT</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329,118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233,318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229,671</w:t>
            </w:r>
          </w:p>
        </w:tc>
        <w:tc>
          <w:tcPr>
            <w:tcW w:w="0" w:type="dxa"/>
            <w:vAlign w:val="bottom"/>
          </w:tcPr>
          <w:p>
            <w:pPr>
              <w:spacing w:after="0"/>
              <w:rPr>
                <w:sz w:val="1"/>
                <w:szCs w:val="1"/>
                <w:color w:val="auto"/>
              </w:rPr>
            </w:pPr>
          </w:p>
        </w:tc>
      </w:tr>
      <w:tr>
        <w:trPr>
          <w:trHeight w:val="221"/>
        </w:trPr>
        <w:tc>
          <w:tcPr>
            <w:tcW w:w="576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OPERATING COSTS AND EXPENSES:</w:t>
            </w:r>
          </w:p>
        </w:tc>
        <w:tc>
          <w:tcPr>
            <w:tcW w:w="124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60" w:type="dxa"/>
            <w:vAlign w:val="bottom"/>
            <w:shd w:val="clear" w:color="auto" w:fill="CCEEFF"/>
          </w:tcPr>
          <w:p>
            <w:pPr>
              <w:ind w:left="300"/>
              <w:spacing w:after="0"/>
              <w:rPr>
                <w:sz w:val="20"/>
                <w:szCs w:val="20"/>
                <w:color w:val="auto"/>
              </w:rPr>
            </w:pPr>
            <w:r>
              <w:rPr>
                <w:rFonts w:ascii="Arial" w:cs="Arial" w:eastAsia="Arial" w:hAnsi="Arial"/>
                <w:sz w:val="16"/>
                <w:szCs w:val="16"/>
                <w:b w:val="1"/>
                <w:bCs w:val="1"/>
                <w:color w:val="auto"/>
              </w:rPr>
              <w:t>Research and development</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85,386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78,320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75,579</w:t>
            </w:r>
          </w:p>
        </w:tc>
        <w:tc>
          <w:tcPr>
            <w:tcW w:w="0" w:type="dxa"/>
            <w:vAlign w:val="bottom"/>
          </w:tcPr>
          <w:p>
            <w:pPr>
              <w:spacing w:after="0"/>
              <w:rPr>
                <w:sz w:val="1"/>
                <w:szCs w:val="1"/>
                <w:color w:val="auto"/>
              </w:rPr>
            </w:pPr>
          </w:p>
        </w:tc>
      </w:tr>
      <w:tr>
        <w:trPr>
          <w:trHeight w:val="221"/>
        </w:trPr>
        <w:tc>
          <w:tcPr>
            <w:tcW w:w="5760" w:type="dxa"/>
            <w:vAlign w:val="bottom"/>
          </w:tcPr>
          <w:p>
            <w:pPr>
              <w:ind w:left="300"/>
              <w:spacing w:after="0"/>
              <w:rPr>
                <w:sz w:val="20"/>
                <w:szCs w:val="20"/>
                <w:color w:val="auto"/>
              </w:rPr>
            </w:pPr>
            <w:r>
              <w:rPr>
                <w:rFonts w:ascii="Arial" w:cs="Arial" w:eastAsia="Arial" w:hAnsi="Arial"/>
                <w:sz w:val="16"/>
                <w:szCs w:val="16"/>
                <w:b w:val="1"/>
                <w:bCs w:val="1"/>
                <w:color w:val="auto"/>
              </w:rPr>
              <w:t>Marketing, general and administrative</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77,221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63,965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67,376</w:t>
            </w:r>
          </w:p>
        </w:tc>
        <w:tc>
          <w:tcPr>
            <w:tcW w:w="0" w:type="dxa"/>
            <w:vAlign w:val="bottom"/>
          </w:tcPr>
          <w:p>
            <w:pPr>
              <w:spacing w:after="0"/>
              <w:rPr>
                <w:sz w:val="1"/>
                <w:szCs w:val="1"/>
                <w:color w:val="auto"/>
              </w:rPr>
            </w:pPr>
          </w:p>
        </w:tc>
      </w:tr>
      <w:tr>
        <w:trPr>
          <w:trHeight w:val="25"/>
        </w:trPr>
        <w:tc>
          <w:tcPr>
            <w:tcW w:w="5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57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162,607</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142,285</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142,955</w:t>
            </w:r>
          </w:p>
        </w:tc>
        <w:tc>
          <w:tcPr>
            <w:tcW w:w="0" w:type="dxa"/>
            <w:vAlign w:val="bottom"/>
          </w:tcPr>
          <w:p>
            <w:pPr>
              <w:spacing w:after="0"/>
              <w:rPr>
                <w:sz w:val="1"/>
                <w:szCs w:val="1"/>
                <w:color w:val="auto"/>
              </w:rPr>
            </w:pPr>
          </w:p>
        </w:tc>
      </w:tr>
      <w:tr>
        <w:trPr>
          <w:trHeight w:val="199"/>
        </w:trPr>
        <w:tc>
          <w:tcPr>
            <w:tcW w:w="576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76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OPERATING PROFIT</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166,511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91,033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86,716</w:t>
            </w:r>
          </w:p>
        </w:tc>
        <w:tc>
          <w:tcPr>
            <w:tcW w:w="0" w:type="dxa"/>
            <w:vAlign w:val="bottom"/>
          </w:tcPr>
          <w:p>
            <w:pPr>
              <w:spacing w:after="0"/>
              <w:rPr>
                <w:sz w:val="1"/>
                <w:szCs w:val="1"/>
                <w:color w:val="auto"/>
              </w:rPr>
            </w:pPr>
          </w:p>
        </w:tc>
      </w:tr>
      <w:tr>
        <w:trPr>
          <w:trHeight w:val="221"/>
        </w:trPr>
        <w:tc>
          <w:tcPr>
            <w:tcW w:w="5760" w:type="dxa"/>
            <w:vAlign w:val="bottom"/>
          </w:tcPr>
          <w:p>
            <w:pPr>
              <w:spacing w:after="0"/>
              <w:rPr>
                <w:sz w:val="20"/>
                <w:szCs w:val="20"/>
                <w:color w:val="auto"/>
              </w:rPr>
            </w:pPr>
            <w:r>
              <w:rPr>
                <w:rFonts w:ascii="Arial" w:cs="Arial" w:eastAsia="Arial" w:hAnsi="Arial"/>
                <w:sz w:val="16"/>
                <w:szCs w:val="16"/>
                <w:b w:val="1"/>
                <w:bCs w:val="1"/>
                <w:color w:val="auto"/>
              </w:rPr>
              <w:t>FINANCING INCOME (EXPENSE), NET</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(12,873)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2,870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 (EXPENSE), NET</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(5,215)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4,293</w:t>
            </w:r>
          </w:p>
        </w:tc>
        <w:tc>
          <w:tcPr>
            <w:tcW w:w="0" w:type="dxa"/>
            <w:vAlign w:val="bottom"/>
          </w:tcPr>
          <w:p>
            <w:pPr>
              <w:spacing w:after="0"/>
              <w:rPr>
                <w:sz w:val="1"/>
                <w:szCs w:val="1"/>
                <w:color w:val="auto"/>
              </w:rPr>
            </w:pPr>
          </w:p>
        </w:tc>
      </w:tr>
      <w:tr>
        <w:trPr>
          <w:trHeight w:val="25"/>
        </w:trPr>
        <w:tc>
          <w:tcPr>
            <w:tcW w:w="57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760" w:type="dxa"/>
            <w:vAlign w:val="bottom"/>
          </w:tcPr>
          <w:p>
            <w:pPr>
              <w:ind w:left="500"/>
              <w:spacing w:after="0"/>
              <w:rPr>
                <w:sz w:val="20"/>
                <w:szCs w:val="20"/>
                <w:color w:val="auto"/>
              </w:rPr>
            </w:pPr>
            <w:r>
              <w:rPr>
                <w:rFonts w:ascii="Arial" w:cs="Arial" w:eastAsia="Arial" w:hAnsi="Arial"/>
                <w:sz w:val="16"/>
                <w:szCs w:val="16"/>
                <w:b w:val="1"/>
                <w:bCs w:val="1"/>
                <w:color w:val="auto"/>
              </w:rPr>
              <w:t>PROFIT BEFORE INCOME TAX</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155,099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88,688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91,021</w:t>
            </w:r>
          </w:p>
        </w:tc>
        <w:tc>
          <w:tcPr>
            <w:tcW w:w="0" w:type="dxa"/>
            <w:vAlign w:val="bottom"/>
          </w:tcPr>
          <w:p>
            <w:pPr>
              <w:spacing w:after="0"/>
              <w:rPr>
                <w:sz w:val="1"/>
                <w:szCs w:val="1"/>
                <w:color w:val="auto"/>
              </w:rPr>
            </w:pPr>
          </w:p>
        </w:tc>
      </w:tr>
      <w:tr>
        <w:trPr>
          <w:trHeight w:val="222"/>
        </w:trPr>
        <w:tc>
          <w:tcPr>
            <w:tcW w:w="5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TAX EXPENSE, NET</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(1,024)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(5,399)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(2,948)</w:t>
            </w:r>
          </w:p>
        </w:tc>
        <w:tc>
          <w:tcPr>
            <w:tcW w:w="0" w:type="dxa"/>
            <w:vAlign w:val="bottom"/>
          </w:tcPr>
          <w:p>
            <w:pPr>
              <w:spacing w:after="0"/>
              <w:rPr>
                <w:sz w:val="1"/>
                <w:szCs w:val="1"/>
                <w:color w:val="auto"/>
              </w:rPr>
            </w:pPr>
          </w:p>
        </w:tc>
      </w:tr>
      <w:tr>
        <w:trPr>
          <w:trHeight w:val="25"/>
        </w:trPr>
        <w:tc>
          <w:tcPr>
            <w:tcW w:w="57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760" w:type="dxa"/>
            <w:vAlign w:val="bottom"/>
          </w:tcPr>
          <w:p>
            <w:pPr>
              <w:ind w:left="500"/>
              <w:spacing w:after="0"/>
              <w:rPr>
                <w:sz w:val="20"/>
                <w:szCs w:val="20"/>
                <w:color w:val="auto"/>
              </w:rPr>
            </w:pPr>
            <w:r>
              <w:rPr>
                <w:rFonts w:ascii="Arial" w:cs="Arial" w:eastAsia="Arial" w:hAnsi="Arial"/>
                <w:sz w:val="16"/>
                <w:szCs w:val="16"/>
                <w:b w:val="1"/>
                <w:bCs w:val="1"/>
                <w:color w:val="auto"/>
              </w:rPr>
              <w:t>NET PROFIT</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154,075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83,289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88,073</w:t>
            </w:r>
          </w:p>
        </w:tc>
        <w:tc>
          <w:tcPr>
            <w:tcW w:w="0" w:type="dxa"/>
            <w:vAlign w:val="bottom"/>
          </w:tcPr>
          <w:p>
            <w:pPr>
              <w:spacing w:after="0"/>
              <w:rPr>
                <w:sz w:val="1"/>
                <w:szCs w:val="1"/>
                <w:color w:val="auto"/>
              </w:rPr>
            </w:pPr>
          </w:p>
        </w:tc>
      </w:tr>
      <w:tr>
        <w:trPr>
          <w:trHeight w:val="222"/>
        </w:trPr>
        <w:tc>
          <w:tcPr>
            <w:tcW w:w="5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 (income) attributable to non-controlling interest</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(4,063)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(987)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1,975</w:t>
            </w:r>
          </w:p>
        </w:tc>
        <w:tc>
          <w:tcPr>
            <w:tcW w:w="0" w:type="dxa"/>
            <w:vAlign w:val="bottom"/>
          </w:tcPr>
          <w:p>
            <w:pPr>
              <w:spacing w:after="0"/>
              <w:rPr>
                <w:sz w:val="1"/>
                <w:szCs w:val="1"/>
                <w:color w:val="auto"/>
              </w:rPr>
            </w:pPr>
          </w:p>
        </w:tc>
      </w:tr>
      <w:tr>
        <w:trPr>
          <w:trHeight w:val="25"/>
        </w:trPr>
        <w:tc>
          <w:tcPr>
            <w:tcW w:w="57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tcPr>
          <w:p>
            <w:pPr>
              <w:ind w:left="500"/>
              <w:spacing w:after="0"/>
              <w:rPr>
                <w:sz w:val="20"/>
                <w:szCs w:val="20"/>
                <w:color w:val="auto"/>
              </w:rPr>
            </w:pPr>
            <w:r>
              <w:rPr>
                <w:rFonts w:ascii="Arial" w:cs="Arial" w:eastAsia="Arial" w:hAnsi="Arial"/>
                <w:sz w:val="16"/>
                <w:szCs w:val="16"/>
                <w:b w:val="1"/>
                <w:bCs w:val="1"/>
                <w:color w:val="auto"/>
              </w:rPr>
              <w:t>NET PROFIT ATTRIBUTABLE TO THE COMPANY</w:t>
            </w:r>
          </w:p>
        </w:tc>
        <w:tc>
          <w:tcPr>
            <w:tcW w:w="1500" w:type="dxa"/>
            <w:vAlign w:val="bottom"/>
            <w:gridSpan w:val="2"/>
          </w:tcPr>
          <w:p>
            <w:pPr>
              <w:jc w:val="right"/>
              <w:ind w:right="98"/>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150,012</w:t>
            </w:r>
          </w:p>
        </w:tc>
        <w:tc>
          <w:tcPr>
            <w:tcW w:w="140" w:type="dxa"/>
            <w:vAlign w:val="bottom"/>
          </w:tcPr>
          <w:p>
            <w:pPr>
              <w:spacing w:after="0"/>
              <w:rPr>
                <w:sz w:val="17"/>
                <w:szCs w:val="17"/>
                <w:color w:val="auto"/>
              </w:rPr>
            </w:pPr>
          </w:p>
        </w:tc>
        <w:tc>
          <w:tcPr>
            <w:tcW w:w="360" w:type="dxa"/>
            <w:vAlign w:val="bottom"/>
            <w:gridSpan w:val="2"/>
          </w:tcPr>
          <w:p>
            <w:pPr>
              <w:jc w:val="right"/>
              <w:ind w:right="118"/>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82,302</w:t>
            </w:r>
          </w:p>
        </w:tc>
        <w:tc>
          <w:tcPr>
            <w:tcW w:w="360" w:type="dxa"/>
            <w:vAlign w:val="bottom"/>
            <w:gridSpan w:val="2"/>
          </w:tcPr>
          <w:p>
            <w:pPr>
              <w:jc w:val="right"/>
              <w:ind w:right="118"/>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90,048</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EARNINGS PER SHARE</w:t>
            </w: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60" w:type="dxa"/>
            <w:vAlign w:val="bottom"/>
          </w:tcPr>
          <w:p>
            <w:pPr>
              <w:ind w:left="500"/>
              <w:spacing w:after="0"/>
              <w:rPr>
                <w:sz w:val="20"/>
                <w:szCs w:val="20"/>
                <w:color w:val="auto"/>
              </w:rPr>
            </w:pPr>
            <w:r>
              <w:rPr>
                <w:rFonts w:ascii="Arial" w:cs="Arial" w:eastAsia="Arial" w:hAnsi="Arial"/>
                <w:sz w:val="16"/>
                <w:szCs w:val="16"/>
                <w:b w:val="1"/>
                <w:bCs w:val="1"/>
                <w:color w:val="auto"/>
              </w:rPr>
              <w:t>Earnings per share</w:t>
            </w:r>
          </w:p>
        </w:tc>
        <w:tc>
          <w:tcPr>
            <w:tcW w:w="1240" w:type="dxa"/>
            <w:vAlign w:val="bottom"/>
          </w:tcPr>
          <w:p>
            <w:pPr>
              <w:spacing w:after="0"/>
              <w:rPr>
                <w:sz w:val="17"/>
                <w:szCs w:val="17"/>
                <w:color w:val="auto"/>
              </w:rPr>
            </w:pPr>
          </w:p>
        </w:tc>
        <w:tc>
          <w:tcPr>
            <w:tcW w:w="260" w:type="dxa"/>
            <w:vAlign w:val="bottom"/>
          </w:tcPr>
          <w:p>
            <w:pPr>
              <w:jc w:val="right"/>
              <w:ind w:right="78"/>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0.77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0.85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76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Weighted average number of shares</w:t>
            </w:r>
          </w:p>
        </w:tc>
        <w:tc>
          <w:tcPr>
            <w:tcW w:w="1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108,279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107,254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106,256</w:t>
            </w:r>
          </w:p>
        </w:tc>
        <w:tc>
          <w:tcPr>
            <w:tcW w:w="0" w:type="dxa"/>
            <w:vAlign w:val="bottom"/>
          </w:tcPr>
          <w:p>
            <w:pPr>
              <w:spacing w:after="0"/>
              <w:rPr>
                <w:sz w:val="1"/>
                <w:szCs w:val="1"/>
                <w:color w:val="auto"/>
              </w:rPr>
            </w:pPr>
          </w:p>
        </w:tc>
      </w:tr>
      <w:tr>
        <w:trPr>
          <w:trHeight w:val="198"/>
        </w:trPr>
        <w:tc>
          <w:tcPr>
            <w:tcW w:w="576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DILUTED EARNINGS PER ORDINARY SHARE:</w:t>
            </w:r>
          </w:p>
        </w:tc>
        <w:tc>
          <w:tcPr>
            <w:tcW w:w="12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76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Earnings per share</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0.84</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760" w:type="dxa"/>
            <w:vAlign w:val="bottom"/>
          </w:tcPr>
          <w:p>
            <w:pPr>
              <w:ind w:left="500"/>
              <w:spacing w:after="0" w:line="174" w:lineRule="exact"/>
              <w:rPr>
                <w:sz w:val="20"/>
                <w:szCs w:val="20"/>
                <w:color w:val="auto"/>
              </w:rPr>
            </w:pPr>
            <w:r>
              <w:rPr>
                <w:rFonts w:ascii="Arial" w:cs="Arial" w:eastAsia="Arial" w:hAnsi="Arial"/>
                <w:sz w:val="16"/>
                <w:szCs w:val="16"/>
                <w:b w:val="1"/>
                <w:bCs w:val="1"/>
                <w:color w:val="auto"/>
              </w:rPr>
              <w:t>Net profit used for diluted earnings per share</w:t>
            </w:r>
          </w:p>
        </w:tc>
        <w:tc>
          <w:tcPr>
            <w:tcW w:w="1240" w:type="dxa"/>
            <w:vAlign w:val="bottom"/>
          </w:tcPr>
          <w:p>
            <w:pPr>
              <w:spacing w:after="0"/>
              <w:rPr>
                <w:sz w:val="15"/>
                <w:szCs w:val="15"/>
                <w:color w:val="auto"/>
              </w:rPr>
            </w:pPr>
          </w:p>
        </w:tc>
        <w:tc>
          <w:tcPr>
            <w:tcW w:w="260" w:type="dxa"/>
            <w:vAlign w:val="bottom"/>
          </w:tcPr>
          <w:p>
            <w:pPr>
              <w:jc w:val="right"/>
              <w:ind w:right="78"/>
              <w:spacing w:after="0" w:line="174" w:lineRule="exact"/>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150,012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ind w:right="98"/>
              <w:spacing w:after="0" w:line="174" w:lineRule="exact"/>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82,302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ind w:right="98"/>
              <w:spacing w:after="0" w:line="174" w:lineRule="exact"/>
              <w:rPr>
                <w:sz w:val="20"/>
                <w:szCs w:val="20"/>
                <w:color w:val="auto"/>
              </w:rPr>
            </w:pPr>
            <w:r>
              <w:rPr>
                <w:rFonts w:ascii="Arial" w:cs="Arial" w:eastAsia="Arial" w:hAnsi="Arial"/>
                <w:sz w:val="16"/>
                <w:szCs w:val="16"/>
                <w:b w:val="1"/>
                <w:bCs w:val="1"/>
                <w:color w:val="auto"/>
                <w:w w:val="89"/>
              </w:rPr>
              <w:t>$</w:t>
            </w:r>
          </w:p>
        </w:tc>
        <w:tc>
          <w:tcPr>
            <w:tcW w:w="1060" w:type="dxa"/>
            <w:vAlign w:val="bottom"/>
            <w:gridSpan w:val="2"/>
          </w:tcPr>
          <w:p>
            <w:pPr>
              <w:jc w:val="right"/>
              <w:ind w:right="120"/>
              <w:spacing w:after="0" w:line="174" w:lineRule="exact"/>
              <w:rPr>
                <w:sz w:val="20"/>
                <w:szCs w:val="20"/>
                <w:color w:val="auto"/>
              </w:rPr>
            </w:pPr>
            <w:r>
              <w:rPr>
                <w:rFonts w:ascii="Arial" w:cs="Arial" w:eastAsia="Arial" w:hAnsi="Arial"/>
                <w:sz w:val="16"/>
                <w:szCs w:val="16"/>
                <w:b w:val="1"/>
                <w:bCs w:val="1"/>
                <w:color w:val="auto"/>
              </w:rPr>
              <w:t>90,048</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60" w:type="dxa"/>
            <w:vAlign w:val="bottom"/>
            <w:shd w:val="clear" w:color="auto" w:fill="CCEEFF"/>
          </w:tcPr>
          <w:p>
            <w:pPr>
              <w:ind w:left="500"/>
              <w:spacing w:after="0" w:line="157" w:lineRule="exact"/>
              <w:rPr>
                <w:sz w:val="20"/>
                <w:szCs w:val="20"/>
                <w:color w:val="auto"/>
              </w:rPr>
            </w:pPr>
            <w:r>
              <w:rPr>
                <w:rFonts w:ascii="Arial" w:cs="Arial" w:eastAsia="Arial" w:hAnsi="Arial"/>
                <w:sz w:val="16"/>
                <w:szCs w:val="16"/>
                <w:b w:val="1"/>
                <w:bCs w:val="1"/>
                <w:color w:val="auto"/>
              </w:rPr>
              <w:t>Weighted average number of ordinary shares outstanding</w:t>
            </w:r>
          </w:p>
        </w:tc>
        <w:tc>
          <w:tcPr>
            <w:tcW w:w="1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109,798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108,480</w:t>
            </w:r>
          </w:p>
        </w:tc>
        <w:tc>
          <w:tcPr>
            <w:tcW w:w="140" w:type="dxa"/>
            <w:vAlign w:val="bottom"/>
            <w:vMerge w:val="restart"/>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107,438</w:t>
            </w:r>
          </w:p>
        </w:tc>
        <w:tc>
          <w:tcPr>
            <w:tcW w:w="0" w:type="dxa"/>
            <w:vAlign w:val="bottom"/>
          </w:tcPr>
          <w:p>
            <w:pPr>
              <w:spacing w:after="0"/>
              <w:rPr>
                <w:sz w:val="1"/>
                <w:szCs w:val="1"/>
                <w:color w:val="auto"/>
              </w:rPr>
            </w:pPr>
          </w:p>
        </w:tc>
      </w:tr>
      <w:tr>
        <w:trPr>
          <w:trHeight w:val="196"/>
        </w:trPr>
        <w:tc>
          <w:tcPr>
            <w:tcW w:w="5760" w:type="dxa"/>
            <w:vAlign w:val="bottom"/>
            <w:shd w:val="clear" w:color="auto" w:fill="CCEEFF"/>
          </w:tcPr>
          <w:p>
            <w:pPr>
              <w:ind w:left="660"/>
              <w:spacing w:after="0" w:line="177" w:lineRule="exact"/>
              <w:rPr>
                <w:sz w:val="20"/>
                <w:szCs w:val="20"/>
                <w:color w:val="auto"/>
              </w:rPr>
            </w:pPr>
            <w:r>
              <w:rPr>
                <w:rFonts w:ascii="Arial" w:cs="Arial" w:eastAsia="Arial" w:hAnsi="Arial"/>
                <w:sz w:val="16"/>
                <w:szCs w:val="16"/>
                <w:b w:val="1"/>
                <w:bCs w:val="1"/>
                <w:color w:val="auto"/>
              </w:rPr>
              <w:t>used for diluted earnings per share</w:t>
            </w: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notes to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1"/>
        </w:trPr>
        <w:tc>
          <w:tcPr>
            <w:tcW w:w="7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r>
      <w:tr>
        <w:trPr>
          <w:trHeight w:val="221"/>
        </w:trPr>
        <w:tc>
          <w:tcPr>
            <w:tcW w:w="7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profit</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154,075</w:t>
            </w: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23"/>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83,289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88,073</w:t>
            </w:r>
          </w:p>
        </w:tc>
      </w:tr>
      <w:tr>
        <w:trPr>
          <w:trHeight w:val="221"/>
        </w:trPr>
        <w:tc>
          <w:tcPr>
            <w:tcW w:w="7000" w:type="dxa"/>
            <w:vAlign w:val="bottom"/>
          </w:tcPr>
          <w:p>
            <w:pPr>
              <w:spacing w:after="0"/>
              <w:rPr>
                <w:sz w:val="20"/>
                <w:szCs w:val="20"/>
                <w:color w:val="auto"/>
              </w:rPr>
            </w:pPr>
            <w:r>
              <w:rPr>
                <w:rFonts w:ascii="Arial" w:cs="Arial" w:eastAsia="Arial" w:hAnsi="Arial"/>
                <w:sz w:val="16"/>
                <w:szCs w:val="16"/>
                <w:b w:val="1"/>
                <w:bCs w:val="1"/>
                <w:color w:val="auto"/>
              </w:rPr>
              <w:t>Other comprehensive income, net of tax:</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2"/>
        </w:trPr>
        <w:tc>
          <w:tcPr>
            <w:tcW w:w="7000" w:type="dxa"/>
            <w:vAlign w:val="bottom"/>
            <w:shd w:val="clear" w:color="auto" w:fill="CCEEFF"/>
          </w:tcPr>
          <w:p>
            <w:pPr>
              <w:ind w:left="260"/>
              <w:spacing w:after="0"/>
              <w:rPr>
                <w:sz w:val="20"/>
                <w:szCs w:val="20"/>
                <w:color w:val="auto"/>
              </w:rPr>
            </w:pPr>
            <w:r>
              <w:rPr>
                <w:rFonts w:ascii="Arial" w:cs="Arial" w:eastAsia="Arial" w:hAnsi="Arial"/>
                <w:sz w:val="16"/>
                <w:szCs w:val="16"/>
                <w:b w:val="1"/>
                <w:bCs w:val="1"/>
                <w:color w:val="auto"/>
              </w:rPr>
              <w:t>Foreign currency translation adjustment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(18,995)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7,830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3,478</w:t>
            </w:r>
          </w:p>
        </w:tc>
      </w:tr>
      <w:tr>
        <w:trPr>
          <w:trHeight w:val="221"/>
        </w:trPr>
        <w:tc>
          <w:tcPr>
            <w:tcW w:w="7000" w:type="dxa"/>
            <w:vAlign w:val="bottom"/>
          </w:tcPr>
          <w:p>
            <w:pPr>
              <w:ind w:left="260"/>
              <w:spacing w:after="0"/>
              <w:rPr>
                <w:sz w:val="20"/>
                <w:szCs w:val="20"/>
                <w:color w:val="auto"/>
              </w:rPr>
            </w:pPr>
            <w:r>
              <w:rPr>
                <w:rFonts w:ascii="Arial" w:cs="Arial" w:eastAsia="Arial" w:hAnsi="Arial"/>
                <w:sz w:val="16"/>
                <w:szCs w:val="16"/>
                <w:b w:val="1"/>
                <w:bCs w:val="1"/>
                <w:color w:val="auto"/>
              </w:rPr>
              <w:t>Change in employees plan assets and benefit obligations, net of taxes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(394)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(1,118)</w:t>
            </w:r>
          </w:p>
        </w:tc>
      </w:tr>
      <w:tr>
        <w:trPr>
          <w:trHeight w:val="222"/>
        </w:trPr>
        <w:tc>
          <w:tcPr>
            <w:tcW w:w="7000" w:type="dxa"/>
            <w:vAlign w:val="bottom"/>
            <w:shd w:val="clear" w:color="auto" w:fill="CCEEFF"/>
          </w:tcPr>
          <w:p>
            <w:pPr>
              <w:ind w:left="260"/>
              <w:spacing w:after="0"/>
              <w:rPr>
                <w:sz w:val="20"/>
                <w:szCs w:val="20"/>
                <w:color w:val="auto"/>
              </w:rPr>
            </w:pPr>
            <w:r>
              <w:rPr>
                <w:rFonts w:ascii="Arial" w:cs="Arial" w:eastAsia="Arial" w:hAnsi="Arial"/>
                <w:sz w:val="16"/>
                <w:szCs w:val="16"/>
                <w:b w:val="1"/>
                <w:bCs w:val="1"/>
                <w:color w:val="auto"/>
              </w:rPr>
              <w:t>Unrealized gain (loss) on derivatives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(859)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(1,774)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3,696</w:t>
            </w:r>
          </w:p>
        </w:tc>
      </w:tr>
      <w:tr>
        <w:trPr>
          <w:trHeight w:val="25"/>
        </w:trPr>
        <w:tc>
          <w:tcPr>
            <w:tcW w:w="70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21"/>
        </w:trPr>
        <w:tc>
          <w:tcPr>
            <w:tcW w:w="7000" w:type="dxa"/>
            <w:vAlign w:val="bottom"/>
          </w:tcPr>
          <w:p>
            <w:pPr>
              <w:ind w:left="260"/>
              <w:spacing w:after="0"/>
              <w:rPr>
                <w:sz w:val="20"/>
                <w:szCs w:val="20"/>
                <w:color w:val="auto"/>
              </w:rPr>
            </w:pPr>
            <w:r>
              <w:rPr>
                <w:rFonts w:ascii="Arial" w:cs="Arial" w:eastAsia="Arial" w:hAnsi="Arial"/>
                <w:sz w:val="16"/>
                <w:szCs w:val="16"/>
                <w:b w:val="1"/>
                <w:bCs w:val="1"/>
                <w:color w:val="auto"/>
              </w:rPr>
              <w:t>Comprehensive income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134,930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88,951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94,129</w:t>
            </w:r>
          </w:p>
        </w:tc>
      </w:tr>
      <w:tr>
        <w:trPr>
          <w:trHeight w:val="222"/>
        </w:trPr>
        <w:tc>
          <w:tcPr>
            <w:tcW w:w="7000" w:type="dxa"/>
            <w:vAlign w:val="bottom"/>
            <w:shd w:val="clear" w:color="auto" w:fill="CCEEFF"/>
          </w:tcPr>
          <w:p>
            <w:pPr>
              <w:ind w:left="260"/>
              <w:spacing w:after="0"/>
              <w:rPr>
                <w:sz w:val="20"/>
                <w:szCs w:val="20"/>
                <w:color w:val="auto"/>
              </w:rPr>
            </w:pPr>
            <w:r>
              <w:rPr>
                <w:rFonts w:ascii="Arial" w:cs="Arial" w:eastAsia="Arial" w:hAnsi="Arial"/>
                <w:sz w:val="16"/>
                <w:szCs w:val="16"/>
                <w:b w:val="1"/>
                <w:bCs w:val="1"/>
                <w:color w:val="auto"/>
              </w:rPr>
              <w:t>Comprehensive loss (income) attributable to non-controlling interest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3,708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(4,914)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1,063</w:t>
            </w:r>
          </w:p>
        </w:tc>
      </w:tr>
      <w:tr>
        <w:trPr>
          <w:trHeight w:val="25"/>
        </w:trPr>
        <w:tc>
          <w:tcPr>
            <w:tcW w:w="70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7"/>
        </w:trPr>
        <w:tc>
          <w:tcPr>
            <w:tcW w:w="7000" w:type="dxa"/>
            <w:vAlign w:val="bottom"/>
          </w:tcPr>
          <w:p>
            <w:pPr>
              <w:ind w:left="400"/>
              <w:spacing w:after="0"/>
              <w:rPr>
                <w:sz w:val="20"/>
                <w:szCs w:val="20"/>
                <w:color w:val="auto"/>
              </w:rPr>
            </w:pPr>
            <w:r>
              <w:rPr>
                <w:rFonts w:ascii="Arial" w:cs="Arial" w:eastAsia="Arial" w:hAnsi="Arial"/>
                <w:sz w:val="16"/>
                <w:szCs w:val="16"/>
                <w:b w:val="1"/>
                <w:bCs w:val="1"/>
                <w:color w:val="auto"/>
              </w:rPr>
              <w:t>Comprehensive income attributable to the Company</w:t>
            </w:r>
          </w:p>
        </w:tc>
        <w:tc>
          <w:tcPr>
            <w:tcW w:w="260" w:type="dxa"/>
            <w:vAlign w:val="bottom"/>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138,638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84,037</w:t>
            </w:r>
          </w:p>
        </w:tc>
        <w:tc>
          <w:tcPr>
            <w:tcW w:w="140" w:type="dxa"/>
            <w:vAlign w:val="bottom"/>
          </w:tcPr>
          <w:p>
            <w:pPr>
              <w:spacing w:after="0"/>
              <w:rPr>
                <w:sz w:val="17"/>
                <w:szCs w:val="17"/>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95,192</w:t>
            </w:r>
          </w:p>
        </w:tc>
      </w:tr>
      <w:tr>
        <w:trPr>
          <w:trHeight w:val="20"/>
        </w:trPr>
        <w:tc>
          <w:tcPr>
            <w:tcW w:w="7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notes to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 w:name="page11"/>
    <w:bookmarkEnd w:id="10"/>
    <w:p>
      <w:pPr>
        <w:jc w:val="center"/>
        <w:ind w:right="100"/>
        <w:spacing w:after="0" w:line="274" w:lineRule="auto"/>
        <w:rPr>
          <w:sz w:val="20"/>
          <w:szCs w:val="20"/>
          <w:color w:val="auto"/>
        </w:rPr>
      </w:pPr>
      <w:r>
        <w:rPr>
          <w:rFonts w:ascii="Arial" w:cs="Arial" w:eastAsia="Arial" w:hAnsi="Arial"/>
          <w:sz w:val="16"/>
          <w:szCs w:val="16"/>
          <w:b w:val="1"/>
          <w:bCs w:val="1"/>
          <w:color w:val="auto"/>
        </w:rPr>
        <w:t xml:space="preserve">TOWER SEMICONDUCTOR LTD. AND SUBSIDIARIES CONSOLIDATED STATEMENT OF CHANGES IN SHAREHOLDERS' EQUITY </w:t>
      </w:r>
      <w:r>
        <w:rPr>
          <w:rFonts w:ascii="Arial" w:cs="Arial" w:eastAsia="Arial" w:hAnsi="Arial"/>
          <w:sz w:val="16"/>
          <w:szCs w:val="16"/>
          <w:color w:val="auto"/>
        </w:rPr>
        <w:t>(dollars and share data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4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0" w:type="dxa"/>
            <w:vAlign w:val="bottom"/>
            <w:tcBorders>
              <w:bottom w:val="single" w:sz="8" w:color="auto"/>
            </w:tcBorders>
            <w:gridSpan w:val="16"/>
          </w:tcPr>
          <w:p>
            <w:pPr>
              <w:jc w:val="right"/>
              <w:ind w:right="480"/>
              <w:spacing w:after="0"/>
              <w:rPr>
                <w:sz w:val="20"/>
                <w:szCs w:val="20"/>
                <w:color w:val="auto"/>
              </w:rPr>
            </w:pPr>
            <w:r>
              <w:rPr>
                <w:rFonts w:ascii="Arial" w:cs="Arial" w:eastAsia="Arial" w:hAnsi="Arial"/>
                <w:sz w:val="13"/>
                <w:szCs w:val="13"/>
                <w:b w:val="1"/>
                <w:bCs w:val="1"/>
                <w:color w:val="auto"/>
              </w:rPr>
              <w:t>THE COMPANY'S SHAREHOLDERS' EQUITY</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15"/>
        </w:trPr>
        <w:tc>
          <w:tcPr>
            <w:tcW w:w="2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80"/>
              <w:spacing w:after="0" w:line="115" w:lineRule="exact"/>
              <w:rPr>
                <w:sz w:val="20"/>
                <w:szCs w:val="20"/>
                <w:color w:val="auto"/>
              </w:rPr>
            </w:pPr>
            <w:r>
              <w:rPr>
                <w:rFonts w:ascii="Arial" w:cs="Arial" w:eastAsia="Arial" w:hAnsi="Arial"/>
                <w:sz w:val="13"/>
                <w:szCs w:val="13"/>
                <w:b w:val="1"/>
                <w:bCs w:val="1"/>
                <w:color w:val="auto"/>
                <w:w w:val="90"/>
              </w:rPr>
              <w:t>Accumulated</w:t>
            </w:r>
          </w:p>
        </w:tc>
        <w:tc>
          <w:tcPr>
            <w:tcW w:w="80" w:type="dxa"/>
            <w:vAlign w:val="bottom"/>
          </w:tcPr>
          <w:p>
            <w:pPr>
              <w:spacing w:after="0"/>
              <w:rPr>
                <w:sz w:val="10"/>
                <w:szCs w:val="10"/>
                <w:color w:val="auto"/>
              </w:rPr>
            </w:pPr>
          </w:p>
        </w:tc>
        <w:tc>
          <w:tcPr>
            <w:tcW w:w="640" w:type="dxa"/>
            <w:vAlign w:val="bottom"/>
            <w:gridSpan w:val="2"/>
          </w:tcPr>
          <w:p>
            <w:pPr>
              <w:jc w:val="right"/>
              <w:ind w:right="180"/>
              <w:spacing w:after="0" w:line="115" w:lineRule="exact"/>
              <w:rPr>
                <w:sz w:val="20"/>
                <w:szCs w:val="20"/>
                <w:color w:val="auto"/>
              </w:rPr>
            </w:pPr>
            <w:r>
              <w:rPr>
                <w:rFonts w:ascii="Arial" w:cs="Arial" w:eastAsia="Arial" w:hAnsi="Arial"/>
                <w:sz w:val="13"/>
                <w:szCs w:val="13"/>
                <w:b w:val="1"/>
                <w:bCs w:val="1"/>
                <w:color w:val="auto"/>
                <w:w w:val="92"/>
              </w:rPr>
              <w:t>Foreign</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2420" w:type="dxa"/>
            <w:vAlign w:val="bottom"/>
          </w:tcPr>
          <w:p>
            <w:pPr>
              <w:spacing w:after="0"/>
              <w:rPr>
                <w:sz w:val="11"/>
                <w:szCs w:val="11"/>
                <w:color w:val="auto"/>
              </w:rPr>
            </w:pPr>
          </w:p>
        </w:tc>
        <w:tc>
          <w:tcPr>
            <w:tcW w:w="660" w:type="dxa"/>
            <w:vAlign w:val="bottom"/>
            <w:gridSpan w:val="2"/>
          </w:tcPr>
          <w:p>
            <w:pPr>
              <w:jc w:val="right"/>
              <w:ind w:right="120"/>
              <w:spacing w:after="0" w:line="136" w:lineRule="exact"/>
              <w:rPr>
                <w:sz w:val="20"/>
                <w:szCs w:val="20"/>
                <w:color w:val="auto"/>
              </w:rPr>
            </w:pPr>
            <w:r>
              <w:rPr>
                <w:rFonts w:ascii="Arial" w:cs="Arial" w:eastAsia="Arial" w:hAnsi="Arial"/>
                <w:sz w:val="13"/>
                <w:szCs w:val="13"/>
                <w:b w:val="1"/>
                <w:bCs w:val="1"/>
                <w:color w:val="auto"/>
                <w:w w:val="95"/>
              </w:rPr>
              <w:t>Ordinary</w:t>
            </w:r>
          </w:p>
        </w:tc>
        <w:tc>
          <w:tcPr>
            <w:tcW w:w="660" w:type="dxa"/>
            <w:vAlign w:val="bottom"/>
            <w:gridSpan w:val="3"/>
          </w:tcPr>
          <w:p>
            <w:pPr>
              <w:ind w:left="20"/>
              <w:spacing w:after="0" w:line="136" w:lineRule="exact"/>
              <w:rPr>
                <w:sz w:val="20"/>
                <w:szCs w:val="20"/>
                <w:color w:val="auto"/>
              </w:rPr>
            </w:pPr>
            <w:r>
              <w:rPr>
                <w:rFonts w:ascii="Arial" w:cs="Arial" w:eastAsia="Arial" w:hAnsi="Arial"/>
                <w:sz w:val="13"/>
                <w:szCs w:val="13"/>
                <w:b w:val="1"/>
                <w:bCs w:val="1"/>
                <w:color w:val="auto"/>
              </w:rPr>
              <w:t>Ordinary</w:t>
            </w:r>
          </w:p>
        </w:tc>
        <w:tc>
          <w:tcPr>
            <w:tcW w:w="680" w:type="dxa"/>
            <w:vAlign w:val="bottom"/>
            <w:gridSpan w:val="2"/>
          </w:tcPr>
          <w:p>
            <w:pPr>
              <w:jc w:val="center"/>
              <w:ind w:right="60"/>
              <w:spacing w:after="0" w:line="136" w:lineRule="exact"/>
              <w:rPr>
                <w:sz w:val="20"/>
                <w:szCs w:val="20"/>
                <w:color w:val="auto"/>
              </w:rPr>
            </w:pPr>
            <w:r>
              <w:rPr>
                <w:rFonts w:ascii="Arial" w:cs="Arial" w:eastAsia="Arial" w:hAnsi="Arial"/>
                <w:sz w:val="13"/>
                <w:szCs w:val="13"/>
                <w:b w:val="1"/>
                <w:bCs w:val="1"/>
                <w:color w:val="auto"/>
                <w:w w:val="91"/>
              </w:rPr>
              <w:t>Additional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640" w:type="dxa"/>
            <w:vAlign w:val="bottom"/>
            <w:gridSpan w:val="2"/>
          </w:tcPr>
          <w:p>
            <w:pPr>
              <w:jc w:val="right"/>
              <w:ind w:right="140"/>
              <w:spacing w:after="0" w:line="136" w:lineRule="exact"/>
              <w:rPr>
                <w:sz w:val="20"/>
                <w:szCs w:val="20"/>
                <w:color w:val="auto"/>
              </w:rPr>
            </w:pPr>
            <w:r>
              <w:rPr>
                <w:rFonts w:ascii="Arial" w:cs="Arial" w:eastAsia="Arial" w:hAnsi="Arial"/>
                <w:sz w:val="13"/>
                <w:szCs w:val="13"/>
                <w:b w:val="1"/>
                <w:bCs w:val="1"/>
                <w:color w:val="auto"/>
                <w:w w:val="87"/>
              </w:rPr>
              <w:t>currency</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80"/>
              <w:spacing w:after="0" w:line="136" w:lineRule="exact"/>
              <w:rPr>
                <w:sz w:val="20"/>
                <w:szCs w:val="20"/>
                <w:color w:val="auto"/>
              </w:rPr>
            </w:pPr>
            <w:r>
              <w:rPr>
                <w:rFonts w:ascii="Arial" w:cs="Arial" w:eastAsia="Arial" w:hAnsi="Arial"/>
                <w:sz w:val="13"/>
                <w:szCs w:val="13"/>
                <w:b w:val="1"/>
                <w:bCs w:val="1"/>
                <w:color w:val="auto"/>
              </w:rPr>
              <w:t>Non</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660" w:type="dxa"/>
            <w:vAlign w:val="bottom"/>
            <w:gridSpan w:val="2"/>
          </w:tcPr>
          <w:p>
            <w:pPr>
              <w:jc w:val="right"/>
              <w:ind w:right="200"/>
              <w:spacing w:after="0" w:line="136"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580" w:type="dxa"/>
            <w:vAlign w:val="bottom"/>
            <w:gridSpan w:val="2"/>
          </w:tcPr>
          <w:p>
            <w:pPr>
              <w:jc w:val="center"/>
              <w:ind w:right="160"/>
              <w:spacing w:after="0" w:line="136" w:lineRule="exact"/>
              <w:rPr>
                <w:sz w:val="20"/>
                <w:szCs w:val="20"/>
                <w:color w:val="auto"/>
              </w:rPr>
            </w:pPr>
            <w:r>
              <w:rPr>
                <w:rFonts w:ascii="Arial" w:cs="Arial" w:eastAsia="Arial" w:hAnsi="Arial"/>
                <w:sz w:val="13"/>
                <w:szCs w:val="13"/>
                <w:b w:val="1"/>
                <w:bCs w:val="1"/>
                <w:color w:val="auto"/>
                <w:w w:val="81"/>
              </w:rPr>
              <w:t>shares</w:t>
            </w:r>
          </w:p>
        </w:tc>
        <w:tc>
          <w:tcPr>
            <w:tcW w:w="680" w:type="dxa"/>
            <w:vAlign w:val="bottom"/>
            <w:gridSpan w:val="2"/>
          </w:tcPr>
          <w:p>
            <w:pPr>
              <w:jc w:val="center"/>
              <w:ind w:right="60"/>
              <w:spacing w:after="0" w:line="136" w:lineRule="exact"/>
              <w:rPr>
                <w:sz w:val="20"/>
                <w:szCs w:val="20"/>
                <w:color w:val="auto"/>
              </w:rPr>
            </w:pPr>
            <w:r>
              <w:rPr>
                <w:rFonts w:ascii="Arial" w:cs="Arial" w:eastAsia="Arial" w:hAnsi="Arial"/>
                <w:sz w:val="13"/>
                <w:szCs w:val="13"/>
                <w:b w:val="1"/>
                <w:bCs w:val="1"/>
                <w:color w:val="auto"/>
                <w:w w:val="98"/>
              </w:rPr>
              <w:t>paid-in</w:t>
            </w:r>
          </w:p>
        </w:tc>
        <w:tc>
          <w:tcPr>
            <w:tcW w:w="20" w:type="dxa"/>
            <w:vAlign w:val="bottom"/>
          </w:tcPr>
          <w:p>
            <w:pPr>
              <w:spacing w:after="0"/>
              <w:rPr>
                <w:sz w:val="11"/>
                <w:szCs w:val="11"/>
                <w:color w:val="auto"/>
              </w:rPr>
            </w:pPr>
          </w:p>
        </w:tc>
        <w:tc>
          <w:tcPr>
            <w:tcW w:w="560" w:type="dxa"/>
            <w:vAlign w:val="bottom"/>
            <w:gridSpan w:val="3"/>
          </w:tcPr>
          <w:p>
            <w:pPr>
              <w:jc w:val="right"/>
              <w:ind w:right="100"/>
              <w:spacing w:after="0" w:line="136" w:lineRule="exact"/>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20"/>
              <w:spacing w:after="0" w:line="136" w:lineRule="exact"/>
              <w:rPr>
                <w:sz w:val="20"/>
                <w:szCs w:val="20"/>
                <w:color w:val="auto"/>
              </w:rPr>
            </w:pPr>
            <w:r>
              <w:rPr>
                <w:rFonts w:ascii="Arial" w:cs="Arial" w:eastAsia="Arial" w:hAnsi="Arial"/>
                <w:sz w:val="13"/>
                <w:szCs w:val="13"/>
                <w:b w:val="1"/>
                <w:bCs w:val="1"/>
                <w:color w:val="auto"/>
              </w:rPr>
              <w:t>Unearned</w:t>
            </w:r>
          </w:p>
        </w:tc>
        <w:tc>
          <w:tcPr>
            <w:tcW w:w="940" w:type="dxa"/>
            <w:vAlign w:val="bottom"/>
            <w:gridSpan w:val="3"/>
          </w:tcPr>
          <w:p>
            <w:pPr>
              <w:jc w:val="center"/>
              <w:ind w:right="100"/>
              <w:spacing w:after="0" w:line="136" w:lineRule="exact"/>
              <w:rPr>
                <w:sz w:val="20"/>
                <w:szCs w:val="20"/>
                <w:color w:val="auto"/>
              </w:rPr>
            </w:pPr>
            <w:r>
              <w:rPr>
                <w:rFonts w:ascii="Arial" w:cs="Arial" w:eastAsia="Arial" w:hAnsi="Arial"/>
                <w:sz w:val="13"/>
                <w:szCs w:val="13"/>
                <w:b w:val="1"/>
                <w:bCs w:val="1"/>
                <w:color w:val="auto"/>
                <w:w w:val="88"/>
              </w:rPr>
              <w:t>comprehensive</w:t>
            </w:r>
          </w:p>
        </w:tc>
        <w:tc>
          <w:tcPr>
            <w:tcW w:w="3840" w:type="dxa"/>
            <w:vAlign w:val="bottom"/>
            <w:gridSpan w:val="18"/>
          </w:tcPr>
          <w:p>
            <w:pPr>
              <w:ind w:left="20"/>
              <w:spacing w:after="0" w:line="136" w:lineRule="exact"/>
              <w:rPr>
                <w:sz w:val="20"/>
                <w:szCs w:val="20"/>
                <w:color w:val="auto"/>
              </w:rPr>
            </w:pPr>
            <w:r>
              <w:rPr>
                <w:rFonts w:ascii="Arial" w:cs="Arial" w:eastAsia="Arial" w:hAnsi="Arial"/>
                <w:sz w:val="13"/>
                <w:szCs w:val="13"/>
                <w:b w:val="1"/>
                <w:bCs w:val="1"/>
                <w:color w:val="auto"/>
                <w:w w:val="96"/>
              </w:rPr>
              <w:t>translation  Accumulated  Treasury  Comprehensive controlling</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0"/>
        </w:trPr>
        <w:tc>
          <w:tcPr>
            <w:tcW w:w="24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issued</w:t>
            </w:r>
          </w:p>
        </w:tc>
        <w:tc>
          <w:tcPr>
            <w:tcW w:w="80" w:type="dxa"/>
            <w:vAlign w:val="bottom"/>
          </w:tcPr>
          <w:p>
            <w:pPr>
              <w:spacing w:after="0"/>
              <w:rPr>
                <w:sz w:val="13"/>
                <w:szCs w:val="13"/>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amount</w:t>
            </w:r>
          </w:p>
        </w:tc>
        <w:tc>
          <w:tcPr>
            <w:tcW w:w="6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capital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6"/>
              </w:rPr>
              <w:t>notes</w:t>
            </w:r>
          </w:p>
        </w:tc>
        <w:tc>
          <w:tcPr>
            <w:tcW w:w="880" w:type="dxa"/>
            <w:vAlign w:val="bottom"/>
            <w:gridSpan w:val="4"/>
          </w:tcPr>
          <w:p>
            <w:pPr>
              <w:ind w:left="20"/>
              <w:spacing w:after="0"/>
              <w:rPr>
                <w:sz w:val="20"/>
                <w:szCs w:val="20"/>
                <w:color w:val="auto"/>
              </w:rPr>
            </w:pPr>
            <w:r>
              <w:rPr>
                <w:rFonts w:ascii="Arial" w:cs="Arial" w:eastAsia="Arial" w:hAnsi="Arial"/>
                <w:sz w:val="13"/>
                <w:szCs w:val="13"/>
                <w:b w:val="1"/>
                <w:bCs w:val="1"/>
                <w:color w:val="auto"/>
                <w:w w:val="95"/>
              </w:rPr>
              <w:t>compensation</w:t>
            </w:r>
          </w:p>
        </w:tc>
        <w:tc>
          <w:tcPr>
            <w:tcW w:w="9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5"/>
              </w:rPr>
              <w:t>income (loss)</w:t>
            </w: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adjustment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9"/>
              </w:rPr>
              <w:t>deficit</w:t>
            </w:r>
          </w:p>
        </w:tc>
        <w:tc>
          <w:tcPr>
            <w:tcW w:w="40" w:type="dxa"/>
            <w:vAlign w:val="bottom"/>
          </w:tcPr>
          <w:p>
            <w:pPr>
              <w:spacing w:after="0"/>
              <w:rPr>
                <w:sz w:val="13"/>
                <w:szCs w:val="13"/>
                <w:color w:val="auto"/>
              </w:rPr>
            </w:pPr>
          </w:p>
        </w:tc>
        <w:tc>
          <w:tcPr>
            <w:tcW w:w="740" w:type="dxa"/>
            <w:vAlign w:val="bottom"/>
            <w:gridSpan w:val="4"/>
          </w:tcPr>
          <w:p>
            <w:pPr>
              <w:jc w:val="right"/>
              <w:ind w:right="291"/>
              <w:spacing w:after="0"/>
              <w:rPr>
                <w:sz w:val="20"/>
                <w:szCs w:val="20"/>
                <w:color w:val="auto"/>
              </w:rPr>
            </w:pPr>
            <w:r>
              <w:rPr>
                <w:rFonts w:ascii="Arial" w:cs="Arial" w:eastAsia="Arial" w:hAnsi="Arial"/>
                <w:sz w:val="13"/>
                <w:szCs w:val="13"/>
                <w:b w:val="1"/>
                <w:bCs w:val="1"/>
                <w:color w:val="auto"/>
              </w:rPr>
              <w:t>stock</w:t>
            </w:r>
          </w:p>
        </w:tc>
        <w:tc>
          <w:tcPr>
            <w:tcW w:w="90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rPr>
              <w:t>income</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5"/>
              </w:rPr>
              <w:t>interest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Total</w:t>
            </w:r>
          </w:p>
        </w:tc>
      </w:tr>
      <w:tr>
        <w:trPr>
          <w:trHeight w:val="115"/>
        </w:trPr>
        <w:tc>
          <w:tcPr>
            <w:tcW w:w="2420" w:type="dxa"/>
            <w:vAlign w:val="bottom"/>
            <w:shd w:val="clear" w:color="auto" w:fill="CCEEFF"/>
          </w:tcPr>
          <w:p>
            <w:pPr>
              <w:ind w:left="400"/>
              <w:spacing w:after="0" w:line="115" w:lineRule="exact"/>
              <w:rPr>
                <w:sz w:val="20"/>
                <w:szCs w:val="20"/>
                <w:color w:val="auto"/>
              </w:rPr>
            </w:pPr>
            <w:r>
              <w:rPr>
                <w:rFonts w:ascii="Arial" w:cs="Arial" w:eastAsia="Arial" w:hAnsi="Arial"/>
                <w:sz w:val="13"/>
                <w:szCs w:val="13"/>
                <w:b w:val="1"/>
                <w:bCs w:val="1"/>
                <w:color w:val="auto"/>
              </w:rPr>
              <w:t>BALANCE AS OF JANUARY 1,</w:t>
            </w: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55"/>
        </w:trPr>
        <w:tc>
          <w:tcPr>
            <w:tcW w:w="2420" w:type="dxa"/>
            <w:vAlign w:val="bottom"/>
            <w:shd w:val="clear" w:color="auto" w:fill="CCEEFF"/>
          </w:tcPr>
          <w:p>
            <w:pPr>
              <w:ind w:left="500"/>
              <w:spacing w:after="0"/>
              <w:rPr>
                <w:sz w:val="20"/>
                <w:szCs w:val="20"/>
                <w:color w:val="auto"/>
              </w:rPr>
            </w:pPr>
            <w:r>
              <w:rPr>
                <w:rFonts w:ascii="Arial" w:cs="Arial" w:eastAsia="Arial" w:hAnsi="Arial"/>
                <w:sz w:val="13"/>
                <w:szCs w:val="13"/>
                <w:b w:val="1"/>
                <w:bCs w:val="1"/>
                <w:color w:val="auto"/>
              </w:rPr>
              <w:t>2019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105,066</w:t>
            </w:r>
          </w:p>
        </w:tc>
        <w:tc>
          <w:tcPr>
            <w:tcW w:w="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418,492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w w:val="92"/>
              </w:rPr>
              <w:t>$1,380,396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95"/>
              </w:rPr>
              <w:t>20,758</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93,226</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b w:val="1"/>
                <w:bCs w:val="1"/>
                <w:color w:val="auto"/>
                <w:w w:val="82"/>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(672)</w:t>
            </w:r>
          </w:p>
        </w:tc>
        <w:tc>
          <w:tcPr>
            <w:tcW w:w="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(22,716)</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82"/>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(637,446)</w:t>
            </w:r>
          </w:p>
        </w:tc>
        <w:tc>
          <w:tcPr>
            <w:tcW w:w="18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w w:val="92"/>
              </w:rPr>
              <w:t>(9,072)</w:t>
            </w:r>
          </w:p>
        </w:tc>
        <w:tc>
          <w:tcPr>
            <w:tcW w:w="14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(6,761)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89"/>
              </w:rPr>
              <w:t>$1,236,205</w:t>
            </w:r>
          </w:p>
        </w:tc>
      </w:tr>
      <w:tr>
        <w:trPr>
          <w:trHeight w:val="135"/>
        </w:trPr>
        <w:tc>
          <w:tcPr>
            <w:tcW w:w="2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42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Changes during the period:</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rPr>
                <w:sz w:val="11"/>
                <w:szCs w:val="11"/>
                <w:color w:val="auto"/>
              </w:rPr>
            </w:pPr>
          </w:p>
        </w:tc>
        <w:tc>
          <w:tcPr>
            <w:tcW w:w="6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spacing w:after="0"/>
              <w:rPr>
                <w:sz w:val="11"/>
                <w:szCs w:val="11"/>
                <w:color w:val="auto"/>
              </w:rPr>
            </w:pPr>
          </w:p>
        </w:tc>
      </w:tr>
      <w:tr>
        <w:trPr>
          <w:trHeight w:val="135"/>
        </w:trPr>
        <w:tc>
          <w:tcPr>
            <w:tcW w:w="242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Exercise of options and RSUs</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648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b w:val="1"/>
                <w:bCs w:val="1"/>
                <w:color w:val="auto"/>
              </w:rPr>
              <w:t>2,727</w:t>
            </w:r>
          </w:p>
        </w:tc>
        <w:tc>
          <w:tcPr>
            <w:tcW w:w="68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b w:val="1"/>
                <w:bCs w:val="1"/>
                <w:color w:val="auto"/>
              </w:rPr>
              <w:t>(886)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b w:val="1"/>
                <w:bCs w:val="1"/>
                <w:color w:val="auto"/>
              </w:rPr>
              <w:t>1,841</w:t>
            </w:r>
          </w:p>
        </w:tc>
      </w:tr>
      <w:tr>
        <w:trPr>
          <w:trHeight w:val="221"/>
        </w:trPr>
        <w:tc>
          <w:tcPr>
            <w:tcW w:w="2420" w:type="dxa"/>
            <w:vAlign w:val="bottom"/>
          </w:tcPr>
          <w:p>
            <w:pPr>
              <w:spacing w:after="0"/>
              <w:rPr>
                <w:sz w:val="20"/>
                <w:szCs w:val="20"/>
                <w:color w:val="auto"/>
              </w:rPr>
            </w:pPr>
            <w:r>
              <w:rPr>
                <w:rFonts w:ascii="Arial" w:cs="Arial" w:eastAsia="Arial" w:hAnsi="Arial"/>
                <w:sz w:val="13"/>
                <w:szCs w:val="13"/>
                <w:b w:val="1"/>
                <w:bCs w:val="1"/>
                <w:color w:val="auto"/>
                <w:w w:val="93"/>
              </w:rPr>
              <w:t>Capital notes converted into share capital</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1,181</w:t>
            </w:r>
          </w:p>
        </w:tc>
        <w:tc>
          <w:tcPr>
            <w:tcW w:w="8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4,892</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15,866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90"/>
              </w:rPr>
              <w:t>(20,758)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35"/>
        </w:trPr>
        <w:tc>
          <w:tcPr>
            <w:tcW w:w="242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Employee stock-based compensation</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b w:val="1"/>
                <w:bCs w:val="1"/>
                <w:color w:val="auto"/>
              </w:rPr>
              <w:t>14,548</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b w:val="1"/>
                <w:bCs w:val="1"/>
                <w:color w:val="auto"/>
              </w:rPr>
              <w:t>14,548</w:t>
            </w:r>
          </w:p>
        </w:tc>
      </w:tr>
      <w:tr>
        <w:trPr>
          <w:trHeight w:val="135"/>
        </w:trPr>
        <w:tc>
          <w:tcPr>
            <w:tcW w:w="2420" w:type="dxa"/>
            <w:vAlign w:val="bottom"/>
          </w:tcPr>
          <w:p>
            <w:pPr>
              <w:ind w:left="200"/>
              <w:spacing w:after="0" w:line="136" w:lineRule="exact"/>
              <w:rPr>
                <w:sz w:val="20"/>
                <w:szCs w:val="20"/>
                <w:color w:val="auto"/>
              </w:rPr>
            </w:pPr>
            <w:r>
              <w:rPr>
                <w:rFonts w:ascii="Arial" w:cs="Arial" w:eastAsia="Arial" w:hAnsi="Arial"/>
                <w:sz w:val="13"/>
                <w:szCs w:val="13"/>
                <w:b w:val="1"/>
                <w:bCs w:val="1"/>
                <w:color w:val="auto"/>
              </w:rPr>
              <w:t>Other comprehensive income: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420" w:type="dxa"/>
            <w:vAlign w:val="bottom"/>
            <w:shd w:val="clear" w:color="auto" w:fill="CCEEFF"/>
          </w:tcPr>
          <w:p>
            <w:pPr>
              <w:ind w:left="400"/>
              <w:spacing w:after="0" w:line="136" w:lineRule="exact"/>
              <w:rPr>
                <w:sz w:val="20"/>
                <w:szCs w:val="20"/>
                <w:color w:val="auto"/>
              </w:rPr>
            </w:pPr>
            <w:r>
              <w:rPr>
                <w:rFonts w:ascii="Arial" w:cs="Arial" w:eastAsia="Arial" w:hAnsi="Arial"/>
                <w:sz w:val="13"/>
                <w:szCs w:val="13"/>
                <w:b w:val="1"/>
                <w:bCs w:val="1"/>
                <w:color w:val="auto"/>
              </w:rPr>
              <w:t>Profit</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b w:val="1"/>
                <w:bCs w:val="1"/>
                <w:color w:val="auto"/>
              </w:rPr>
              <w:t>90,048</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31"/>
              <w:spacing w:after="0" w:line="136" w:lineRule="exact"/>
              <w:rPr>
                <w:sz w:val="20"/>
                <w:szCs w:val="20"/>
                <w:color w:val="auto"/>
              </w:rPr>
            </w:pPr>
            <w:r>
              <w:rPr>
                <w:rFonts w:ascii="Arial" w:cs="Arial" w:eastAsia="Arial" w:hAnsi="Arial"/>
                <w:sz w:val="13"/>
                <w:szCs w:val="13"/>
                <w:b w:val="1"/>
                <w:bCs w:val="1"/>
                <w:color w:val="auto"/>
              </w:rPr>
              <w:t>$</w:t>
            </w:r>
          </w:p>
        </w:tc>
        <w:tc>
          <w:tcPr>
            <w:tcW w:w="7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b w:val="1"/>
                <w:bCs w:val="1"/>
                <w:color w:val="auto"/>
              </w:rPr>
              <w:t>90,048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b w:val="1"/>
                <w:bCs w:val="1"/>
                <w:color w:val="auto"/>
              </w:rPr>
              <w:t>(1,975)</w:t>
            </w: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b w:val="1"/>
                <w:bCs w:val="1"/>
                <w:color w:val="auto"/>
              </w:rPr>
              <w:t>88,073</w:t>
            </w:r>
          </w:p>
        </w:tc>
      </w:tr>
      <w:tr>
        <w:trPr>
          <w:trHeight w:val="115"/>
        </w:trPr>
        <w:tc>
          <w:tcPr>
            <w:tcW w:w="2420" w:type="dxa"/>
            <w:vAlign w:val="bottom"/>
          </w:tcPr>
          <w:p>
            <w:pPr>
              <w:ind w:left="400"/>
              <w:spacing w:after="0" w:line="115" w:lineRule="exact"/>
              <w:rPr>
                <w:sz w:val="20"/>
                <w:szCs w:val="20"/>
                <w:color w:val="auto"/>
              </w:rPr>
            </w:pPr>
            <w:r>
              <w:rPr>
                <w:rFonts w:ascii="Arial" w:cs="Arial" w:eastAsia="Arial" w:hAnsi="Arial"/>
                <w:sz w:val="13"/>
                <w:szCs w:val="13"/>
                <w:b w:val="1"/>
                <w:bCs w:val="1"/>
                <w:color w:val="auto"/>
              </w:rPr>
              <w:t>Foreign</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5"/>
        </w:trPr>
        <w:tc>
          <w:tcPr>
            <w:tcW w:w="2420" w:type="dxa"/>
            <w:vAlign w:val="bottom"/>
          </w:tcPr>
          <w:p>
            <w:pPr>
              <w:ind w:left="500"/>
              <w:spacing w:after="0"/>
              <w:rPr>
                <w:sz w:val="20"/>
                <w:szCs w:val="20"/>
                <w:color w:val="auto"/>
              </w:rPr>
            </w:pPr>
            <w:r>
              <w:rPr>
                <w:rFonts w:ascii="Arial" w:cs="Arial" w:eastAsia="Arial" w:hAnsi="Arial"/>
                <w:sz w:val="13"/>
                <w:szCs w:val="13"/>
                <w:b w:val="1"/>
                <w:bCs w:val="1"/>
                <w:color w:val="auto"/>
                <w:w w:val="92"/>
              </w:rPr>
              <w:t>currency translation adjustments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2,566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2,566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912</w:t>
            </w: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3,478</w:t>
            </w:r>
          </w:p>
        </w:tc>
      </w:tr>
      <w:tr>
        <w:trPr>
          <w:trHeight w:val="115"/>
        </w:trPr>
        <w:tc>
          <w:tcPr>
            <w:tcW w:w="2420" w:type="dxa"/>
            <w:vAlign w:val="bottom"/>
            <w:shd w:val="clear" w:color="auto" w:fill="CCEEFF"/>
          </w:tcPr>
          <w:p>
            <w:pPr>
              <w:ind w:left="400"/>
              <w:spacing w:after="0" w:line="115" w:lineRule="exact"/>
              <w:rPr>
                <w:sz w:val="20"/>
                <w:szCs w:val="20"/>
                <w:color w:val="auto"/>
              </w:rPr>
            </w:pPr>
            <w:r>
              <w:rPr>
                <w:rFonts w:ascii="Arial" w:cs="Arial" w:eastAsia="Arial" w:hAnsi="Arial"/>
                <w:sz w:val="13"/>
                <w:szCs w:val="13"/>
                <w:b w:val="1"/>
                <w:bCs w:val="1"/>
                <w:color w:val="auto"/>
                <w:w w:val="96"/>
              </w:rPr>
              <w:t>Change in employees plan assets</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15" w:lineRule="exact"/>
              <w:rPr>
                <w:sz w:val="20"/>
                <w:szCs w:val="20"/>
                <w:color w:val="auto"/>
              </w:rPr>
            </w:pPr>
            <w:r>
              <w:rPr>
                <w:rFonts w:ascii="Arial" w:cs="Arial" w:eastAsia="Arial" w:hAnsi="Arial"/>
                <w:sz w:val="13"/>
                <w:szCs w:val="13"/>
                <w:b w:val="1"/>
                <w:bCs w:val="1"/>
                <w:color w:val="auto"/>
              </w:rPr>
              <w:t>(1,118)</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right"/>
              <w:ind w:right="60"/>
              <w:spacing w:after="0" w:line="115" w:lineRule="exact"/>
              <w:rPr>
                <w:sz w:val="20"/>
                <w:szCs w:val="20"/>
                <w:color w:val="auto"/>
              </w:rPr>
            </w:pPr>
            <w:r>
              <w:rPr>
                <w:rFonts w:ascii="Arial" w:cs="Arial" w:eastAsia="Arial" w:hAnsi="Arial"/>
                <w:sz w:val="13"/>
                <w:szCs w:val="13"/>
                <w:b w:val="1"/>
                <w:bCs w:val="1"/>
                <w:color w:val="auto"/>
              </w:rPr>
              <w:t>(1,118)</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55"/>
        </w:trPr>
        <w:tc>
          <w:tcPr>
            <w:tcW w:w="2420" w:type="dxa"/>
            <w:vAlign w:val="bottom"/>
            <w:shd w:val="clear" w:color="auto" w:fill="CCEEFF"/>
          </w:tcPr>
          <w:p>
            <w:pPr>
              <w:ind w:left="500"/>
              <w:spacing w:after="0"/>
              <w:rPr>
                <w:sz w:val="20"/>
                <w:szCs w:val="20"/>
                <w:color w:val="auto"/>
              </w:rPr>
            </w:pPr>
            <w:r>
              <w:rPr>
                <w:rFonts w:ascii="Arial" w:cs="Arial" w:eastAsia="Arial" w:hAnsi="Arial"/>
                <w:sz w:val="13"/>
                <w:szCs w:val="13"/>
                <w:b w:val="1"/>
                <w:bCs w:val="1"/>
                <w:color w:val="auto"/>
              </w:rPr>
              <w:t>and benefit obligations</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(1,118)</w:t>
            </w:r>
          </w:p>
        </w:tc>
      </w:tr>
      <w:tr>
        <w:trPr>
          <w:trHeight w:val="140"/>
        </w:trPr>
        <w:tc>
          <w:tcPr>
            <w:tcW w:w="2420" w:type="dxa"/>
            <w:vAlign w:val="bottom"/>
          </w:tcPr>
          <w:p>
            <w:pPr>
              <w:ind w:left="400"/>
              <w:spacing w:after="0" w:line="116" w:lineRule="exact"/>
              <w:rPr>
                <w:sz w:val="20"/>
                <w:szCs w:val="20"/>
                <w:color w:val="auto"/>
              </w:rPr>
            </w:pPr>
            <w:r>
              <w:rPr>
                <w:rFonts w:ascii="Arial" w:cs="Arial" w:eastAsia="Arial" w:hAnsi="Arial"/>
                <w:sz w:val="13"/>
                <w:szCs w:val="13"/>
                <w:b w:val="1"/>
                <w:bCs w:val="1"/>
                <w:color w:val="auto"/>
              </w:rPr>
              <w:t>Unrealized gain on derivatives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16" w:lineRule="exact"/>
              <w:rPr>
                <w:sz w:val="20"/>
                <w:szCs w:val="20"/>
                <w:color w:val="auto"/>
              </w:rPr>
            </w:pPr>
            <w:r>
              <w:rPr>
                <w:rFonts w:ascii="Arial" w:cs="Arial" w:eastAsia="Arial" w:hAnsi="Arial"/>
                <w:sz w:val="13"/>
                <w:szCs w:val="13"/>
                <w:b w:val="1"/>
                <w:bCs w:val="1"/>
                <w:color w:val="auto"/>
              </w:rPr>
              <w:t>3,696</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16" w:lineRule="exact"/>
              <w:rPr>
                <w:sz w:val="20"/>
                <w:szCs w:val="20"/>
                <w:color w:val="auto"/>
              </w:rPr>
            </w:pPr>
            <w:r>
              <w:rPr>
                <w:rFonts w:ascii="Arial" w:cs="Arial" w:eastAsia="Arial" w:hAnsi="Arial"/>
                <w:sz w:val="13"/>
                <w:szCs w:val="13"/>
                <w:b w:val="1"/>
                <w:bCs w:val="1"/>
                <w:color w:val="auto"/>
              </w:rPr>
              <w:t>3,696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16" w:lineRule="exact"/>
              <w:rPr>
                <w:sz w:val="20"/>
                <w:szCs w:val="20"/>
                <w:color w:val="auto"/>
              </w:rPr>
            </w:pPr>
            <w:r>
              <w:rPr>
                <w:rFonts w:ascii="Arial" w:cs="Arial" w:eastAsia="Arial" w:hAnsi="Arial"/>
                <w:sz w:val="13"/>
                <w:szCs w:val="13"/>
                <w:b w:val="1"/>
                <w:bCs w:val="1"/>
                <w:color w:val="auto"/>
              </w:rPr>
              <w:t>3,696</w:t>
            </w:r>
          </w:p>
        </w:tc>
      </w:tr>
      <w:tr>
        <w:trPr>
          <w:trHeight w:val="180"/>
        </w:trPr>
        <w:tc>
          <w:tcPr>
            <w:tcW w:w="2420" w:type="dxa"/>
            <w:vAlign w:val="bottom"/>
            <w:tcBorders>
              <w:bottom w:val="single" w:sz="8" w:color="CCEEFF"/>
            </w:tcBorders>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Comprehensive income</w:t>
            </w: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b w:val="1"/>
                <w:bCs w:val="1"/>
                <w:color w:val="auto"/>
              </w:rPr>
              <w:t>95,192</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r>
      <w:tr>
        <w:trPr>
          <w:trHeight w:val="198"/>
        </w:trPr>
        <w:tc>
          <w:tcPr>
            <w:tcW w:w="242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115"/>
        </w:trPr>
        <w:tc>
          <w:tcPr>
            <w:tcW w:w="2420" w:type="dxa"/>
            <w:vAlign w:val="bottom"/>
            <w:shd w:val="clear" w:color="auto" w:fill="CCEEFF"/>
          </w:tcPr>
          <w:p>
            <w:pPr>
              <w:ind w:left="400"/>
              <w:spacing w:after="0" w:line="115" w:lineRule="exact"/>
              <w:rPr>
                <w:sz w:val="20"/>
                <w:szCs w:val="20"/>
                <w:color w:val="auto"/>
              </w:rPr>
            </w:pPr>
            <w:r>
              <w:rPr>
                <w:rFonts w:ascii="Arial" w:cs="Arial" w:eastAsia="Arial" w:hAnsi="Arial"/>
                <w:sz w:val="13"/>
                <w:szCs w:val="13"/>
                <w:b w:val="1"/>
                <w:bCs w:val="1"/>
                <w:color w:val="auto"/>
              </w:rPr>
              <w:t>BALANCE AS OF DECEMBER</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55"/>
        </w:trPr>
        <w:tc>
          <w:tcPr>
            <w:tcW w:w="2420" w:type="dxa"/>
            <w:vAlign w:val="bottom"/>
            <w:shd w:val="clear" w:color="auto" w:fill="CCEEFF"/>
          </w:tcPr>
          <w:p>
            <w:pPr>
              <w:ind w:left="500"/>
              <w:spacing w:after="0"/>
              <w:rPr>
                <w:sz w:val="20"/>
                <w:szCs w:val="20"/>
                <w:color w:val="auto"/>
              </w:rPr>
            </w:pPr>
            <w:r>
              <w:rPr>
                <w:rFonts w:ascii="Arial" w:cs="Arial" w:eastAsia="Arial" w:hAnsi="Arial"/>
                <w:sz w:val="13"/>
                <w:szCs w:val="13"/>
                <w:b w:val="1"/>
                <w:bCs w:val="1"/>
                <w:color w:val="auto"/>
              </w:rPr>
              <w:t>31, 2019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106,895</w:t>
            </w:r>
          </w:p>
        </w:tc>
        <w:tc>
          <w:tcPr>
            <w:tcW w:w="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426,111</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w w:val="92"/>
              </w:rPr>
              <w:t>$1,395,376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107,774</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b w:val="1"/>
                <w:bCs w:val="1"/>
                <w:color w:val="auto"/>
                <w:w w:val="82"/>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1,906</w:t>
            </w:r>
          </w:p>
        </w:tc>
        <w:tc>
          <w:tcPr>
            <w:tcW w:w="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(20,150)</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82"/>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(547,398)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w w:val="92"/>
              </w:rPr>
              <w:t>(9,072)</w:t>
            </w:r>
          </w:p>
        </w:tc>
        <w:tc>
          <w:tcPr>
            <w:tcW w:w="14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(7,824)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89"/>
              </w:rPr>
              <w:t>$1,346,723</w:t>
            </w:r>
          </w:p>
        </w:tc>
      </w:tr>
    </w:tbl>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02170"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02170" cy="85725"/>
                    </a:xfrm>
                    <a:prstGeom prst="rect">
                      <a:avLst/>
                    </a:prstGeom>
                    <a:noFill/>
                  </pic:spPr>
                </pic:pic>
              </a:graphicData>
            </a:graphic>
          </wp:anchor>
        </w:drawing>
      </w:r>
    </w:p>
    <w:p>
      <w:pPr>
        <w:sectPr>
          <w:pgSz w:w="11900" w:h="16838" w:orient="portrait"/>
          <w:cols w:equalWidth="0" w:num="1">
            <w:col w:w="11340"/>
          </w:cols>
          <w:pgMar w:left="320" w:top="283" w:right="239" w:bottom="1440" w:gutter="0" w:footer="0" w:header="0"/>
        </w:sectPr>
      </w:pPr>
    </w:p>
    <w:p>
      <w:pPr>
        <w:spacing w:after="0" w:line="121" w:lineRule="exact"/>
        <w:rPr>
          <w:sz w:val="20"/>
          <w:szCs w:val="20"/>
          <w:color w:val="auto"/>
        </w:rPr>
      </w:pPr>
    </w:p>
    <w:p>
      <w:pPr>
        <w:spacing w:after="0" w:line="222" w:lineRule="auto"/>
        <w:rPr>
          <w:sz w:val="20"/>
          <w:szCs w:val="20"/>
          <w:color w:val="auto"/>
        </w:rPr>
      </w:pPr>
      <w:r>
        <w:rPr>
          <w:rFonts w:ascii="Arial" w:cs="Arial" w:eastAsia="Arial" w:hAnsi="Arial"/>
          <w:sz w:val="13"/>
          <w:szCs w:val="13"/>
          <w:b w:val="1"/>
          <w:bCs w:val="1"/>
          <w:color w:val="auto"/>
        </w:rPr>
        <w:t>Exercise of options and RSUs Employee stock-based compensation Cumulative effect upon adoption of ASC 326</w:t>
      </w:r>
    </w:p>
    <w:p>
      <w:pPr>
        <w:ind w:left="200"/>
        <w:spacing w:after="0" w:line="220" w:lineRule="auto"/>
        <w:rPr>
          <w:sz w:val="20"/>
          <w:szCs w:val="20"/>
          <w:color w:val="auto"/>
        </w:rPr>
      </w:pPr>
      <w:r>
        <w:rPr>
          <w:rFonts w:ascii="Arial" w:cs="Arial" w:eastAsia="Arial" w:hAnsi="Arial"/>
          <w:sz w:val="13"/>
          <w:szCs w:val="13"/>
          <w:b w:val="1"/>
          <w:bCs w:val="1"/>
          <w:color w:val="auto"/>
        </w:rPr>
        <w:t>Other comprehensive income:</w:t>
      </w:r>
    </w:p>
    <w:p>
      <w:pPr>
        <w:ind w:left="400"/>
        <w:spacing w:after="0" w:line="217" w:lineRule="auto"/>
        <w:rPr>
          <w:sz w:val="20"/>
          <w:szCs w:val="20"/>
          <w:color w:val="auto"/>
        </w:rPr>
      </w:pPr>
      <w:r>
        <w:rPr>
          <w:rFonts w:ascii="Arial" w:cs="Arial" w:eastAsia="Arial" w:hAnsi="Arial"/>
          <w:sz w:val="13"/>
          <w:szCs w:val="13"/>
          <w:b w:val="1"/>
          <w:bCs w:val="1"/>
          <w:color w:val="auto"/>
        </w:rPr>
        <w:t>Profit</w:t>
      </w:r>
    </w:p>
    <w:p>
      <w:pPr>
        <w:ind w:left="500" w:right="280" w:hanging="114"/>
        <w:spacing w:after="0" w:line="217" w:lineRule="auto"/>
        <w:rPr>
          <w:sz w:val="20"/>
          <w:szCs w:val="20"/>
          <w:color w:val="auto"/>
        </w:rPr>
      </w:pPr>
      <w:r>
        <w:rPr>
          <w:rFonts w:ascii="Arial" w:cs="Arial" w:eastAsia="Arial" w:hAnsi="Arial"/>
          <w:sz w:val="13"/>
          <w:szCs w:val="13"/>
          <w:b w:val="1"/>
          <w:bCs w:val="1"/>
          <w:color w:val="auto"/>
        </w:rPr>
        <w:t>Foreign currency translation adjustments</w:t>
      </w:r>
    </w:p>
    <w:p>
      <w:pPr>
        <w:ind w:left="500" w:right="80" w:hanging="114"/>
        <w:spacing w:after="0" w:line="275" w:lineRule="auto"/>
        <w:rPr>
          <w:sz w:val="20"/>
          <w:szCs w:val="20"/>
          <w:color w:val="auto"/>
        </w:rPr>
      </w:pPr>
      <w:r>
        <w:rPr>
          <w:rFonts w:ascii="Arial" w:cs="Arial" w:eastAsia="Arial" w:hAnsi="Arial"/>
          <w:sz w:val="11"/>
          <w:szCs w:val="11"/>
          <w:b w:val="1"/>
          <w:bCs w:val="1"/>
          <w:color w:val="auto"/>
        </w:rPr>
        <w:t>Change in employees plan assets and benefit obligations</w:t>
      </w:r>
    </w:p>
    <w:p>
      <w:pPr>
        <w:ind w:right="220" w:firstLine="393"/>
        <w:spacing w:after="0" w:line="337" w:lineRule="auto"/>
        <w:rPr>
          <w:sz w:val="20"/>
          <w:szCs w:val="20"/>
          <w:color w:val="auto"/>
        </w:rPr>
      </w:pPr>
      <w:r>
        <w:rPr>
          <w:rFonts w:ascii="Arial" w:cs="Arial" w:eastAsia="Arial" w:hAnsi="Arial"/>
          <w:sz w:val="12"/>
          <w:szCs w:val="12"/>
          <w:b w:val="1"/>
          <w:bCs w:val="1"/>
          <w:color w:val="auto"/>
        </w:rPr>
        <w:t>Unrealized loss on derivatives Comprehensive income</w:t>
      </w:r>
    </w:p>
    <w:p>
      <w:pPr>
        <w:spacing w:after="0" w:line="132" w:lineRule="exact"/>
        <w:rPr>
          <w:sz w:val="20"/>
          <w:szCs w:val="20"/>
          <w:color w:val="auto"/>
        </w:rPr>
      </w:pPr>
    </w:p>
    <w:p>
      <w:pPr>
        <w:ind w:left="500" w:right="40" w:hanging="114"/>
        <w:spacing w:after="0" w:line="248" w:lineRule="auto"/>
        <w:rPr>
          <w:sz w:val="20"/>
          <w:szCs w:val="20"/>
          <w:color w:val="auto"/>
        </w:rPr>
      </w:pPr>
      <w:r>
        <w:rPr>
          <w:rFonts w:ascii="Arial" w:cs="Arial" w:eastAsia="Arial" w:hAnsi="Arial"/>
          <w:sz w:val="13"/>
          <w:szCs w:val="13"/>
          <w:b w:val="1"/>
          <w:bCs w:val="1"/>
          <w:color w:val="auto"/>
        </w:rPr>
        <w:t>BALANCE AS OF DECEMBER 31, 2020</w:t>
      </w:r>
    </w:p>
    <w:p>
      <w:pPr>
        <w:spacing w:after="0" w:line="97" w:lineRule="exact"/>
        <w:rPr>
          <w:sz w:val="20"/>
          <w:szCs w:val="20"/>
          <w:color w:val="auto"/>
        </w:rPr>
      </w:pPr>
    </w:p>
    <w:p>
      <w:pPr>
        <w:ind w:right="240"/>
        <w:spacing w:after="0" w:line="265" w:lineRule="auto"/>
        <w:rPr>
          <w:sz w:val="20"/>
          <w:szCs w:val="20"/>
          <w:color w:val="auto"/>
        </w:rPr>
      </w:pPr>
      <w:r>
        <w:rPr>
          <w:rFonts w:ascii="Arial" w:cs="Arial" w:eastAsia="Arial" w:hAnsi="Arial"/>
          <w:sz w:val="11"/>
          <w:szCs w:val="11"/>
          <w:b w:val="1"/>
          <w:bCs w:val="1"/>
          <w:color w:val="auto"/>
        </w:rPr>
        <w:t>Changes during the period: Exercise of options and RSUs Employee stock-based compensation</w:t>
      </w:r>
    </w:p>
    <w:p>
      <w:pPr>
        <w:ind w:left="200"/>
        <w:spacing w:after="0" w:line="218" w:lineRule="auto"/>
        <w:rPr>
          <w:sz w:val="20"/>
          <w:szCs w:val="20"/>
          <w:color w:val="auto"/>
        </w:rPr>
      </w:pPr>
      <w:r>
        <w:rPr>
          <w:rFonts w:ascii="Arial" w:cs="Arial" w:eastAsia="Arial" w:hAnsi="Arial"/>
          <w:sz w:val="13"/>
          <w:szCs w:val="13"/>
          <w:b w:val="1"/>
          <w:bCs w:val="1"/>
          <w:color w:val="auto"/>
        </w:rPr>
        <w:t>Other comprehensive income:</w:t>
      </w:r>
    </w:p>
    <w:p>
      <w:pPr>
        <w:ind w:left="400"/>
        <w:spacing w:after="0" w:line="217" w:lineRule="auto"/>
        <w:rPr>
          <w:sz w:val="20"/>
          <w:szCs w:val="20"/>
          <w:color w:val="auto"/>
        </w:rPr>
      </w:pPr>
      <w:r>
        <w:rPr>
          <w:rFonts w:ascii="Arial" w:cs="Arial" w:eastAsia="Arial" w:hAnsi="Arial"/>
          <w:sz w:val="13"/>
          <w:szCs w:val="13"/>
          <w:b w:val="1"/>
          <w:bCs w:val="1"/>
          <w:color w:val="auto"/>
        </w:rPr>
        <w:t>Profit</w:t>
      </w:r>
    </w:p>
    <w:p>
      <w:pPr>
        <w:ind w:left="500" w:right="280" w:hanging="114"/>
        <w:spacing w:after="0" w:line="217" w:lineRule="auto"/>
        <w:rPr>
          <w:sz w:val="20"/>
          <w:szCs w:val="20"/>
          <w:color w:val="auto"/>
        </w:rPr>
      </w:pPr>
      <w:r>
        <w:rPr>
          <w:rFonts w:ascii="Arial" w:cs="Arial" w:eastAsia="Arial" w:hAnsi="Arial"/>
          <w:sz w:val="13"/>
          <w:szCs w:val="13"/>
          <w:b w:val="1"/>
          <w:bCs w:val="1"/>
          <w:color w:val="auto"/>
        </w:rPr>
        <w:t>Foreign currency translation adjustments</w:t>
      </w:r>
    </w:p>
    <w:p>
      <w:pPr>
        <w:ind w:left="500" w:right="80" w:hanging="114"/>
        <w:spacing w:after="0" w:line="275" w:lineRule="auto"/>
        <w:rPr>
          <w:sz w:val="20"/>
          <w:szCs w:val="20"/>
          <w:color w:val="auto"/>
        </w:rPr>
      </w:pPr>
      <w:r>
        <w:rPr>
          <w:rFonts w:ascii="Arial" w:cs="Arial" w:eastAsia="Arial" w:hAnsi="Arial"/>
          <w:sz w:val="11"/>
          <w:szCs w:val="11"/>
          <w:b w:val="1"/>
          <w:bCs w:val="1"/>
          <w:color w:val="auto"/>
        </w:rPr>
        <w:t>Change in employees plan assets and benefit obligations</w:t>
      </w:r>
    </w:p>
    <w:p>
      <w:pPr>
        <w:ind w:right="220" w:firstLine="393"/>
        <w:spacing w:after="0" w:line="337" w:lineRule="auto"/>
        <w:rPr>
          <w:sz w:val="20"/>
          <w:szCs w:val="20"/>
          <w:color w:val="auto"/>
        </w:rPr>
      </w:pPr>
      <w:r>
        <w:rPr>
          <w:rFonts w:ascii="Arial" w:cs="Arial" w:eastAsia="Arial" w:hAnsi="Arial"/>
          <w:sz w:val="12"/>
          <w:szCs w:val="12"/>
          <w:b w:val="1"/>
          <w:bCs w:val="1"/>
          <w:color w:val="auto"/>
        </w:rPr>
        <w:t>Unrealized loss on derivatives Comprehensive income</w:t>
      </w:r>
    </w:p>
    <w:p>
      <w:pPr>
        <w:spacing w:after="0" w:line="132" w:lineRule="exact"/>
        <w:rPr>
          <w:sz w:val="20"/>
          <w:szCs w:val="20"/>
          <w:color w:val="auto"/>
        </w:rPr>
      </w:pPr>
    </w:p>
    <w:p>
      <w:pPr>
        <w:ind w:left="500" w:right="40" w:hanging="114"/>
        <w:spacing w:after="0" w:line="248" w:lineRule="auto"/>
        <w:rPr>
          <w:sz w:val="20"/>
          <w:szCs w:val="20"/>
          <w:color w:val="auto"/>
        </w:rPr>
      </w:pPr>
      <w:r>
        <w:rPr>
          <w:rFonts w:ascii="Arial" w:cs="Arial" w:eastAsia="Arial" w:hAnsi="Arial"/>
          <w:sz w:val="13"/>
          <w:szCs w:val="13"/>
          <w:b w:val="1"/>
          <w:bCs w:val="1"/>
          <w:color w:val="auto"/>
        </w:rPr>
        <w:t>BALANCE AS OF DECEMBER 31, 2021</w:t>
      </w:r>
    </w:p>
    <w:p>
      <w:pPr>
        <w:spacing w:after="0" w:line="183" w:lineRule="exact"/>
        <w:rPr>
          <w:sz w:val="20"/>
          <w:szCs w:val="20"/>
          <w:color w:val="auto"/>
        </w:rPr>
      </w:pPr>
    </w:p>
    <w:p>
      <w:pPr>
        <w:ind w:right="200"/>
        <w:spacing w:after="0" w:line="235" w:lineRule="auto"/>
        <w:rPr>
          <w:sz w:val="20"/>
          <w:szCs w:val="20"/>
          <w:color w:val="auto"/>
        </w:rPr>
      </w:pPr>
      <w:r>
        <w:rPr>
          <w:rFonts w:ascii="Arial" w:cs="Arial" w:eastAsia="Arial" w:hAnsi="Arial"/>
          <w:sz w:val="13"/>
          <w:szCs w:val="13"/>
          <w:b w:val="1"/>
          <w:bCs w:val="1"/>
          <w:color w:val="auto"/>
        </w:rPr>
        <w:t>OUTSTANDING SHARES, NET OF TREASURY STOCK AS OF DECEMBER 31, 2021</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1,115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4,885</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(2,281)</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2,604</w:t>
            </w: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16,988</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16,988</w:t>
            </w:r>
          </w:p>
        </w:tc>
        <w:tc>
          <w:tcPr>
            <w:tcW w:w="0" w:type="dxa"/>
            <w:vAlign w:val="bottom"/>
          </w:tcPr>
          <w:p>
            <w:pPr>
              <w:spacing w:after="0"/>
              <w:rPr>
                <w:sz w:val="1"/>
                <w:szCs w:val="1"/>
                <w:color w:val="auto"/>
              </w:rPr>
            </w:pPr>
          </w:p>
        </w:tc>
      </w:tr>
      <w:tr>
        <w:trPr>
          <w:trHeight w:val="271"/>
        </w:trPr>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(364)</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(364)</w:t>
            </w:r>
          </w:p>
        </w:tc>
        <w:tc>
          <w:tcPr>
            <w:tcW w:w="0" w:type="dxa"/>
            <w:vAlign w:val="bottom"/>
          </w:tcPr>
          <w:p>
            <w:pPr>
              <w:spacing w:after="0"/>
              <w:rPr>
                <w:sz w:val="1"/>
                <w:szCs w:val="1"/>
                <w:color w:val="auto"/>
              </w:rPr>
            </w:pPr>
          </w:p>
        </w:tc>
      </w:tr>
      <w:tr>
        <w:trPr>
          <w:trHeight w:val="271"/>
        </w:trPr>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2"/>
          </w:tcPr>
          <w:p>
            <w:pPr>
              <w:jc w:val="right"/>
              <w:ind w:right="22"/>
              <w:spacing w:after="0"/>
              <w:rPr>
                <w:sz w:val="20"/>
                <w:szCs w:val="20"/>
                <w:color w:val="auto"/>
              </w:rPr>
            </w:pPr>
            <w:r>
              <w:rPr>
                <w:rFonts w:ascii="Arial" w:cs="Arial" w:eastAsia="Arial" w:hAnsi="Arial"/>
                <w:sz w:val="13"/>
                <w:szCs w:val="13"/>
                <w:b w:val="1"/>
                <w:bCs w:val="1"/>
                <w:color w:val="auto"/>
              </w:rPr>
              <w:t>82,302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3"/>
          </w:tcPr>
          <w:p>
            <w:pPr>
              <w:jc w:val="right"/>
              <w:ind w:right="131"/>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82,302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987</w:t>
            </w:r>
          </w:p>
        </w:tc>
        <w:tc>
          <w:tcPr>
            <w:tcW w:w="100" w:type="dxa"/>
            <w:vAlign w:val="bottom"/>
          </w:tcPr>
          <w:p>
            <w:pPr>
              <w:spacing w:after="0"/>
              <w:rPr>
                <w:sz w:val="23"/>
                <w:szCs w:val="2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83,289</w:t>
            </w:r>
          </w:p>
        </w:tc>
        <w:tc>
          <w:tcPr>
            <w:tcW w:w="0" w:type="dxa"/>
            <w:vAlign w:val="bottom"/>
          </w:tcPr>
          <w:p>
            <w:pPr>
              <w:spacing w:after="0"/>
              <w:rPr>
                <w:sz w:val="1"/>
                <w:szCs w:val="1"/>
                <w:color w:val="auto"/>
              </w:rPr>
            </w:pPr>
          </w:p>
        </w:tc>
      </w:tr>
      <w:tr>
        <w:trPr>
          <w:trHeight w:val="271"/>
        </w:trPr>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gridSpan w:val="2"/>
          </w:tcPr>
          <w:p>
            <w:pPr>
              <w:jc w:val="right"/>
              <w:ind w:right="42"/>
              <w:spacing w:after="0"/>
              <w:rPr>
                <w:sz w:val="20"/>
                <w:szCs w:val="20"/>
                <w:color w:val="auto"/>
              </w:rPr>
            </w:pPr>
            <w:r>
              <w:rPr>
                <w:rFonts w:ascii="Arial" w:cs="Arial" w:eastAsia="Arial" w:hAnsi="Arial"/>
                <w:sz w:val="13"/>
                <w:szCs w:val="13"/>
                <w:b w:val="1"/>
                <w:bCs w:val="1"/>
                <w:color w:val="auto"/>
              </w:rPr>
              <w:t>3,903</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3,903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gridSpan w:val="2"/>
          </w:tcPr>
          <w:p>
            <w:pPr>
              <w:jc w:val="right"/>
              <w:ind w:right="62"/>
              <w:spacing w:after="0"/>
              <w:rPr>
                <w:sz w:val="20"/>
                <w:szCs w:val="20"/>
                <w:color w:val="auto"/>
              </w:rPr>
            </w:pPr>
            <w:r>
              <w:rPr>
                <w:rFonts w:ascii="Arial" w:cs="Arial" w:eastAsia="Arial" w:hAnsi="Arial"/>
                <w:sz w:val="13"/>
                <w:szCs w:val="13"/>
                <w:b w:val="1"/>
                <w:bCs w:val="1"/>
                <w:color w:val="auto"/>
              </w:rPr>
              <w:t>3,927</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7,830</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22"/>
              <w:spacing w:after="0"/>
              <w:rPr>
                <w:sz w:val="20"/>
                <w:szCs w:val="20"/>
                <w:color w:val="auto"/>
              </w:rPr>
            </w:pPr>
            <w:r>
              <w:rPr>
                <w:rFonts w:ascii="Arial" w:cs="Arial" w:eastAsia="Arial" w:hAnsi="Arial"/>
                <w:sz w:val="13"/>
                <w:szCs w:val="13"/>
                <w:b w:val="1"/>
                <w:bCs w:val="1"/>
                <w:color w:val="auto"/>
              </w:rPr>
              <w:t>(394)</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(394)</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(394)</w:t>
            </w: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gridSpan w:val="2"/>
          </w:tcPr>
          <w:p>
            <w:pPr>
              <w:jc w:val="right"/>
              <w:ind w:right="22"/>
              <w:spacing w:after="0" w:line="136" w:lineRule="exact"/>
              <w:rPr>
                <w:sz w:val="20"/>
                <w:szCs w:val="20"/>
                <w:color w:val="auto"/>
              </w:rPr>
            </w:pPr>
            <w:r>
              <w:rPr>
                <w:rFonts w:ascii="Arial" w:cs="Arial" w:eastAsia="Arial" w:hAnsi="Arial"/>
                <w:sz w:val="13"/>
                <w:szCs w:val="13"/>
                <w:b w:val="1"/>
                <w:bCs w:val="1"/>
                <w:color w:val="auto"/>
              </w:rPr>
              <w:t>(1,774)</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tcPr>
          <w:p>
            <w:pPr>
              <w:jc w:val="right"/>
              <w:ind w:right="60"/>
              <w:spacing w:after="0" w:line="136" w:lineRule="exact"/>
              <w:rPr>
                <w:sz w:val="20"/>
                <w:szCs w:val="20"/>
                <w:color w:val="auto"/>
              </w:rPr>
            </w:pPr>
            <w:r>
              <w:rPr>
                <w:rFonts w:ascii="Arial" w:cs="Arial" w:eastAsia="Arial" w:hAnsi="Arial"/>
                <w:sz w:val="9"/>
                <w:szCs w:val="9"/>
                <w:b w:val="1"/>
                <w:bCs w:val="1"/>
                <w:color w:val="auto"/>
              </w:rPr>
              <w:t>(1,774</w:t>
            </w:r>
            <w:r>
              <w:rPr>
                <w:rFonts w:ascii="Arial" w:cs="Arial" w:eastAsia="Arial" w:hAnsi="Arial"/>
                <w:sz w:val="15"/>
                <w:szCs w:val="15"/>
                <w:b w:val="1"/>
                <w:bCs w:val="1"/>
                <w:color w:val="auto"/>
                <w:vertAlign w:val="subscript"/>
              </w:rPr>
              <w:t>)</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spacing w:after="0" w:line="136" w:lineRule="exact"/>
              <w:rPr>
                <w:sz w:val="20"/>
                <w:szCs w:val="20"/>
                <w:color w:val="auto"/>
              </w:rPr>
            </w:pPr>
            <w:r>
              <w:rPr>
                <w:rFonts w:ascii="Arial" w:cs="Arial" w:eastAsia="Arial" w:hAnsi="Arial"/>
                <w:sz w:val="13"/>
                <w:szCs w:val="13"/>
                <w:b w:val="1"/>
                <w:bCs w:val="1"/>
                <w:color w:val="auto"/>
              </w:rPr>
              <w:t>(1,774)</w:t>
            </w:r>
          </w:p>
        </w:tc>
        <w:tc>
          <w:tcPr>
            <w:tcW w:w="0" w:type="dxa"/>
            <w:vAlign w:val="bottom"/>
          </w:tcPr>
          <w:p>
            <w:pPr>
              <w:spacing w:after="0"/>
              <w:rPr>
                <w:sz w:val="1"/>
                <w:szCs w:val="1"/>
                <w:color w:val="auto"/>
              </w:rPr>
            </w:pPr>
          </w:p>
        </w:tc>
      </w:tr>
      <w:tr>
        <w:trPr>
          <w:trHeight w:val="175"/>
        </w:trPr>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rPr>
              <w:t>84,037</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2"/>
        </w:trPr>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108,010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7"/>
              </w:rPr>
              <w:t>430,996</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87"/>
              </w:rPr>
              <w:t>$ 1,393,095</w:t>
            </w:r>
          </w:p>
        </w:tc>
        <w:tc>
          <w:tcPr>
            <w:tcW w:w="260" w:type="dxa"/>
            <w:vAlign w:val="bottom"/>
            <w:gridSpan w:val="2"/>
          </w:tcPr>
          <w:p>
            <w:pPr>
              <w:jc w:val="right"/>
              <w:ind w:right="94"/>
              <w:spacing w:after="0"/>
              <w:rPr>
                <w:sz w:val="20"/>
                <w:szCs w:val="20"/>
                <w:color w:val="auto"/>
              </w:rPr>
            </w:pPr>
            <w:r>
              <w:rPr>
                <w:rFonts w:ascii="Arial" w:cs="Arial" w:eastAsia="Arial" w:hAnsi="Arial"/>
                <w:sz w:val="13"/>
                <w:szCs w:val="13"/>
                <w:b w:val="1"/>
                <w:bCs w:val="1"/>
                <w:color w:val="auto"/>
              </w:rPr>
              <w:t>$</w:t>
            </w:r>
          </w:p>
        </w:tc>
        <w:tc>
          <w:tcPr>
            <w:tcW w:w="30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54"/>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124,762</w:t>
            </w:r>
          </w:p>
        </w:tc>
        <w:tc>
          <w:tcPr>
            <w:tcW w:w="300" w:type="dxa"/>
            <w:vAlign w:val="bottom"/>
          </w:tcPr>
          <w:p>
            <w:pPr>
              <w:jc w:val="right"/>
              <w:ind w:right="154"/>
              <w:spacing w:after="0"/>
              <w:rPr>
                <w:sz w:val="20"/>
                <w:szCs w:val="20"/>
                <w:color w:val="auto"/>
              </w:rPr>
            </w:pPr>
            <w:r>
              <w:rPr>
                <w:rFonts w:ascii="Arial" w:cs="Arial" w:eastAsia="Arial" w:hAnsi="Arial"/>
                <w:sz w:val="13"/>
                <w:szCs w:val="13"/>
                <w:b w:val="1"/>
                <w:bCs w:val="1"/>
                <w:color w:val="auto"/>
                <w:w w:val="82"/>
              </w:rPr>
              <w:t>$</w:t>
            </w:r>
          </w:p>
        </w:tc>
        <w:tc>
          <w:tcPr>
            <w:tcW w:w="640" w:type="dxa"/>
            <w:vAlign w:val="bottom"/>
            <w:gridSpan w:val="2"/>
          </w:tcPr>
          <w:p>
            <w:pPr>
              <w:jc w:val="right"/>
              <w:ind w:right="22"/>
              <w:spacing w:after="0"/>
              <w:rPr>
                <w:sz w:val="20"/>
                <w:szCs w:val="20"/>
                <w:color w:val="auto"/>
              </w:rPr>
            </w:pPr>
            <w:r>
              <w:rPr>
                <w:rFonts w:ascii="Arial" w:cs="Arial" w:eastAsia="Arial" w:hAnsi="Arial"/>
                <w:sz w:val="13"/>
                <w:szCs w:val="13"/>
                <w:b w:val="1"/>
                <w:bCs w:val="1"/>
                <w:color w:val="auto"/>
              </w:rPr>
              <w:t>(262)</w:t>
            </w:r>
          </w:p>
        </w:tc>
        <w:tc>
          <w:tcPr>
            <w:tcW w:w="160" w:type="dxa"/>
            <w:vAlign w:val="bottom"/>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560" w:type="dxa"/>
            <w:vAlign w:val="bottom"/>
            <w:gridSpan w:val="2"/>
          </w:tcPr>
          <w:p>
            <w:pPr>
              <w:jc w:val="right"/>
              <w:ind w:right="2"/>
              <w:spacing w:after="0"/>
              <w:rPr>
                <w:sz w:val="20"/>
                <w:szCs w:val="20"/>
                <w:color w:val="auto"/>
              </w:rPr>
            </w:pPr>
            <w:r>
              <w:rPr>
                <w:rFonts w:ascii="Arial" w:cs="Arial" w:eastAsia="Arial" w:hAnsi="Arial"/>
                <w:sz w:val="13"/>
                <w:szCs w:val="13"/>
                <w:b w:val="1"/>
                <w:bCs w:val="1"/>
                <w:color w:val="auto"/>
              </w:rPr>
              <w:t>(16,247)</w:t>
            </w:r>
          </w:p>
        </w:tc>
        <w:tc>
          <w:tcPr>
            <w:tcW w:w="180" w:type="dxa"/>
            <w:vAlign w:val="bottom"/>
            <w:gridSpan w:val="2"/>
          </w:tcPr>
          <w:p>
            <w:pPr>
              <w:jc w:val="right"/>
              <w:ind w:right="51"/>
              <w:spacing w:after="0"/>
              <w:rPr>
                <w:sz w:val="20"/>
                <w:szCs w:val="20"/>
                <w:color w:val="auto"/>
              </w:rPr>
            </w:pPr>
            <w:r>
              <w:rPr>
                <w:rFonts w:ascii="Arial" w:cs="Arial" w:eastAsia="Arial" w:hAnsi="Arial"/>
                <w:sz w:val="13"/>
                <w:szCs w:val="13"/>
                <w:b w:val="1"/>
                <w:bCs w:val="1"/>
                <w:color w:val="auto"/>
                <w:w w:val="82"/>
              </w:rPr>
              <w:t>$</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(465,460)</w:t>
            </w:r>
          </w:p>
        </w:tc>
        <w:tc>
          <w:tcPr>
            <w:tcW w:w="160" w:type="dxa"/>
            <w:vAlign w:val="bottom"/>
            <w:gridSpan w:val="2"/>
          </w:tcPr>
          <w:p>
            <w:pPr>
              <w:jc w:val="right"/>
              <w:ind w:right="11"/>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2"/>
          </w:tcPr>
          <w:p>
            <w:pPr>
              <w:jc w:val="right"/>
              <w:ind w:right="22"/>
              <w:spacing w:after="0"/>
              <w:rPr>
                <w:sz w:val="20"/>
                <w:szCs w:val="20"/>
                <w:color w:val="auto"/>
              </w:rPr>
            </w:pPr>
            <w:r>
              <w:rPr>
                <w:rFonts w:ascii="Arial" w:cs="Arial" w:eastAsia="Arial" w:hAnsi="Arial"/>
                <w:sz w:val="13"/>
                <w:szCs w:val="13"/>
                <w:b w:val="1"/>
                <w:bCs w:val="1"/>
                <w:color w:val="auto"/>
                <w:w w:val="97"/>
              </w:rPr>
              <w:t>(9,072)</w:t>
            </w:r>
          </w:p>
        </w:tc>
        <w:tc>
          <w:tcPr>
            <w:tcW w:w="240" w:type="dxa"/>
            <w:vAlign w:val="bottom"/>
          </w:tcPr>
          <w:p>
            <w:pPr>
              <w:spacing w:after="0"/>
              <w:rPr>
                <w:sz w:val="24"/>
                <w:szCs w:val="24"/>
                <w:color w:val="auto"/>
              </w:rPr>
            </w:pPr>
          </w:p>
        </w:tc>
        <w:tc>
          <w:tcPr>
            <w:tcW w:w="880" w:type="dxa"/>
            <w:vAlign w:val="bottom"/>
            <w:gridSpan w:val="3"/>
          </w:tcPr>
          <w:p>
            <w:pPr>
              <w:jc w:val="right"/>
              <w:ind w:right="51"/>
              <w:spacing w:after="0"/>
              <w:rPr>
                <w:sz w:val="20"/>
                <w:szCs w:val="20"/>
                <w:color w:val="auto"/>
              </w:rPr>
            </w:pPr>
            <w:r>
              <w:rPr>
                <w:rFonts w:ascii="Arial" w:cs="Arial" w:eastAsia="Arial" w:hAnsi="Arial"/>
                <w:sz w:val="13"/>
                <w:szCs w:val="13"/>
                <w:b w:val="1"/>
                <w:bCs w:val="1"/>
                <w:color w:val="auto"/>
              </w:rPr>
              <w:t>$</w:t>
            </w:r>
          </w:p>
        </w:tc>
        <w:tc>
          <w:tcPr>
            <w:tcW w:w="540" w:type="dxa"/>
            <w:vAlign w:val="bottom"/>
            <w:gridSpan w:val="2"/>
          </w:tcPr>
          <w:p>
            <w:pPr>
              <w:jc w:val="right"/>
              <w:ind w:right="22"/>
              <w:spacing w:after="0"/>
              <w:rPr>
                <w:sz w:val="20"/>
                <w:szCs w:val="20"/>
                <w:color w:val="auto"/>
              </w:rPr>
            </w:pPr>
            <w:r>
              <w:rPr>
                <w:rFonts w:ascii="Arial" w:cs="Arial" w:eastAsia="Arial" w:hAnsi="Arial"/>
                <w:sz w:val="13"/>
                <w:szCs w:val="13"/>
                <w:b w:val="1"/>
                <w:bCs w:val="1"/>
                <w:color w:val="auto"/>
              </w:rPr>
              <w:t>(2,910)</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84"/>
              </w:rPr>
              <w:t>$ 1,454,902</w:t>
            </w:r>
          </w:p>
        </w:tc>
        <w:tc>
          <w:tcPr>
            <w:tcW w:w="0" w:type="dxa"/>
            <w:vAlign w:val="bottom"/>
          </w:tcPr>
          <w:p>
            <w:pPr>
              <w:spacing w:after="0"/>
              <w:rPr>
                <w:sz w:val="1"/>
                <w:szCs w:val="1"/>
                <w:color w:val="auto"/>
              </w:rPr>
            </w:pPr>
          </w:p>
        </w:tc>
      </w:tr>
      <w:tr>
        <w:trPr>
          <w:trHeight w:val="372"/>
        </w:trPr>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960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4,457</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(4,044)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413</w:t>
            </w: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25,144</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25,144</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22"/>
              <w:spacing w:after="0"/>
              <w:rPr>
                <w:sz w:val="20"/>
                <w:szCs w:val="20"/>
                <w:color w:val="auto"/>
              </w:rPr>
            </w:pPr>
            <w:r>
              <w:rPr>
                <w:rFonts w:ascii="Arial" w:cs="Arial" w:eastAsia="Arial" w:hAnsi="Arial"/>
                <w:sz w:val="13"/>
                <w:szCs w:val="13"/>
                <w:b w:val="1"/>
                <w:bCs w:val="1"/>
                <w:color w:val="auto"/>
              </w:rPr>
              <w:t>150,012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ind w:right="131"/>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150,012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tcPr>
          <w:p>
            <w:pPr>
              <w:jc w:val="right"/>
              <w:ind w:right="62"/>
              <w:spacing w:after="0"/>
              <w:rPr>
                <w:sz w:val="20"/>
                <w:szCs w:val="20"/>
                <w:color w:val="auto"/>
              </w:rPr>
            </w:pPr>
            <w:r>
              <w:rPr>
                <w:rFonts w:ascii="Arial" w:cs="Arial" w:eastAsia="Arial" w:hAnsi="Arial"/>
                <w:sz w:val="13"/>
                <w:szCs w:val="13"/>
                <w:b w:val="1"/>
                <w:bCs w:val="1"/>
                <w:color w:val="auto"/>
              </w:rPr>
              <w:t>4,063</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154,075</w:t>
            </w: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ind w:right="2"/>
              <w:spacing w:after="0"/>
              <w:rPr>
                <w:sz w:val="20"/>
                <w:szCs w:val="20"/>
                <w:color w:val="auto"/>
              </w:rPr>
            </w:pPr>
            <w:r>
              <w:rPr>
                <w:rFonts w:ascii="Arial" w:cs="Arial" w:eastAsia="Arial" w:hAnsi="Arial"/>
                <w:sz w:val="13"/>
                <w:szCs w:val="13"/>
                <w:b w:val="1"/>
                <w:bCs w:val="1"/>
                <w:color w:val="auto"/>
              </w:rPr>
              <w:t>(11,224)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(11,224)</w:t>
            </w:r>
          </w:p>
        </w:tc>
        <w:tc>
          <w:tcPr>
            <w:tcW w:w="160" w:type="dxa"/>
            <w:vAlign w:val="bottom"/>
          </w:tcPr>
          <w:p>
            <w:pPr>
              <w:spacing w:after="0"/>
              <w:rPr>
                <w:sz w:val="14"/>
                <w:szCs w:val="14"/>
                <w:color w:val="auto"/>
              </w:rPr>
            </w:pPr>
          </w:p>
        </w:tc>
        <w:tc>
          <w:tcPr>
            <w:tcW w:w="540" w:type="dxa"/>
            <w:vAlign w:val="bottom"/>
            <w:gridSpan w:val="2"/>
          </w:tcPr>
          <w:p>
            <w:pPr>
              <w:jc w:val="right"/>
              <w:ind w:right="22"/>
              <w:spacing w:after="0"/>
              <w:rPr>
                <w:sz w:val="20"/>
                <w:szCs w:val="20"/>
                <w:color w:val="auto"/>
              </w:rPr>
            </w:pPr>
            <w:r>
              <w:rPr>
                <w:rFonts w:ascii="Arial" w:cs="Arial" w:eastAsia="Arial" w:hAnsi="Arial"/>
                <w:sz w:val="13"/>
                <w:szCs w:val="13"/>
                <w:b w:val="1"/>
                <w:bCs w:val="1"/>
                <w:color w:val="auto"/>
              </w:rPr>
              <w:t>(7,771)</w:t>
            </w: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(18,995)</w:t>
            </w: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62"/>
              <w:spacing w:after="0"/>
              <w:rPr>
                <w:sz w:val="20"/>
                <w:szCs w:val="20"/>
                <w:color w:val="auto"/>
              </w:rPr>
            </w:pPr>
            <w:r>
              <w:rPr>
                <w:rFonts w:ascii="Arial" w:cs="Arial" w:eastAsia="Arial" w:hAnsi="Arial"/>
                <w:sz w:val="13"/>
                <w:szCs w:val="13"/>
                <w:b w:val="1"/>
                <w:bCs w:val="1"/>
                <w:color w:val="auto"/>
              </w:rPr>
              <w:t>709</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709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709</w:t>
            </w: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gridSpan w:val="2"/>
          </w:tcPr>
          <w:p>
            <w:pPr>
              <w:jc w:val="right"/>
              <w:ind w:right="22"/>
              <w:spacing w:after="0" w:line="136" w:lineRule="exact"/>
              <w:rPr>
                <w:sz w:val="20"/>
                <w:szCs w:val="20"/>
                <w:color w:val="auto"/>
              </w:rPr>
            </w:pPr>
            <w:r>
              <w:rPr>
                <w:rFonts w:ascii="Arial" w:cs="Arial" w:eastAsia="Arial" w:hAnsi="Arial"/>
                <w:sz w:val="13"/>
                <w:szCs w:val="13"/>
                <w:b w:val="1"/>
                <w:bCs w:val="1"/>
                <w:color w:val="auto"/>
              </w:rPr>
              <w:t>(859)</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tcPr>
          <w:p>
            <w:pPr>
              <w:jc w:val="right"/>
              <w:ind w:right="60"/>
              <w:spacing w:after="0" w:line="136" w:lineRule="exact"/>
              <w:rPr>
                <w:sz w:val="20"/>
                <w:szCs w:val="20"/>
                <w:color w:val="auto"/>
              </w:rPr>
            </w:pPr>
            <w:r>
              <w:rPr>
                <w:rFonts w:ascii="Arial" w:cs="Arial" w:eastAsia="Arial" w:hAnsi="Arial"/>
                <w:sz w:val="13"/>
                <w:szCs w:val="13"/>
                <w:b w:val="1"/>
                <w:bCs w:val="1"/>
                <w:color w:val="auto"/>
              </w:rPr>
              <w:t>(859)</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spacing w:after="0" w:line="136" w:lineRule="exact"/>
              <w:rPr>
                <w:sz w:val="20"/>
                <w:szCs w:val="20"/>
                <w:color w:val="auto"/>
              </w:rPr>
            </w:pPr>
            <w:r>
              <w:rPr>
                <w:rFonts w:ascii="Arial" w:cs="Arial" w:eastAsia="Arial" w:hAnsi="Arial"/>
                <w:sz w:val="13"/>
                <w:szCs w:val="13"/>
                <w:b w:val="1"/>
                <w:bCs w:val="1"/>
                <w:color w:val="auto"/>
              </w:rPr>
              <w:t>(859)</w:t>
            </w:r>
          </w:p>
        </w:tc>
        <w:tc>
          <w:tcPr>
            <w:tcW w:w="0" w:type="dxa"/>
            <w:vAlign w:val="bottom"/>
          </w:tcPr>
          <w:p>
            <w:pPr>
              <w:spacing w:after="0"/>
              <w:rPr>
                <w:sz w:val="1"/>
                <w:szCs w:val="1"/>
                <w:color w:val="auto"/>
              </w:rPr>
            </w:pPr>
          </w:p>
        </w:tc>
      </w:tr>
      <w:tr>
        <w:trPr>
          <w:trHeight w:val="175"/>
        </w:trPr>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rPr>
              <w:t>138,638</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2"/>
        </w:trPr>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108,970</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435,453</w:t>
            </w:r>
          </w:p>
        </w:tc>
        <w:tc>
          <w:tcPr>
            <w:tcW w:w="8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u w:val="single" w:color="auto"/>
                <w:color w:val="auto"/>
                <w:w w:val="92"/>
              </w:rPr>
              <w:t>$</w:t>
            </w:r>
            <w:r>
              <w:rPr>
                <w:rFonts w:ascii="Arial" w:cs="Arial" w:eastAsia="Arial" w:hAnsi="Arial"/>
                <w:sz w:val="13"/>
                <w:szCs w:val="13"/>
                <w:b w:val="1"/>
                <w:bCs w:val="1"/>
                <w:color w:val="auto"/>
                <w:w w:val="92"/>
              </w:rPr>
              <w:t>1,389,051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82"/>
              </w:rPr>
              <w:t>$</w:t>
            </w:r>
          </w:p>
        </w:tc>
        <w:tc>
          <w:tcPr>
            <w:tcW w:w="24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w w:val="74"/>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149,906</w:t>
            </w:r>
          </w:p>
        </w:tc>
        <w:tc>
          <w:tcPr>
            <w:tcW w:w="80" w:type="dxa"/>
            <w:vAlign w:val="bottom"/>
          </w:tcPr>
          <w:p>
            <w:pPr>
              <w:spacing w:after="0"/>
              <w:rPr>
                <w:sz w:val="24"/>
                <w:szCs w:val="24"/>
                <w:color w:val="auto"/>
              </w:rPr>
            </w:pPr>
          </w:p>
        </w:tc>
        <w:tc>
          <w:tcPr>
            <w:tcW w:w="30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(412</w:t>
            </w:r>
          </w:p>
        </w:tc>
        <w:tc>
          <w:tcPr>
            <w:tcW w:w="100" w:type="dxa"/>
            <w:vAlign w:val="bottom"/>
          </w:tcPr>
          <w:p>
            <w:pPr>
              <w:jc w:val="right"/>
              <w:ind w:right="22"/>
              <w:spacing w:after="0"/>
              <w:rPr>
                <w:sz w:val="20"/>
                <w:szCs w:val="20"/>
                <w:color w:val="auto"/>
              </w:rPr>
            </w:pPr>
            <w:r>
              <w:rPr>
                <w:rFonts w:ascii="Arial" w:cs="Arial" w:eastAsia="Arial" w:hAnsi="Arial"/>
                <w:sz w:val="8"/>
                <w:szCs w:val="8"/>
                <w:b w:val="1"/>
                <w:bCs w:val="1"/>
                <w:color w:val="auto"/>
                <w:w w:val="73"/>
              </w:rPr>
              <w:t>)</w:t>
            </w: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(27,471</w:t>
            </w:r>
          </w:p>
        </w:tc>
        <w:tc>
          <w:tcPr>
            <w:tcW w:w="100" w:type="dxa"/>
            <w:vAlign w:val="bottom"/>
            <w:gridSpan w:val="2"/>
          </w:tcPr>
          <w:p>
            <w:pPr>
              <w:jc w:val="right"/>
              <w:spacing w:after="0"/>
              <w:rPr>
                <w:sz w:val="20"/>
                <w:szCs w:val="20"/>
                <w:color w:val="auto"/>
              </w:rPr>
            </w:pPr>
            <w:r>
              <w:rPr>
                <w:rFonts w:ascii="Arial" w:cs="Arial" w:eastAsia="Arial" w:hAnsi="Arial"/>
                <w:sz w:val="8"/>
                <w:szCs w:val="8"/>
                <w:b w:val="1"/>
                <w:bCs w:val="1"/>
                <w:color w:val="auto"/>
                <w:w w:val="73"/>
              </w:rPr>
              <w:t>)</w:t>
            </w: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(315,448</w:t>
            </w:r>
          </w:p>
        </w:tc>
        <w:tc>
          <w:tcPr>
            <w:tcW w:w="100" w:type="dxa"/>
            <w:vAlign w:val="bottom"/>
            <w:gridSpan w:val="2"/>
          </w:tcPr>
          <w:p>
            <w:pPr>
              <w:jc w:val="right"/>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(9,072</w:t>
            </w:r>
          </w:p>
        </w:tc>
        <w:tc>
          <w:tcPr>
            <w:tcW w:w="100" w:type="dxa"/>
            <w:vAlign w:val="bottom"/>
          </w:tcPr>
          <w:p>
            <w:pPr>
              <w:jc w:val="right"/>
              <w:ind w:right="22"/>
              <w:spacing w:after="0"/>
              <w:rPr>
                <w:sz w:val="20"/>
                <w:szCs w:val="20"/>
                <w:color w:val="auto"/>
              </w:rPr>
            </w:pPr>
            <w:r>
              <w:rPr>
                <w:rFonts w:ascii="Arial" w:cs="Arial" w:eastAsia="Arial" w:hAnsi="Arial"/>
                <w:sz w:val="8"/>
                <w:szCs w:val="8"/>
                <w:b w:val="1"/>
                <w:bCs w:val="1"/>
                <w:color w:val="auto"/>
                <w:w w:val="73"/>
              </w:rPr>
              <w:t>)</w:t>
            </w:r>
          </w:p>
        </w:tc>
        <w:tc>
          <w:tcPr>
            <w:tcW w:w="240" w:type="dxa"/>
            <w:vAlign w:val="bottom"/>
          </w:tcPr>
          <w:p>
            <w:pPr>
              <w:spacing w:after="0"/>
              <w:rPr>
                <w:sz w:val="24"/>
                <w:szCs w:val="24"/>
                <w:color w:val="auto"/>
              </w:rPr>
            </w:pPr>
          </w:p>
        </w:tc>
        <w:tc>
          <w:tcPr>
            <w:tcW w:w="720" w:type="dxa"/>
            <w:vAlign w:val="bottom"/>
            <w:gridSpan w:val="2"/>
          </w:tcPr>
          <w:p>
            <w:pPr>
              <w:spacing w:after="0"/>
              <w:rPr>
                <w:sz w:val="24"/>
                <w:szCs w:val="24"/>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(6,618</w:t>
            </w:r>
          </w:p>
        </w:tc>
        <w:tc>
          <w:tcPr>
            <w:tcW w:w="100" w:type="dxa"/>
            <w:vAlign w:val="bottom"/>
          </w:tcPr>
          <w:p>
            <w:pPr>
              <w:jc w:val="right"/>
              <w:ind w:right="22"/>
              <w:spacing w:after="0"/>
              <w:rPr>
                <w:sz w:val="20"/>
                <w:szCs w:val="20"/>
                <w:color w:val="auto"/>
              </w:rPr>
            </w:pPr>
            <w:r>
              <w:rPr>
                <w:rFonts w:ascii="Arial" w:cs="Arial" w:eastAsia="Arial" w:hAnsi="Arial"/>
                <w:sz w:val="8"/>
                <w:szCs w:val="8"/>
                <w:b w:val="1"/>
                <w:bCs w:val="1"/>
                <w:color w:val="auto"/>
                <w:w w:val="73"/>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u w:val="single" w:color="auto"/>
                <w:color w:val="auto"/>
                <w:w w:val="89"/>
              </w:rPr>
              <w:t>$</w:t>
            </w:r>
            <w:r>
              <w:rPr>
                <w:rFonts w:ascii="Arial" w:cs="Arial" w:eastAsia="Arial" w:hAnsi="Arial"/>
                <w:sz w:val="13"/>
                <w:szCs w:val="13"/>
                <w:b w:val="1"/>
                <w:bCs w:val="1"/>
                <w:color w:val="auto"/>
                <w:w w:val="89"/>
              </w:rPr>
              <w:t>1,615,389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108,883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-3161665</wp:posOffset>
            </wp:positionV>
            <wp:extent cx="7202170"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02170" cy="8572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-2990215</wp:posOffset>
            </wp:positionV>
            <wp:extent cx="7202170" cy="1720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02170" cy="17208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-2732405</wp:posOffset>
            </wp:positionV>
            <wp:extent cx="7202170"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02170" cy="8572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-2474595</wp:posOffset>
            </wp:positionV>
            <wp:extent cx="7202170" cy="1720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02170" cy="17208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-2201545</wp:posOffset>
            </wp:positionV>
            <wp:extent cx="7202170" cy="1092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02170" cy="10922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-1951355</wp:posOffset>
            </wp:positionV>
            <wp:extent cx="7202170" cy="1720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02170" cy="17208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-1693545</wp:posOffset>
            </wp:positionV>
            <wp:extent cx="7202170"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02170" cy="8572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-1522095</wp:posOffset>
            </wp:positionV>
            <wp:extent cx="7202170"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02170" cy="8572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-1350010</wp:posOffset>
            </wp:positionV>
            <wp:extent cx="7202170" cy="85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02170" cy="8572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-1092835</wp:posOffset>
            </wp:positionV>
            <wp:extent cx="7202170" cy="1720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02170" cy="17208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-819150</wp:posOffset>
            </wp:positionV>
            <wp:extent cx="7202170" cy="1092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02170" cy="10922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-569595</wp:posOffset>
            </wp:positionV>
            <wp:extent cx="7202170" cy="1720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02170" cy="17208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-257175</wp:posOffset>
            </wp:positionV>
            <wp:extent cx="7202170" cy="257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02170" cy="257810"/>
                    </a:xfrm>
                    <a:prstGeom prst="rect">
                      <a:avLst/>
                    </a:prstGeom>
                    <a:noFill/>
                  </pic:spPr>
                </pic:pic>
              </a:graphicData>
            </a:graphic>
          </wp:anchor>
        </w:drawing>
      </w:r>
    </w:p>
    <w:p>
      <w:pPr>
        <w:spacing w:after="0" w:line="168" w:lineRule="exact"/>
        <w:rPr>
          <w:sz w:val="20"/>
          <w:szCs w:val="20"/>
          <w:color w:val="auto"/>
        </w:rPr>
      </w:pPr>
    </w:p>
    <w:p>
      <w:pPr>
        <w:sectPr>
          <w:pgSz w:w="11900" w:h="16838" w:orient="portrait"/>
          <w:cols w:equalWidth="0" w:num="2">
            <w:col w:w="2280" w:space="140"/>
            <w:col w:w="8920"/>
          </w:cols>
          <w:pgMar w:left="320" w:top="283"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See notes to consolidated financial statements.</w:t>
      </w: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135255</wp:posOffset>
            </wp:positionV>
            <wp:extent cx="7169785" cy="48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340"/>
          </w:cols>
          <w:pgMar w:left="320" w:top="283"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38"/>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5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r>
      <w:tr>
        <w:trPr>
          <w:trHeight w:val="221"/>
        </w:trPr>
        <w:tc>
          <w:tcPr>
            <w:tcW w:w="5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 OPERATING ACTIVITIES</w:t>
            </w: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7"/>
        </w:trPr>
        <w:tc>
          <w:tcPr>
            <w:tcW w:w="5960" w:type="dxa"/>
            <w:vAlign w:val="bottom"/>
          </w:tcPr>
          <w:p>
            <w:pPr>
              <w:ind w:left="120"/>
              <w:spacing w:after="0"/>
              <w:rPr>
                <w:sz w:val="20"/>
                <w:szCs w:val="20"/>
                <w:color w:val="auto"/>
              </w:rPr>
            </w:pPr>
            <w:r>
              <w:rPr>
                <w:rFonts w:ascii="Arial" w:cs="Arial" w:eastAsia="Arial" w:hAnsi="Arial"/>
                <w:sz w:val="16"/>
                <w:szCs w:val="16"/>
                <w:b w:val="1"/>
                <w:bCs w:val="1"/>
                <w:color w:val="auto"/>
              </w:rPr>
              <w:t>Net profit for the period</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154,075</w:t>
            </w:r>
          </w:p>
        </w:tc>
        <w:tc>
          <w:tcPr>
            <w:tcW w:w="20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83,289</w:t>
            </w: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88,073</w:t>
            </w:r>
          </w:p>
        </w:tc>
      </w:tr>
      <w:tr>
        <w:trPr>
          <w:trHeight w:val="180"/>
        </w:trPr>
        <w:tc>
          <w:tcPr>
            <w:tcW w:w="5960" w:type="dxa"/>
            <w:vAlign w:val="bottom"/>
            <w:shd w:val="clear" w:color="auto" w:fill="CCEEFF"/>
          </w:tcPr>
          <w:p>
            <w:pPr>
              <w:ind w:left="120"/>
              <w:spacing w:after="0" w:line="181" w:lineRule="exact"/>
              <w:rPr>
                <w:sz w:val="20"/>
                <w:szCs w:val="20"/>
                <w:color w:val="auto"/>
              </w:rPr>
            </w:pPr>
            <w:r>
              <w:rPr>
                <w:rFonts w:ascii="Arial" w:cs="Arial" w:eastAsia="Arial" w:hAnsi="Arial"/>
                <w:sz w:val="16"/>
                <w:szCs w:val="16"/>
                <w:b w:val="1"/>
                <w:bCs w:val="1"/>
                <w:color w:val="auto"/>
              </w:rPr>
              <w:t>Adjustments to reconcile net profit for the period</w:t>
            </w: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3"/>
        </w:trPr>
        <w:tc>
          <w:tcPr>
            <w:tcW w:w="59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 net cash provided by operating activities: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7"/>
        </w:trPr>
        <w:tc>
          <w:tcPr>
            <w:tcW w:w="5960" w:type="dxa"/>
            <w:vAlign w:val="bottom"/>
          </w:tcPr>
          <w:p>
            <w:pPr>
              <w:ind w:left="260"/>
              <w:spacing w:after="0"/>
              <w:rPr>
                <w:sz w:val="20"/>
                <w:szCs w:val="20"/>
                <w:color w:val="auto"/>
              </w:rPr>
            </w:pPr>
            <w:r>
              <w:rPr>
                <w:rFonts w:ascii="Arial" w:cs="Arial" w:eastAsia="Arial" w:hAnsi="Arial"/>
                <w:sz w:val="16"/>
                <w:szCs w:val="16"/>
                <w:b w:val="1"/>
                <w:bCs w:val="1"/>
                <w:color w:val="auto"/>
              </w:rPr>
              <w:t>Income and expense items not involving cash flows:</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96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Depreciation and amortization</w:t>
            </w: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270,710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240,531</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214,474</w:t>
            </w:r>
          </w:p>
        </w:tc>
      </w:tr>
      <w:tr>
        <w:trPr>
          <w:trHeight w:val="197"/>
        </w:trPr>
        <w:tc>
          <w:tcPr>
            <w:tcW w:w="5960" w:type="dxa"/>
            <w:vAlign w:val="bottom"/>
          </w:tcPr>
          <w:p>
            <w:pPr>
              <w:ind w:left="400"/>
              <w:spacing w:after="0"/>
              <w:rPr>
                <w:sz w:val="20"/>
                <w:szCs w:val="20"/>
                <w:color w:val="auto"/>
              </w:rPr>
            </w:pPr>
            <w:r>
              <w:rPr>
                <w:rFonts w:ascii="Arial" w:cs="Arial" w:eastAsia="Arial" w:hAnsi="Arial"/>
                <w:sz w:val="16"/>
                <w:szCs w:val="16"/>
                <w:b w:val="1"/>
                <w:bCs w:val="1"/>
                <w:color w:val="auto"/>
              </w:rPr>
              <w:t>Effect of exchange rate differences on debentures</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1,138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6,645</w:t>
            </w:r>
          </w:p>
        </w:tc>
        <w:tc>
          <w:tcPr>
            <w:tcW w:w="2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10,294</w:t>
            </w:r>
          </w:p>
        </w:tc>
      </w:tr>
      <w:tr>
        <w:trPr>
          <w:trHeight w:val="197"/>
        </w:trPr>
        <w:tc>
          <w:tcPr>
            <w:tcW w:w="596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Other expense (income), net</w:t>
            </w: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(1,461)</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5,215</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(4,293)</w:t>
            </w:r>
          </w:p>
        </w:tc>
      </w:tr>
      <w:tr>
        <w:trPr>
          <w:trHeight w:val="197"/>
        </w:trPr>
        <w:tc>
          <w:tcPr>
            <w:tcW w:w="5960" w:type="dxa"/>
            <w:vAlign w:val="bottom"/>
          </w:tcPr>
          <w:p>
            <w:pPr>
              <w:ind w:left="120"/>
              <w:spacing w:after="0"/>
              <w:rPr>
                <w:sz w:val="20"/>
                <w:szCs w:val="20"/>
                <w:color w:val="auto"/>
              </w:rPr>
            </w:pPr>
            <w:r>
              <w:rPr>
                <w:rFonts w:ascii="Arial" w:cs="Arial" w:eastAsia="Arial" w:hAnsi="Arial"/>
                <w:sz w:val="16"/>
                <w:szCs w:val="16"/>
                <w:b w:val="1"/>
                <w:bCs w:val="1"/>
                <w:color w:val="auto"/>
              </w:rPr>
              <w:t>Changes in assets and liabilities:</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96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Trade accounts receivable</w:t>
            </w: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14,335</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(33,087)</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27,317</w:t>
            </w:r>
          </w:p>
        </w:tc>
      </w:tr>
      <w:tr>
        <w:trPr>
          <w:trHeight w:val="197"/>
        </w:trPr>
        <w:tc>
          <w:tcPr>
            <w:tcW w:w="5960" w:type="dxa"/>
            <w:vAlign w:val="bottom"/>
          </w:tcPr>
          <w:p>
            <w:pPr>
              <w:ind w:left="400"/>
              <w:spacing w:after="0"/>
              <w:rPr>
                <w:sz w:val="20"/>
                <w:szCs w:val="20"/>
                <w:color w:val="auto"/>
              </w:rPr>
            </w:pPr>
            <w:r>
              <w:rPr>
                <w:rFonts w:ascii="Arial" w:cs="Arial" w:eastAsia="Arial" w:hAnsi="Arial"/>
                <w:sz w:val="16"/>
                <w:szCs w:val="16"/>
                <w:b w:val="1"/>
                <w:bCs w:val="1"/>
                <w:color w:val="auto"/>
              </w:rPr>
              <w:t>Other current assets</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(26,731)</w:t>
            </w:r>
          </w:p>
        </w:tc>
        <w:tc>
          <w:tcPr>
            <w:tcW w:w="2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(7,999)</w:t>
            </w:r>
          </w:p>
        </w:tc>
        <w:tc>
          <w:tcPr>
            <w:tcW w:w="2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(4,600)</w:t>
            </w:r>
          </w:p>
        </w:tc>
      </w:tr>
      <w:tr>
        <w:trPr>
          <w:trHeight w:val="197"/>
        </w:trPr>
        <w:tc>
          <w:tcPr>
            <w:tcW w:w="596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Inventories</w:t>
            </w: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(44,192)</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(2,891)</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(21,021)</w:t>
            </w:r>
          </w:p>
        </w:tc>
      </w:tr>
      <w:tr>
        <w:trPr>
          <w:trHeight w:val="197"/>
        </w:trPr>
        <w:tc>
          <w:tcPr>
            <w:tcW w:w="5960" w:type="dxa"/>
            <w:vAlign w:val="bottom"/>
          </w:tcPr>
          <w:p>
            <w:pPr>
              <w:ind w:left="400"/>
              <w:spacing w:after="0"/>
              <w:rPr>
                <w:sz w:val="20"/>
                <w:szCs w:val="20"/>
                <w:color w:val="auto"/>
              </w:rPr>
            </w:pPr>
            <w:r>
              <w:rPr>
                <w:rFonts w:ascii="Arial" w:cs="Arial" w:eastAsia="Arial" w:hAnsi="Arial"/>
                <w:sz w:val="16"/>
                <w:szCs w:val="16"/>
                <w:b w:val="1"/>
                <w:bCs w:val="1"/>
                <w:color w:val="auto"/>
              </w:rPr>
              <w:t>Trade accounts payable</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(25,004)</w:t>
            </w:r>
          </w:p>
        </w:tc>
        <w:tc>
          <w:tcPr>
            <w:tcW w:w="2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(18,576)</w:t>
            </w:r>
          </w:p>
        </w:tc>
        <w:tc>
          <w:tcPr>
            <w:tcW w:w="2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(339)</w:t>
            </w:r>
          </w:p>
        </w:tc>
      </w:tr>
      <w:tr>
        <w:trPr>
          <w:trHeight w:val="197"/>
        </w:trPr>
        <w:tc>
          <w:tcPr>
            <w:tcW w:w="596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Deferred revenue and customers' advances</w:t>
            </w: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74,524</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(3,072)</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(10,331)</w:t>
            </w:r>
          </w:p>
        </w:tc>
      </w:tr>
      <w:tr>
        <w:trPr>
          <w:trHeight w:val="197"/>
        </w:trPr>
        <w:tc>
          <w:tcPr>
            <w:tcW w:w="5960" w:type="dxa"/>
            <w:vAlign w:val="bottom"/>
          </w:tcPr>
          <w:p>
            <w:pPr>
              <w:ind w:left="400"/>
              <w:spacing w:after="0"/>
              <w:rPr>
                <w:sz w:val="20"/>
                <w:szCs w:val="20"/>
                <w:color w:val="auto"/>
              </w:rPr>
            </w:pPr>
            <w:r>
              <w:rPr>
                <w:rFonts w:ascii="Arial" w:cs="Arial" w:eastAsia="Arial" w:hAnsi="Arial"/>
                <w:sz w:val="16"/>
                <w:szCs w:val="16"/>
                <w:b w:val="1"/>
                <w:bCs w:val="1"/>
                <w:color w:val="auto"/>
              </w:rPr>
              <w:t>Employee related liabilities and other current liabilities</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16,850</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347</w:t>
            </w:r>
          </w:p>
        </w:tc>
        <w:tc>
          <w:tcPr>
            <w:tcW w:w="2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(9,435)</w:t>
            </w:r>
          </w:p>
        </w:tc>
      </w:tr>
      <w:tr>
        <w:trPr>
          <w:trHeight w:val="197"/>
        </w:trPr>
        <w:tc>
          <w:tcPr>
            <w:tcW w:w="596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Long-term employee related liabilities</w:t>
            </w: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(2,681)</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3,936</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(310)</w:t>
            </w:r>
          </w:p>
        </w:tc>
      </w:tr>
      <w:tr>
        <w:trPr>
          <w:trHeight w:val="201"/>
        </w:trPr>
        <w:tc>
          <w:tcPr>
            <w:tcW w:w="5960" w:type="dxa"/>
            <w:vAlign w:val="bottom"/>
          </w:tcPr>
          <w:p>
            <w:pPr>
              <w:ind w:left="400"/>
              <w:spacing w:after="0"/>
              <w:rPr>
                <w:sz w:val="20"/>
                <w:szCs w:val="20"/>
                <w:color w:val="auto"/>
              </w:rPr>
            </w:pPr>
            <w:r>
              <w:rPr>
                <w:rFonts w:ascii="Arial" w:cs="Arial" w:eastAsia="Arial" w:hAnsi="Arial"/>
                <w:sz w:val="16"/>
                <w:szCs w:val="16"/>
                <w:b w:val="1"/>
                <w:bCs w:val="1"/>
                <w:color w:val="auto"/>
              </w:rPr>
              <w:t>Deferred tax, net and other long-term liabilities</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(10,270)</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2,223</w:t>
            </w:r>
          </w:p>
        </w:tc>
        <w:tc>
          <w:tcPr>
            <w:tcW w:w="2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1,491</w:t>
            </w:r>
          </w:p>
        </w:tc>
      </w:tr>
      <w:tr>
        <w:trPr>
          <w:trHeight w:val="201"/>
        </w:trPr>
        <w:tc>
          <w:tcPr>
            <w:tcW w:w="596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Net cash provided by operating activities</w:t>
            </w:r>
          </w:p>
        </w:tc>
        <w:tc>
          <w:tcPr>
            <w:tcW w:w="10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421,293</w:t>
            </w:r>
          </w:p>
        </w:tc>
        <w:tc>
          <w:tcPr>
            <w:tcW w:w="2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276,561</w:t>
            </w: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291,320</w:t>
            </w:r>
          </w:p>
        </w:tc>
        <w:tc>
          <w:tcPr>
            <w:tcW w:w="100" w:type="dxa"/>
            <w:vAlign w:val="bottom"/>
            <w:shd w:val="clear" w:color="auto" w:fill="CCEEFF"/>
          </w:tcPr>
          <w:p>
            <w:pPr>
              <w:spacing w:after="0"/>
              <w:rPr>
                <w:sz w:val="17"/>
                <w:szCs w:val="17"/>
                <w:color w:val="auto"/>
              </w:rPr>
            </w:pPr>
          </w:p>
        </w:tc>
      </w:tr>
      <w:tr>
        <w:trPr>
          <w:trHeight w:val="197"/>
        </w:trPr>
        <w:tc>
          <w:tcPr>
            <w:tcW w:w="596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 INVESTING ACTIVITIES</w:t>
            </w:r>
          </w:p>
        </w:tc>
        <w:tc>
          <w:tcPr>
            <w:tcW w:w="10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7"/>
        </w:trPr>
        <w:tc>
          <w:tcPr>
            <w:tcW w:w="59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Investments in property and equipment, net</w:t>
            </w: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(313,808)</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(313,656)</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(191,396)</w:t>
            </w:r>
          </w:p>
        </w:tc>
      </w:tr>
      <w:tr>
        <w:trPr>
          <w:trHeight w:val="197"/>
        </w:trPr>
        <w:tc>
          <w:tcPr>
            <w:tcW w:w="5960" w:type="dxa"/>
            <w:vAlign w:val="bottom"/>
          </w:tcPr>
          <w:p>
            <w:pPr>
              <w:ind w:left="120"/>
              <w:spacing w:after="0"/>
              <w:rPr>
                <w:sz w:val="20"/>
                <w:szCs w:val="20"/>
                <w:color w:val="auto"/>
              </w:rPr>
            </w:pPr>
            <w:r>
              <w:rPr>
                <w:rFonts w:ascii="Arial" w:cs="Arial" w:eastAsia="Arial" w:hAnsi="Arial"/>
                <w:sz w:val="16"/>
                <w:szCs w:val="16"/>
                <w:b w:val="1"/>
                <w:bCs w:val="1"/>
                <w:color w:val="auto"/>
              </w:rPr>
              <w:t>Proceeds related to sale and disposal of property and equipment</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34,548</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57,117</w:t>
            </w:r>
          </w:p>
        </w:tc>
        <w:tc>
          <w:tcPr>
            <w:tcW w:w="2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19,230</w:t>
            </w:r>
          </w:p>
        </w:tc>
      </w:tr>
      <w:tr>
        <w:trPr>
          <w:trHeight w:val="197"/>
        </w:trPr>
        <w:tc>
          <w:tcPr>
            <w:tcW w:w="59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Investments in other assets</w:t>
            </w: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(1,792)</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(1,450)</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(413)</w:t>
            </w:r>
          </w:p>
        </w:tc>
      </w:tr>
      <w:tr>
        <w:trPr>
          <w:trHeight w:val="201"/>
        </w:trPr>
        <w:tc>
          <w:tcPr>
            <w:tcW w:w="5960" w:type="dxa"/>
            <w:vAlign w:val="bottom"/>
          </w:tcPr>
          <w:p>
            <w:pPr>
              <w:ind w:left="120"/>
              <w:spacing w:after="0"/>
              <w:rPr>
                <w:sz w:val="20"/>
                <w:szCs w:val="20"/>
                <w:color w:val="auto"/>
              </w:rPr>
            </w:pPr>
            <w:r>
              <w:rPr>
                <w:rFonts w:ascii="Arial" w:cs="Arial" w:eastAsia="Arial" w:hAnsi="Arial"/>
                <w:sz w:val="16"/>
                <w:szCs w:val="16"/>
                <w:b w:val="1"/>
                <w:bCs w:val="1"/>
                <w:color w:val="auto"/>
              </w:rPr>
              <w:t>Deposits and marketable securities, net</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(57,892)</w:t>
            </w:r>
          </w:p>
        </w:tc>
        <w:tc>
          <w:tcPr>
            <w:tcW w:w="2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(105,620)</w:t>
            </w:r>
          </w:p>
        </w:tc>
        <w:tc>
          <w:tcPr>
            <w:tcW w:w="2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(132,515)</w:t>
            </w:r>
          </w:p>
        </w:tc>
      </w:tr>
      <w:tr>
        <w:trPr>
          <w:trHeight w:val="201"/>
        </w:trPr>
        <w:tc>
          <w:tcPr>
            <w:tcW w:w="5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Net cash used in investing activities</w:t>
            </w:r>
          </w:p>
        </w:tc>
        <w:tc>
          <w:tcPr>
            <w:tcW w:w="10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(338,944)</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(363,609)</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(305,094)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7"/>
        </w:trPr>
        <w:tc>
          <w:tcPr>
            <w:tcW w:w="5960" w:type="dxa"/>
            <w:vAlign w:val="bottom"/>
          </w:tcPr>
          <w:p>
            <w:pPr>
              <w:spacing w:after="0"/>
              <w:rPr>
                <w:sz w:val="20"/>
                <w:szCs w:val="20"/>
                <w:color w:val="auto"/>
              </w:rPr>
            </w:pPr>
            <w:r>
              <w:rPr>
                <w:rFonts w:ascii="Arial" w:cs="Arial" w:eastAsia="Arial" w:hAnsi="Arial"/>
                <w:sz w:val="16"/>
                <w:szCs w:val="16"/>
                <w:b w:val="1"/>
                <w:bCs w:val="1"/>
                <w:color w:val="auto"/>
              </w:rPr>
              <w:t>CASH FLOWS - FINANCING ACTIVITIES</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9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Exercise of options, net</w:t>
            </w: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458</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2,512</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1,842</w:t>
            </w:r>
          </w:p>
        </w:tc>
      </w:tr>
      <w:tr>
        <w:trPr>
          <w:trHeight w:val="197"/>
        </w:trPr>
        <w:tc>
          <w:tcPr>
            <w:tcW w:w="5960" w:type="dxa"/>
            <w:vAlign w:val="bottom"/>
          </w:tcPr>
          <w:p>
            <w:pPr>
              <w:ind w:left="120"/>
              <w:spacing w:after="0"/>
              <w:rPr>
                <w:sz w:val="20"/>
                <w:szCs w:val="20"/>
                <w:color w:val="auto"/>
              </w:rPr>
            </w:pPr>
            <w:r>
              <w:rPr>
                <w:rFonts w:ascii="Arial" w:cs="Arial" w:eastAsia="Arial" w:hAnsi="Arial"/>
                <w:sz w:val="16"/>
                <w:szCs w:val="16"/>
                <w:b w:val="1"/>
                <w:bCs w:val="1"/>
                <w:color w:val="auto"/>
              </w:rPr>
              <w:t>Proceeds from loans</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96,143</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59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Loans repayment</w:t>
            </w: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(97,174)</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5960" w:type="dxa"/>
            <w:vAlign w:val="bottom"/>
          </w:tcPr>
          <w:p>
            <w:pPr>
              <w:ind w:left="120"/>
              <w:spacing w:after="0"/>
              <w:rPr>
                <w:sz w:val="20"/>
                <w:szCs w:val="20"/>
                <w:color w:val="auto"/>
              </w:rPr>
            </w:pPr>
            <w:r>
              <w:rPr>
                <w:rFonts w:ascii="Arial" w:cs="Arial" w:eastAsia="Arial" w:hAnsi="Arial"/>
                <w:sz w:val="16"/>
                <w:szCs w:val="16"/>
                <w:b w:val="1"/>
                <w:bCs w:val="1"/>
                <w:color w:val="auto"/>
              </w:rPr>
              <w:t>Principal payments on account of capital lease obligation</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(35,391)</w:t>
            </w:r>
          </w:p>
        </w:tc>
        <w:tc>
          <w:tcPr>
            <w:tcW w:w="2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(25,364)</w:t>
            </w:r>
          </w:p>
        </w:tc>
        <w:tc>
          <w:tcPr>
            <w:tcW w:w="2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(19,402)</w:t>
            </w:r>
          </w:p>
        </w:tc>
      </w:tr>
      <w:tr>
        <w:trPr>
          <w:trHeight w:val="197"/>
        </w:trPr>
        <w:tc>
          <w:tcPr>
            <w:tcW w:w="59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Debentures repayment</w:t>
            </w: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40,893)</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(38,335)</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5"/>
        </w:trPr>
        <w:tc>
          <w:tcPr>
            <w:tcW w:w="59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5960" w:type="dxa"/>
            <w:vAlign w:val="bottom"/>
          </w:tcPr>
          <w:p>
            <w:pPr>
              <w:ind w:left="520"/>
              <w:spacing w:after="0"/>
              <w:rPr>
                <w:sz w:val="20"/>
                <w:szCs w:val="20"/>
                <w:color w:val="auto"/>
              </w:rPr>
            </w:pPr>
            <w:r>
              <w:rPr>
                <w:rFonts w:ascii="Arial" w:cs="Arial" w:eastAsia="Arial" w:hAnsi="Arial"/>
                <w:sz w:val="16"/>
                <w:szCs w:val="16"/>
                <w:b w:val="1"/>
                <w:bCs w:val="1"/>
                <w:color w:val="auto"/>
              </w:rPr>
              <w:t>Net cash used in financing activities</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(76,857)</w:t>
            </w:r>
          </w:p>
        </w:tc>
        <w:tc>
          <w:tcPr>
            <w:tcW w:w="2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(61,187)</w:t>
            </w:r>
          </w:p>
        </w:tc>
        <w:tc>
          <w:tcPr>
            <w:tcW w:w="2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(17,560)</w:t>
            </w:r>
          </w:p>
        </w:tc>
      </w:tr>
      <w:tr>
        <w:trPr>
          <w:trHeight w:val="237"/>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EFFECT OF FOREIGN CURRENCY EXCHANGE RATE CHANGE</w:t>
            </w:r>
          </w:p>
        </w:tc>
        <w:tc>
          <w:tcPr>
            <w:tcW w:w="10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(6,245)</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4,357</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1,804</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283" w:right="33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DECREASE IN CASH AND CASH EQUIVALENTS</w:t>
      </w:r>
    </w:p>
    <w:p>
      <w:pPr>
        <w:spacing w:after="0" w:line="37" w:lineRule="exact"/>
        <w:rPr>
          <w:sz w:val="20"/>
          <w:szCs w:val="20"/>
          <w:color w:val="auto"/>
        </w:rPr>
      </w:pPr>
    </w:p>
    <w:p>
      <w:pPr>
        <w:ind w:left="320"/>
        <w:spacing w:after="0" w:line="341" w:lineRule="auto"/>
        <w:rPr>
          <w:sz w:val="20"/>
          <w:szCs w:val="20"/>
          <w:color w:val="auto"/>
        </w:rPr>
      </w:pPr>
      <w:r>
        <w:rPr>
          <w:rFonts w:ascii="Arial" w:cs="Arial" w:eastAsia="Arial" w:hAnsi="Arial"/>
          <w:sz w:val="16"/>
          <w:szCs w:val="16"/>
          <w:b w:val="1"/>
          <w:bCs w:val="1"/>
          <w:color w:val="auto"/>
        </w:rPr>
        <w:t>CASH AND CASH EQUIVALENTS - BEGINNING OF PERIOD CASH AND CASH EQUIVALENTS - END OF PERIOD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notes to consolidated financial statements.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4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(753)</w:t>
            </w:r>
          </w:p>
        </w:tc>
        <w:tc>
          <w:tcPr>
            <w:tcW w:w="360" w:type="dxa"/>
            <w:vAlign w:val="bottom"/>
          </w:tcPr>
          <w:p>
            <w:pPr>
              <w:spacing w:after="0"/>
              <w:rPr>
                <w:sz w:val="17"/>
                <w:szCs w:val="17"/>
                <w:color w:val="auto"/>
              </w:rPr>
            </w:pPr>
          </w:p>
        </w:tc>
        <w:tc>
          <w:tcPr>
            <w:tcW w:w="1080" w:type="dxa"/>
            <w:vAlign w:val="bottom"/>
            <w:gridSpan w:val="2"/>
          </w:tcPr>
          <w:p>
            <w:pPr>
              <w:jc w:val="center"/>
              <w:ind w:left="38"/>
              <w:spacing w:after="0"/>
              <w:rPr>
                <w:sz w:val="20"/>
                <w:szCs w:val="20"/>
                <w:color w:val="auto"/>
              </w:rPr>
            </w:pPr>
            <w:r>
              <w:rPr>
                <w:rFonts w:ascii="Arial" w:cs="Arial" w:eastAsia="Arial" w:hAnsi="Arial"/>
                <w:sz w:val="16"/>
                <w:szCs w:val="16"/>
                <w:b w:val="1"/>
                <w:bCs w:val="1"/>
                <w:color w:val="auto"/>
                <w:w w:val="93"/>
              </w:rPr>
              <w:t>(143,878)</w:t>
            </w:r>
          </w:p>
        </w:tc>
        <w:tc>
          <w:tcPr>
            <w:tcW w:w="4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(29,530)</w:t>
            </w:r>
          </w:p>
        </w:tc>
      </w:tr>
      <w:tr>
        <w:trPr>
          <w:trHeight w:val="218"/>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211,683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center"/>
              <w:ind w:left="38"/>
              <w:spacing w:after="0"/>
              <w:rPr>
                <w:sz w:val="20"/>
                <w:szCs w:val="20"/>
                <w:color w:val="auto"/>
              </w:rPr>
            </w:pPr>
            <w:r>
              <w:rPr>
                <w:rFonts w:ascii="Arial" w:cs="Arial" w:eastAsia="Arial" w:hAnsi="Arial"/>
                <w:sz w:val="16"/>
                <w:szCs w:val="16"/>
                <w:b w:val="1"/>
                <w:bCs w:val="1"/>
                <w:color w:val="auto"/>
                <w:w w:val="89"/>
              </w:rPr>
              <w:t>355,561</w:t>
            </w:r>
          </w:p>
        </w:tc>
        <w:tc>
          <w:tcPr>
            <w:tcW w:w="4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385,091</w:t>
            </w:r>
          </w:p>
        </w:tc>
      </w:tr>
      <w:tr>
        <w:trPr>
          <w:trHeight w:val="197"/>
        </w:trPr>
        <w:tc>
          <w:tcPr>
            <w:tcW w:w="2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210,930</w:t>
            </w:r>
          </w:p>
        </w:tc>
        <w:tc>
          <w:tcPr>
            <w:tcW w:w="2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center"/>
              <w:ind w:left="258"/>
              <w:spacing w:after="0"/>
              <w:rPr>
                <w:sz w:val="20"/>
                <w:szCs w:val="20"/>
                <w:color w:val="auto"/>
              </w:rPr>
            </w:pPr>
            <w:r>
              <w:rPr>
                <w:rFonts w:ascii="Arial" w:cs="Arial" w:eastAsia="Arial" w:hAnsi="Arial"/>
                <w:sz w:val="16"/>
                <w:szCs w:val="16"/>
                <w:b w:val="1"/>
                <w:bCs w:val="1"/>
                <w:color w:val="auto"/>
                <w:w w:val="89"/>
              </w:rPr>
              <w:t>211,683</w:t>
            </w:r>
          </w:p>
        </w:tc>
        <w:tc>
          <w:tcPr>
            <w:tcW w:w="2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355,561</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-413385</wp:posOffset>
            </wp:positionV>
            <wp:extent cx="7144385" cy="125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-147955</wp:posOffset>
            </wp:positionV>
            <wp:extent cx="7144385" cy="148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44385" cy="1485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-3480435</wp:posOffset>
            </wp:positionH>
            <wp:positionV relativeFrom="paragraph">
              <wp:posOffset>128270</wp:posOffset>
            </wp:positionV>
            <wp:extent cx="7169785" cy="48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2">
            <w:col w:w="4920" w:space="540"/>
            <w:col w:w="5780"/>
          </w:cols>
          <w:pgMar w:left="320" w:top="283"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7"/>
          </w:tcPr>
          <w:p>
            <w:pPr>
              <w:jc w:val="right"/>
              <w:ind w:right="123"/>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1"/>
        </w:trPr>
        <w:tc>
          <w:tcPr>
            <w:tcW w:w="702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r>
      <w:tr>
        <w:trPr>
          <w:trHeight w:val="221"/>
        </w:trPr>
        <w:tc>
          <w:tcPr>
            <w:tcW w:w="7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NON-CASH ACTIVITIES: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197"/>
        </w:trPr>
        <w:tc>
          <w:tcPr>
            <w:tcW w:w="7020" w:type="dxa"/>
            <w:vAlign w:val="bottom"/>
          </w:tcPr>
          <w:p>
            <w:pPr>
              <w:ind w:left="120"/>
              <w:spacing w:after="0"/>
              <w:rPr>
                <w:sz w:val="20"/>
                <w:szCs w:val="20"/>
                <w:color w:val="auto"/>
              </w:rPr>
            </w:pPr>
            <w:r>
              <w:rPr>
                <w:rFonts w:ascii="Arial" w:cs="Arial" w:eastAsia="Arial" w:hAnsi="Arial"/>
                <w:sz w:val="16"/>
                <w:szCs w:val="16"/>
                <w:b w:val="1"/>
                <w:bCs w:val="1"/>
                <w:color w:val="auto"/>
              </w:rPr>
              <w:t>Investments in property and equipment</w:t>
            </w:r>
          </w:p>
        </w:tc>
        <w:tc>
          <w:tcPr>
            <w:tcW w:w="760" w:type="dxa"/>
            <w:vAlign w:val="bottom"/>
          </w:tcPr>
          <w:p>
            <w:pPr>
              <w:jc w:val="right"/>
              <w:ind w:right="644"/>
              <w:spacing w:after="0"/>
              <w:rPr>
                <w:sz w:val="20"/>
                <w:szCs w:val="20"/>
                <w:color w:val="auto"/>
              </w:rPr>
            </w:pPr>
            <w:r>
              <w:rPr>
                <w:rFonts w:ascii="Arial" w:cs="Arial" w:eastAsia="Arial" w:hAnsi="Arial"/>
                <w:sz w:val="10"/>
                <w:szCs w:val="10"/>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85"/>
              </w:rPr>
              <w:t>65,634</w:t>
            </w:r>
          </w:p>
        </w:tc>
        <w:tc>
          <w:tcPr>
            <w:tcW w:w="500" w:type="dxa"/>
            <w:vAlign w:val="bottom"/>
            <w:gridSpan w:val="2"/>
          </w:tcPr>
          <w:p>
            <w:pPr>
              <w:jc w:val="right"/>
              <w:ind w:right="123"/>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35,271</w:t>
            </w:r>
          </w:p>
        </w:tc>
        <w:tc>
          <w:tcPr>
            <w:tcW w:w="340" w:type="dxa"/>
            <w:vAlign w:val="bottom"/>
            <w:gridSpan w:val="2"/>
          </w:tcPr>
          <w:p>
            <w:pPr>
              <w:jc w:val="right"/>
              <w:ind w:right="103"/>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39,184</w:t>
            </w:r>
          </w:p>
        </w:tc>
      </w:tr>
      <w:tr>
        <w:trPr>
          <w:trHeight w:val="20"/>
        </w:trPr>
        <w:tc>
          <w:tcPr>
            <w:tcW w:w="7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4"/>
        </w:trPr>
        <w:tc>
          <w:tcPr>
            <w:tcW w:w="7020" w:type="dxa"/>
            <w:vAlign w:val="bottom"/>
            <w:tcBorders>
              <w:bottom w:val="single" w:sz="8" w:color="CCEEFF"/>
              <w:right w:val="single" w:sz="8" w:color="CCEEFF"/>
            </w:tcBorders>
            <w:shd w:val="clear" w:color="auto" w:fill="CCEEFF"/>
          </w:tcPr>
          <w:p>
            <w:pPr>
              <w:ind w:left="120"/>
              <w:spacing w:after="0" w:line="174" w:lineRule="exact"/>
              <w:rPr>
                <w:sz w:val="20"/>
                <w:szCs w:val="20"/>
                <w:color w:val="auto"/>
              </w:rPr>
            </w:pPr>
            <w:r>
              <w:rPr>
                <w:rFonts w:ascii="Arial" w:cs="Arial" w:eastAsia="Arial" w:hAnsi="Arial"/>
                <w:sz w:val="16"/>
                <w:szCs w:val="16"/>
                <w:b w:val="1"/>
                <w:bCs w:val="1"/>
                <w:color w:val="auto"/>
              </w:rPr>
              <w:t>Conversion of notes into share capital</w:t>
            </w:r>
          </w:p>
        </w:tc>
        <w:tc>
          <w:tcPr>
            <w:tcW w:w="760" w:type="dxa"/>
            <w:vAlign w:val="bottom"/>
            <w:tcBorders>
              <w:bottom w:val="single" w:sz="8" w:color="auto"/>
            </w:tcBorders>
            <w:shd w:val="clear" w:color="auto" w:fill="CCEEFF"/>
          </w:tcPr>
          <w:p>
            <w:pPr>
              <w:jc w:val="right"/>
              <w:ind w:right="644"/>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b w:val="1"/>
                <w:bCs w:val="1"/>
                <w:color w:val="auto"/>
              </w:rPr>
              <w:t>22,600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98"/>
        </w:trPr>
        <w:tc>
          <w:tcPr>
            <w:tcW w:w="7020" w:type="dxa"/>
            <w:vAlign w:val="bottom"/>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7"/>
        </w:trPr>
        <w:tc>
          <w:tcPr>
            <w:tcW w:w="70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Cash received during the period from interest</w:t>
            </w:r>
          </w:p>
        </w:tc>
        <w:tc>
          <w:tcPr>
            <w:tcW w:w="760" w:type="dxa"/>
            <w:vAlign w:val="bottom"/>
            <w:shd w:val="clear" w:color="auto" w:fill="CCEEFF"/>
          </w:tcPr>
          <w:p>
            <w:pPr>
              <w:jc w:val="right"/>
              <w:ind w:right="644"/>
              <w:spacing w:after="0"/>
              <w:rPr>
                <w:sz w:val="20"/>
                <w:szCs w:val="20"/>
                <w:color w:val="auto"/>
              </w:rPr>
            </w:pPr>
            <w:r>
              <w:rPr>
                <w:rFonts w:ascii="Arial" w:cs="Arial" w:eastAsia="Arial" w:hAnsi="Arial"/>
                <w:sz w:val="10"/>
                <w:szCs w:val="10"/>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5,590</w:t>
            </w:r>
          </w:p>
        </w:tc>
        <w:tc>
          <w:tcPr>
            <w:tcW w:w="500" w:type="dxa"/>
            <w:vAlign w:val="bottom"/>
            <w:gridSpan w:val="2"/>
            <w:shd w:val="clear" w:color="auto" w:fill="CCEEFF"/>
          </w:tcPr>
          <w:p>
            <w:pPr>
              <w:jc w:val="right"/>
              <w:ind w:right="123"/>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10,524</w:t>
            </w:r>
          </w:p>
        </w:tc>
        <w:tc>
          <w:tcPr>
            <w:tcW w:w="34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14,436</w:t>
            </w:r>
          </w:p>
        </w:tc>
      </w:tr>
      <w:tr>
        <w:trPr>
          <w:trHeight w:val="20"/>
        </w:trPr>
        <w:tc>
          <w:tcPr>
            <w:tcW w:w="70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7020" w:type="dxa"/>
            <w:vAlign w:val="bottom"/>
          </w:tcPr>
          <w:p>
            <w:pPr>
              <w:ind w:left="120"/>
              <w:spacing w:after="0" w:line="174" w:lineRule="exact"/>
              <w:rPr>
                <w:sz w:val="20"/>
                <w:szCs w:val="20"/>
                <w:color w:val="auto"/>
              </w:rPr>
            </w:pPr>
            <w:r>
              <w:rPr>
                <w:rFonts w:ascii="Arial" w:cs="Arial" w:eastAsia="Arial" w:hAnsi="Arial"/>
                <w:sz w:val="16"/>
                <w:szCs w:val="16"/>
                <w:b w:val="1"/>
                <w:bCs w:val="1"/>
                <w:color w:val="auto"/>
              </w:rPr>
              <w:t>Cash paid during the period for interest</w:t>
            </w:r>
          </w:p>
        </w:tc>
        <w:tc>
          <w:tcPr>
            <w:tcW w:w="760" w:type="dxa"/>
            <w:vAlign w:val="bottom"/>
          </w:tcPr>
          <w:p>
            <w:pPr>
              <w:jc w:val="right"/>
              <w:ind w:right="644"/>
              <w:spacing w:after="0"/>
              <w:rPr>
                <w:sz w:val="20"/>
                <w:szCs w:val="20"/>
                <w:color w:val="auto"/>
              </w:rPr>
            </w:pPr>
            <w:r>
              <w:rPr>
                <w:rFonts w:ascii="Arial" w:cs="Arial" w:eastAsia="Arial" w:hAnsi="Arial"/>
                <w:sz w:val="10"/>
                <w:szCs w:val="10"/>
                <w:b w:val="1"/>
                <w:bCs w:val="1"/>
                <w:color w:val="auto"/>
                <w:w w:val="71"/>
              </w:rPr>
              <w:t>$</w:t>
            </w:r>
          </w:p>
        </w:tc>
        <w:tc>
          <w:tcPr>
            <w:tcW w:w="44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4,561</w:t>
            </w:r>
          </w:p>
        </w:tc>
        <w:tc>
          <w:tcPr>
            <w:tcW w:w="500" w:type="dxa"/>
            <w:vAlign w:val="bottom"/>
            <w:gridSpan w:val="2"/>
          </w:tcPr>
          <w:p>
            <w:pPr>
              <w:jc w:val="right"/>
              <w:ind w:right="123"/>
              <w:spacing w:after="0" w:line="174" w:lineRule="exact"/>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140"/>
              <w:spacing w:after="0" w:line="174" w:lineRule="exact"/>
              <w:rPr>
                <w:sz w:val="20"/>
                <w:szCs w:val="20"/>
                <w:color w:val="auto"/>
              </w:rPr>
            </w:pPr>
            <w:r>
              <w:rPr>
                <w:rFonts w:ascii="Arial" w:cs="Arial" w:eastAsia="Arial" w:hAnsi="Arial"/>
                <w:sz w:val="16"/>
                <w:szCs w:val="16"/>
                <w:b w:val="1"/>
                <w:bCs w:val="1"/>
                <w:color w:val="auto"/>
              </w:rPr>
              <w:t>6,633</w:t>
            </w:r>
          </w:p>
        </w:tc>
        <w:tc>
          <w:tcPr>
            <w:tcW w:w="340" w:type="dxa"/>
            <w:vAlign w:val="bottom"/>
            <w:gridSpan w:val="2"/>
          </w:tcPr>
          <w:p>
            <w:pPr>
              <w:jc w:val="right"/>
              <w:ind w:right="103"/>
              <w:spacing w:after="0" w:line="174" w:lineRule="exact"/>
              <w:rPr>
                <w:sz w:val="20"/>
                <w:szCs w:val="20"/>
                <w:color w:val="auto"/>
              </w:rPr>
            </w:pPr>
            <w:r>
              <w:rPr>
                <w:rFonts w:ascii="Arial" w:cs="Arial" w:eastAsia="Arial" w:hAnsi="Arial"/>
                <w:sz w:val="16"/>
                <w:szCs w:val="16"/>
                <w:b w:val="1"/>
                <w:bCs w:val="1"/>
                <w:color w:val="auto"/>
              </w:rPr>
              <w:t>$</w:t>
            </w:r>
          </w:p>
        </w:tc>
        <w:tc>
          <w:tcPr>
            <w:tcW w:w="1080" w:type="dxa"/>
            <w:vAlign w:val="bottom"/>
            <w:gridSpan w:val="2"/>
          </w:tcPr>
          <w:p>
            <w:pPr>
              <w:jc w:val="right"/>
              <w:ind w:right="120"/>
              <w:spacing w:after="0" w:line="174" w:lineRule="exact"/>
              <w:rPr>
                <w:sz w:val="20"/>
                <w:szCs w:val="20"/>
                <w:color w:val="auto"/>
              </w:rPr>
            </w:pPr>
            <w:r>
              <w:rPr>
                <w:rFonts w:ascii="Arial" w:cs="Arial" w:eastAsia="Arial" w:hAnsi="Arial"/>
                <w:sz w:val="16"/>
                <w:szCs w:val="16"/>
                <w:b w:val="1"/>
                <w:bCs w:val="1"/>
                <w:color w:val="auto"/>
              </w:rPr>
              <w:t>7,456</w:t>
            </w:r>
          </w:p>
        </w:tc>
      </w:tr>
      <w:tr>
        <w:trPr>
          <w:trHeight w:val="20"/>
        </w:trPr>
        <w:tc>
          <w:tcPr>
            <w:tcW w:w="7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4"/>
        </w:trPr>
        <w:tc>
          <w:tcPr>
            <w:tcW w:w="7020" w:type="dxa"/>
            <w:vAlign w:val="bottom"/>
            <w:tcBorders>
              <w:bottom w:val="single" w:sz="8" w:color="CCEEFF"/>
              <w:right w:val="single" w:sz="8" w:color="CCEEFF"/>
            </w:tcBorders>
            <w:shd w:val="clear" w:color="auto" w:fill="CCEEFF"/>
          </w:tcPr>
          <w:p>
            <w:pPr>
              <w:ind w:left="120"/>
              <w:spacing w:after="0" w:line="174" w:lineRule="exact"/>
              <w:rPr>
                <w:sz w:val="20"/>
                <w:szCs w:val="20"/>
                <w:color w:val="auto"/>
              </w:rPr>
            </w:pPr>
            <w:r>
              <w:rPr>
                <w:rFonts w:ascii="Arial" w:cs="Arial" w:eastAsia="Arial" w:hAnsi="Arial"/>
                <w:sz w:val="16"/>
                <w:szCs w:val="16"/>
                <w:b w:val="1"/>
                <w:bCs w:val="1"/>
                <w:color w:val="auto"/>
              </w:rPr>
              <w:t>Cash paid for (received from) income taxes, net during the period</w:t>
            </w:r>
          </w:p>
        </w:tc>
        <w:tc>
          <w:tcPr>
            <w:tcW w:w="760" w:type="dxa"/>
            <w:vAlign w:val="bottom"/>
            <w:tcBorders>
              <w:bottom w:val="single" w:sz="8" w:color="auto"/>
            </w:tcBorders>
            <w:shd w:val="clear" w:color="auto" w:fill="CCEEFF"/>
          </w:tcPr>
          <w:p>
            <w:pPr>
              <w:jc w:val="right"/>
              <w:ind w:right="644"/>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b w:val="1"/>
                <w:bCs w:val="1"/>
                <w:color w:val="auto"/>
              </w:rPr>
              <w:t>8,288</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b w:val="1"/>
                <w:bCs w:val="1"/>
                <w:color w:val="auto"/>
              </w:rPr>
              <w:t>(2,436)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b w:val="1"/>
                <w:bCs w:val="1"/>
                <w:color w:val="auto"/>
              </w:rPr>
              <w:t>13,026</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notes to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1:</w:t>
      </w:r>
      <w:r>
        <w:rPr>
          <w:sz w:val="20"/>
          <w:szCs w:val="20"/>
          <w:color w:val="auto"/>
        </w:rPr>
        <w:tab/>
      </w:r>
      <w:r>
        <w:rPr>
          <w:rFonts w:ascii="Arial" w:cs="Arial" w:eastAsia="Arial" w:hAnsi="Arial"/>
          <w:sz w:val="16"/>
          <w:szCs w:val="16"/>
          <w:b w:val="1"/>
          <w:bCs w:val="1"/>
          <w:color w:val="auto"/>
        </w:rPr>
        <w:t>DESCRIPTION OF BUSINESS AND GENERAL</w:t>
      </w:r>
    </w:p>
    <w:p>
      <w:pPr>
        <w:spacing w:after="0" w:line="189" w:lineRule="exact"/>
        <w:rPr>
          <w:sz w:val="20"/>
          <w:szCs w:val="20"/>
          <w:color w:val="auto"/>
        </w:rPr>
      </w:pPr>
    </w:p>
    <w:p>
      <w:pPr>
        <w:jc w:val="both"/>
        <w:ind w:left="980"/>
        <w:spacing w:after="0" w:line="278" w:lineRule="auto"/>
        <w:rPr>
          <w:sz w:val="20"/>
          <w:szCs w:val="20"/>
          <w:color w:val="auto"/>
        </w:rPr>
      </w:pPr>
      <w:r>
        <w:rPr>
          <w:rFonts w:ascii="Arial" w:cs="Arial" w:eastAsia="Arial" w:hAnsi="Arial"/>
          <w:sz w:val="15"/>
          <w:szCs w:val="15"/>
          <w:color w:val="auto"/>
        </w:rPr>
        <w:t>The consolidated financial statements of Tower Semiconductor Ltd. (“Tower”) include the financial statements of Tower, and (i) its wholly-owned subsidiary Tower US Holdings Inc., the sole owner of: (1) Tower Semiconductor NPB Holdings, Inc. (formerly named “Jazz US Holdings, Inc.”) and its wholly-owned subsidiary, Tower Semiconductor Newport Beach, Inc. (formerly named “Jazz Semiconductor, Inc.”), an independent semiconductor foundry focused on specialty process technologies for the manufacture of analog intensive mixed-signal semiconductor devices (Tower Semiconductor NPB Holdings, Inc. and Tower Semiconductor Newport Beach, Inc. collectively referred to herein as “TSNB”); and (2) Tower Semiconductor San Antonio, Inc. (formerly named “TowerJazz Texas, Inc.”) (“TSSA”); (ii) its 51% owned subsidiary, Tower Partners Semiconductor Co., Ltd. (formerly named “TowerJazz Panasonic Semiconductor Co. Ltd.”) (“TPSCo”), an independent semiconductor foundry which includes three semiconductor manufacturing facilities located in Tonami, Uozu and Arai, in Hokuriku Japan. The other 49% of TPSCo’s shares are held by Nuvoton Technology Corporation Japan (“NTCJ”), formerly named “Panasonic Semiconductor Systems Co., Ltd.” (“PSCS”). PSCS’ name changed to NTCJ following the purchase of PSCS by Nuvoton Technology Corporation (“Nuvoton”) from Panasonic Corporation in September 2020; and (iii) its wholly-owned subsidiary Tower Semiconductor Italy S.r.l. (“TSIT”), incorporated during 2021 following the collaborative arrangement signed in June 2021 with ST Microelectronics S.r.l (“ST”) to share manufacturing capacity in a newly established 300 mm fabrication facility in Agrate, Italy (see Note 14F).</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Tower and its subsidiaries are collectively referred to as the “Company”.</w:t>
      </w:r>
    </w:p>
    <w:p>
      <w:pPr>
        <w:spacing w:after="0" w:line="197" w:lineRule="exact"/>
        <w:rPr>
          <w:sz w:val="20"/>
          <w:szCs w:val="20"/>
          <w:color w:val="auto"/>
        </w:rPr>
      </w:pPr>
    </w:p>
    <w:p>
      <w:pPr>
        <w:jc w:val="both"/>
        <w:ind w:left="980"/>
        <w:spacing w:after="0" w:line="283" w:lineRule="auto"/>
        <w:rPr>
          <w:sz w:val="20"/>
          <w:szCs w:val="20"/>
          <w:color w:val="auto"/>
        </w:rPr>
      </w:pPr>
      <w:r>
        <w:rPr>
          <w:rFonts w:ascii="Arial" w:cs="Arial" w:eastAsia="Arial" w:hAnsi="Arial"/>
          <w:sz w:val="15"/>
          <w:szCs w:val="15"/>
          <w:color w:val="auto"/>
        </w:rPr>
        <w:t>The Company is a global specialty foundry leader manufacturing integrated circuits, offering a broad range of customizable process technologies including: SiGe, BiCMOS, mixed signal/CMOS, RF CMOS, CMOS image sensor, integrated power management and MEMS. The Company also provides a world-class design enablement platform for a quick and accurate design cycle, as well as Transfer Optimization and development Process Services (“TOPS”) to integrated device manufacturers (“IDMs”) and fabless companies that require capacity. To provide multi-fab sourcing and expanded capacity for its customers, the Company operates two manufacturing facilities in Israel (150mm and 200mm), two in the U.S. (200mm) and three in Japan through TPSCo (two 200mm and one 300mm), which provide 45nm CMOS, 65nm RF CMOS and 65nm advanced image sensor technologies.</w:t>
      </w:r>
    </w:p>
    <w:p>
      <w:pPr>
        <w:spacing w:after="0" w:line="132" w:lineRule="exact"/>
        <w:rPr>
          <w:sz w:val="20"/>
          <w:szCs w:val="20"/>
          <w:color w:val="auto"/>
        </w:rPr>
      </w:pPr>
    </w:p>
    <w:p>
      <w:pPr>
        <w:ind w:left="980"/>
        <w:spacing w:after="0"/>
        <w:rPr>
          <w:sz w:val="20"/>
          <w:szCs w:val="20"/>
          <w:color w:val="auto"/>
        </w:rPr>
      </w:pPr>
      <w:r>
        <w:rPr>
          <w:rFonts w:ascii="Arial" w:cs="Arial" w:eastAsia="Arial" w:hAnsi="Arial"/>
          <w:sz w:val="15"/>
          <w:szCs w:val="15"/>
          <w:color w:val="auto"/>
        </w:rPr>
        <w:t>Tower’s ordinary shares are traded on the NASDAQ Global Select Market and on the Tel-Aviv Stock Exchange (“TASE”) under the symbol TSEM.</w:t>
      </w:r>
    </w:p>
    <w:p>
      <w:pPr>
        <w:spacing w:after="0" w:line="209" w:lineRule="exact"/>
        <w:rPr>
          <w:sz w:val="20"/>
          <w:szCs w:val="20"/>
          <w:color w:val="auto"/>
        </w:rPr>
      </w:pPr>
    </w:p>
    <w:p>
      <w:pPr>
        <w:jc w:val="both"/>
        <w:ind w:left="980"/>
        <w:spacing w:after="0" w:line="286" w:lineRule="auto"/>
        <w:rPr>
          <w:sz w:val="20"/>
          <w:szCs w:val="20"/>
          <w:color w:val="auto"/>
        </w:rPr>
      </w:pPr>
      <w:r>
        <w:rPr>
          <w:rFonts w:ascii="Arial" w:cs="Arial" w:eastAsia="Arial" w:hAnsi="Arial"/>
          <w:sz w:val="15"/>
          <w:szCs w:val="15"/>
          <w:color w:val="auto"/>
        </w:rPr>
        <w:t>In March 2020, the World Health Organization declared the novel coronavirus (“COVID-19”) a global pandemic. Since then, the impact of the COVID-19 pandemic continues to evolve as well as the global responses to curb its spread and to treat its impact, which have caused disruption to certain business sectors globally, resulting in economic and other difficulties in many regions worldwide, including supply chain shortages, absence of workforce due to infected and/or quarantined employees and service providers, as well as extended lead times for ordered equipment and supplies. To date, the COVID-19 pandemic has not had a material adverse effect on the Company's financial position or its financial stability.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10" w:lineRule="exact"/>
        <w:rPr>
          <w:sz w:val="20"/>
          <w:szCs w:val="20"/>
          <w:color w:val="auto"/>
        </w:rPr>
      </w:pPr>
    </w:p>
    <w:p>
      <w:pPr>
        <w:ind w:left="1300" w:hanging="318"/>
        <w:spacing w:after="0"/>
        <w:tabs>
          <w:tab w:leader="none" w:pos="13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w:t>
      </w:r>
    </w:p>
    <w:p>
      <w:pPr>
        <w:spacing w:after="0" w:line="188"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5"/>
          <w:szCs w:val="15"/>
          <w:color w:val="auto"/>
        </w:rPr>
        <w:t>The Company’s consolidated financial statements are presented in accordance with U.S. generally accepted accounting principles (“US GAAP”).</w:t>
      </w:r>
    </w:p>
    <w:p>
      <w:pPr>
        <w:spacing w:after="0" w:line="192" w:lineRule="exact"/>
        <w:rPr>
          <w:rFonts w:ascii="Arial" w:cs="Arial" w:eastAsia="Arial" w:hAnsi="Arial"/>
          <w:sz w:val="16"/>
          <w:szCs w:val="16"/>
          <w:b w:val="1"/>
          <w:bCs w:val="1"/>
          <w:color w:val="auto"/>
        </w:rPr>
      </w:pPr>
    </w:p>
    <w:p>
      <w:pPr>
        <w:ind w:left="1300" w:hanging="318"/>
        <w:spacing w:after="0"/>
        <w:tabs>
          <w:tab w:leader="none" w:pos="13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Use of Estimates in Preparation of Financial Statements</w:t>
      </w:r>
    </w:p>
    <w:p>
      <w:pPr>
        <w:spacing w:after="0" w:line="188" w:lineRule="exact"/>
        <w:rPr>
          <w:rFonts w:ascii="Arial" w:cs="Arial" w:eastAsia="Arial" w:hAnsi="Arial"/>
          <w:sz w:val="16"/>
          <w:szCs w:val="16"/>
          <w:b w:val="1"/>
          <w:bCs w:val="1"/>
          <w:color w:val="auto"/>
        </w:rPr>
      </w:pPr>
    </w:p>
    <w:p>
      <w:pPr>
        <w:jc w:val="both"/>
        <w:ind w:left="1300"/>
        <w:spacing w:after="0" w:line="272" w:lineRule="auto"/>
        <w:rPr>
          <w:rFonts w:ascii="Arial" w:cs="Arial" w:eastAsia="Arial" w:hAnsi="Arial"/>
          <w:sz w:val="16"/>
          <w:szCs w:val="16"/>
          <w:b w:val="1"/>
          <w:bCs w:val="1"/>
          <w:color w:val="auto"/>
        </w:rPr>
      </w:pPr>
      <w:r>
        <w:rPr>
          <w:rFonts w:ascii="Arial" w:cs="Arial" w:eastAsia="Arial" w:hAnsi="Arial"/>
          <w:sz w:val="16"/>
          <w:szCs w:val="16"/>
          <w:color w:val="auto"/>
        </w:rPr>
        <w:t>The preparation of financial statements in conformity with US GAAP requires the Company to make estimates and assumptions that affect the reported amounts of assets and liabilities, the disclosure of contingent assets and liabilities as of the date of the financial statements, and the reported amounts of revenues and expenses during the reporting periods. Actual results could differ from those estimates.</w:t>
      </w:r>
    </w:p>
    <w:p>
      <w:pPr>
        <w:spacing w:after="0" w:line="157" w:lineRule="exact"/>
        <w:rPr>
          <w:rFonts w:ascii="Arial" w:cs="Arial" w:eastAsia="Arial" w:hAnsi="Arial"/>
          <w:sz w:val="16"/>
          <w:szCs w:val="16"/>
          <w:b w:val="1"/>
          <w:bCs w:val="1"/>
          <w:color w:val="auto"/>
        </w:rPr>
      </w:pPr>
    </w:p>
    <w:p>
      <w:pPr>
        <w:ind w:left="1300" w:hanging="318"/>
        <w:spacing w:after="0"/>
        <w:tabs>
          <w:tab w:leader="none" w:pos="13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Principals of Consolidation</w:t>
      </w:r>
    </w:p>
    <w:p>
      <w:pPr>
        <w:spacing w:after="0" w:line="201" w:lineRule="exact"/>
        <w:rPr>
          <w:rFonts w:ascii="Arial" w:cs="Arial" w:eastAsia="Arial" w:hAnsi="Arial"/>
          <w:sz w:val="16"/>
          <w:szCs w:val="16"/>
          <w:b w:val="1"/>
          <w:bCs w:val="1"/>
          <w:color w:val="auto"/>
        </w:rPr>
      </w:pPr>
    </w:p>
    <w:p>
      <w:pPr>
        <w:ind w:left="130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The Company’s consolidated financial statements include the financial statements of Tower and its subsidiaries. The Company’s consolidated financial statements are presented after elimination of inter-company transactions and balances.</w:t>
      </w:r>
    </w:p>
    <w:p>
      <w:pPr>
        <w:spacing w:after="0" w:line="144" w:lineRule="exact"/>
        <w:rPr>
          <w:rFonts w:ascii="Arial" w:cs="Arial" w:eastAsia="Arial" w:hAnsi="Arial"/>
          <w:sz w:val="16"/>
          <w:szCs w:val="16"/>
          <w:b w:val="1"/>
          <w:bCs w:val="1"/>
          <w:color w:val="auto"/>
        </w:rPr>
      </w:pPr>
    </w:p>
    <w:p>
      <w:pPr>
        <w:ind w:left="1300" w:hanging="318"/>
        <w:spacing w:after="0"/>
        <w:tabs>
          <w:tab w:leader="none" w:pos="13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Cash and Cash Equivalents</w:t>
      </w:r>
    </w:p>
    <w:p>
      <w:pPr>
        <w:spacing w:after="0" w:line="201" w:lineRule="exact"/>
        <w:rPr>
          <w:rFonts w:ascii="Arial" w:cs="Arial" w:eastAsia="Arial" w:hAnsi="Arial"/>
          <w:sz w:val="16"/>
          <w:szCs w:val="16"/>
          <w:b w:val="1"/>
          <w:bCs w:val="1"/>
          <w:color w:val="auto"/>
        </w:rPr>
      </w:pPr>
    </w:p>
    <w:p>
      <w:pPr>
        <w:ind w:left="130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Cash and cash equivalents consist of cash, bank deposits, money market funds and short-term investments with insignificant interest rate risk and original maturities of three months or less.</w:t>
      </w:r>
    </w:p>
    <w:p>
      <w:pPr>
        <w:spacing w:after="0" w:line="144" w:lineRule="exact"/>
        <w:rPr>
          <w:rFonts w:ascii="Arial" w:cs="Arial" w:eastAsia="Arial" w:hAnsi="Arial"/>
          <w:sz w:val="16"/>
          <w:szCs w:val="16"/>
          <w:b w:val="1"/>
          <w:bCs w:val="1"/>
          <w:color w:val="auto"/>
        </w:rPr>
      </w:pPr>
    </w:p>
    <w:p>
      <w:pPr>
        <w:ind w:left="1300" w:hanging="318"/>
        <w:spacing w:after="0"/>
        <w:tabs>
          <w:tab w:leader="none" w:pos="13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Short Term Interest-Bearing Deposits</w:t>
      </w:r>
    </w:p>
    <w:p>
      <w:pPr>
        <w:spacing w:after="0" w:line="188" w:lineRule="exact"/>
        <w:rPr>
          <w:rFonts w:ascii="Arial" w:cs="Arial" w:eastAsia="Arial" w:hAnsi="Arial"/>
          <w:sz w:val="16"/>
          <w:szCs w:val="16"/>
          <w:b w:val="1"/>
          <w:bCs w:val="1"/>
          <w:color w:val="auto"/>
        </w:rPr>
      </w:pPr>
    </w:p>
    <w:p>
      <w:pPr>
        <w:ind w:left="130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Short-term deposits include bank deposits with original maturities greater than three months and with remaining maturities of less than one year. Such deposits are presented at cost, including accrued interest, which approximates their fair value.</w:t>
      </w:r>
    </w:p>
    <w:p>
      <w:pPr>
        <w:spacing w:after="0" w:line="144" w:lineRule="exact"/>
        <w:rPr>
          <w:rFonts w:ascii="Arial" w:cs="Arial" w:eastAsia="Arial" w:hAnsi="Arial"/>
          <w:sz w:val="16"/>
          <w:szCs w:val="16"/>
          <w:b w:val="1"/>
          <w:bCs w:val="1"/>
          <w:color w:val="auto"/>
        </w:rPr>
      </w:pPr>
    </w:p>
    <w:p>
      <w:pPr>
        <w:ind w:left="1320" w:hanging="338"/>
        <w:spacing w:after="0"/>
        <w:tabs>
          <w:tab w:leader="none" w:pos="13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Marketable Securities</w:t>
      </w:r>
    </w:p>
    <w:p>
      <w:pPr>
        <w:spacing w:after="0" w:line="213" w:lineRule="exact"/>
        <w:rPr>
          <w:rFonts w:ascii="Arial" w:cs="Arial" w:eastAsia="Arial" w:hAnsi="Arial"/>
          <w:sz w:val="16"/>
          <w:szCs w:val="16"/>
          <w:b w:val="1"/>
          <w:bCs w:val="1"/>
          <w:color w:val="auto"/>
        </w:rPr>
      </w:pPr>
    </w:p>
    <w:p>
      <w:pPr>
        <w:jc w:val="both"/>
        <w:ind w:left="1300"/>
        <w:spacing w:after="0" w:line="272" w:lineRule="auto"/>
        <w:rPr>
          <w:rFonts w:ascii="Arial" w:cs="Arial" w:eastAsia="Arial" w:hAnsi="Arial"/>
          <w:sz w:val="16"/>
          <w:szCs w:val="16"/>
          <w:b w:val="1"/>
          <w:bCs w:val="1"/>
          <w:color w:val="auto"/>
        </w:rPr>
      </w:pPr>
      <w:r>
        <w:rPr>
          <w:rFonts w:ascii="Arial" w:cs="Arial" w:eastAsia="Arial" w:hAnsi="Arial"/>
          <w:sz w:val="16"/>
          <w:szCs w:val="16"/>
          <w:color w:val="auto"/>
        </w:rPr>
        <w:t>The Company accounts for its investments in grade debt securities in accordance with ASC 320 "</w:t>
      </w:r>
      <w:r>
        <w:rPr>
          <w:rFonts w:ascii="Arial" w:cs="Arial" w:eastAsia="Arial" w:hAnsi="Arial"/>
          <w:sz w:val="16"/>
          <w:szCs w:val="16"/>
          <w:i w:val="1"/>
          <w:iCs w:val="1"/>
          <w:color w:val="auto"/>
        </w:rPr>
        <w:t>Investments - Debt and Equity Securities</w:t>
      </w:r>
      <w:r>
        <w:rPr>
          <w:rFonts w:ascii="Arial" w:cs="Arial" w:eastAsia="Arial" w:hAnsi="Arial"/>
          <w:sz w:val="16"/>
          <w:szCs w:val="16"/>
          <w:color w:val="auto"/>
        </w:rPr>
        <w:t>". Management determines the appropriate classification of its investments in debt securities at the time of purchase and re-evaluates such determinations at each balance sheet date.</w:t>
      </w:r>
    </w:p>
    <w:p>
      <w:pPr>
        <w:spacing w:after="0" w:line="149" w:lineRule="exact"/>
        <w:rPr>
          <w:rFonts w:ascii="Arial" w:cs="Arial" w:eastAsia="Arial" w:hAnsi="Arial"/>
          <w:sz w:val="16"/>
          <w:szCs w:val="16"/>
          <w:b w:val="1"/>
          <w:bCs w:val="1"/>
          <w:color w:val="auto"/>
        </w:rPr>
      </w:pPr>
    </w:p>
    <w:p>
      <w:pPr>
        <w:jc w:val="both"/>
        <w:ind w:left="1300"/>
        <w:spacing w:after="0" w:line="298" w:lineRule="auto"/>
        <w:rPr>
          <w:rFonts w:ascii="Arial" w:cs="Arial" w:eastAsia="Arial" w:hAnsi="Arial"/>
          <w:sz w:val="16"/>
          <w:szCs w:val="16"/>
          <w:b w:val="1"/>
          <w:bCs w:val="1"/>
          <w:color w:val="auto"/>
        </w:rPr>
      </w:pPr>
      <w:r>
        <w:rPr>
          <w:rFonts w:ascii="Arial" w:cs="Arial" w:eastAsia="Arial" w:hAnsi="Arial"/>
          <w:sz w:val="15"/>
          <w:szCs w:val="15"/>
          <w:color w:val="auto"/>
        </w:rPr>
        <w:t>The Company classifies its marketable securities as "available-for-sale", which are measured at fair value, based on quoted market prices. Unrealized gains and losses are reported in a separate component of shareholders' equity as accumulated other comprehensive income (“OCI”). Gains and losses are recognized when realized, on a specific identification basis, in the Company's consolidated statements of income.</w:t>
      </w:r>
    </w:p>
    <w:p>
      <w:pPr>
        <w:spacing w:after="0" w:line="132" w:lineRule="exact"/>
        <w:rPr>
          <w:rFonts w:ascii="Arial" w:cs="Arial" w:eastAsia="Arial" w:hAnsi="Arial"/>
          <w:sz w:val="16"/>
          <w:szCs w:val="16"/>
          <w:b w:val="1"/>
          <w:bCs w:val="1"/>
          <w:color w:val="auto"/>
        </w:rPr>
      </w:pPr>
    </w:p>
    <w:p>
      <w:pPr>
        <w:ind w:left="1300"/>
        <w:spacing w:after="0" w:line="323" w:lineRule="auto"/>
        <w:rPr>
          <w:rFonts w:ascii="Arial" w:cs="Arial" w:eastAsia="Arial" w:hAnsi="Arial"/>
          <w:sz w:val="16"/>
          <w:szCs w:val="16"/>
          <w:b w:val="1"/>
          <w:bCs w:val="1"/>
          <w:color w:val="auto"/>
        </w:rPr>
      </w:pPr>
      <w:r>
        <w:rPr>
          <w:rFonts w:ascii="Arial" w:cs="Arial" w:eastAsia="Arial" w:hAnsi="Arial"/>
          <w:sz w:val="15"/>
          <w:szCs w:val="15"/>
          <w:color w:val="auto"/>
        </w:rPr>
        <w:t>The Company assessed the available-for-sales debt securities with an amortized cost basis in excess of estimated fair value to determine what amount of that difference, if any, is caused by expected credit losses in accordance with ASC 326, "</w:t>
      </w:r>
      <w:r>
        <w:rPr>
          <w:rFonts w:ascii="Arial" w:cs="Arial" w:eastAsia="Arial" w:hAnsi="Arial"/>
          <w:sz w:val="15"/>
          <w:szCs w:val="15"/>
          <w:i w:val="1"/>
          <w:iCs w:val="1"/>
          <w:color w:val="auto"/>
        </w:rPr>
        <w:t>Financial Instruments - Credit Losses</w:t>
      </w:r>
      <w:r>
        <w:rPr>
          <w:rFonts w:ascii="Arial" w:cs="Arial" w:eastAsia="Arial" w:hAnsi="Arial"/>
          <w:sz w:val="15"/>
          <w:szCs w:val="15"/>
          <w:color w:val="auto"/>
        </w:rPr>
        <w:t>".</w:t>
      </w:r>
    </w:p>
    <w:p>
      <w:pPr>
        <w:spacing w:after="0" w:line="125" w:lineRule="exact"/>
        <w:rPr>
          <w:rFonts w:ascii="Arial" w:cs="Arial" w:eastAsia="Arial" w:hAnsi="Arial"/>
          <w:sz w:val="16"/>
          <w:szCs w:val="16"/>
          <w:b w:val="1"/>
          <w:bCs w:val="1"/>
          <w:color w:val="auto"/>
        </w:rPr>
      </w:pPr>
    </w:p>
    <w:p>
      <w:pPr>
        <w:ind w:left="130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Allowance for credit losses is recognized as a charge in financing income (expense), net, on the consolidated statements of operation, and any remaining unrealized losses, net of taxes, are included in accumulated other comprehensive income (loss) in shareholders' equity.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 (Continued)</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 concluded that the current expected credit losses on its available-for-sale investment portfolio were immaterial.</w:t>
      </w:r>
    </w:p>
    <w:p>
      <w:pPr>
        <w:spacing w:after="0" w:line="206" w:lineRule="exact"/>
        <w:rPr>
          <w:sz w:val="20"/>
          <w:szCs w:val="20"/>
          <w:color w:val="auto"/>
        </w:rPr>
      </w:pPr>
    </w:p>
    <w:p>
      <w:pPr>
        <w:ind w:left="1300" w:hanging="318"/>
        <w:spacing w:after="0"/>
        <w:tabs>
          <w:tab w:leader="none" w:pos="13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Trade Accounts Receivable – Allowance for Expected Credit Loss</w:t>
      </w:r>
    </w:p>
    <w:p>
      <w:pPr>
        <w:spacing w:after="0" w:line="201" w:lineRule="exact"/>
        <w:rPr>
          <w:rFonts w:ascii="Arial" w:cs="Arial" w:eastAsia="Arial" w:hAnsi="Arial"/>
          <w:sz w:val="16"/>
          <w:szCs w:val="16"/>
          <w:b w:val="1"/>
          <w:bCs w:val="1"/>
          <w:color w:val="auto"/>
        </w:rPr>
      </w:pPr>
    </w:p>
    <w:p>
      <w:pPr>
        <w:jc w:val="both"/>
        <w:ind w:left="1300"/>
        <w:spacing w:after="0" w:line="262" w:lineRule="auto"/>
        <w:rPr>
          <w:rFonts w:ascii="Arial" w:cs="Arial" w:eastAsia="Arial" w:hAnsi="Arial"/>
          <w:sz w:val="16"/>
          <w:szCs w:val="16"/>
          <w:b w:val="1"/>
          <w:bCs w:val="1"/>
          <w:color w:val="auto"/>
        </w:rPr>
      </w:pPr>
      <w:r>
        <w:rPr>
          <w:rFonts w:ascii="Arial" w:cs="Arial" w:eastAsia="Arial" w:hAnsi="Arial"/>
          <w:sz w:val="16"/>
          <w:szCs w:val="16"/>
          <w:color w:val="auto"/>
        </w:rPr>
        <w:t xml:space="preserve">The Company maintains an allowance based on specific analysis of each customer account receivable’s aging, assessment of its related risk and ability of the customer to make the required payment. In addition, in accordance with ASC 326,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an allowance is maintained for estimated forward-looking losses resulting from possible inability of customers to make required payments (current expected losses). The amount of the allowance is determined principally on the basis of past collection experience and known financial factors regarding specific customers. Trade accounts receivables are written off against the allowance when it becomes evident that collection will not occur. Credit is extended to customers satisfying pre-defined credit criteria.</w:t>
      </w:r>
    </w:p>
    <w:p>
      <w:pPr>
        <w:spacing w:after="0" w:line="159"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6"/>
          <w:szCs w:val="16"/>
          <w:color w:val="auto"/>
        </w:rPr>
        <w:t>The total allowance for expected credit losses was $946 and $1,065 as of December 31, 2021 and 2020, respectively.</w:t>
      </w:r>
    </w:p>
    <w:p>
      <w:pPr>
        <w:spacing w:after="0" w:line="180" w:lineRule="exact"/>
        <w:rPr>
          <w:rFonts w:ascii="Arial" w:cs="Arial" w:eastAsia="Arial" w:hAnsi="Arial"/>
          <w:sz w:val="16"/>
          <w:szCs w:val="16"/>
          <w:b w:val="1"/>
          <w:bCs w:val="1"/>
          <w:color w:val="auto"/>
        </w:rPr>
      </w:pPr>
    </w:p>
    <w:p>
      <w:pPr>
        <w:ind w:left="1320" w:hanging="338"/>
        <w:spacing w:after="0"/>
        <w:tabs>
          <w:tab w:leader="none" w:pos="13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Inventories</w:t>
      </w:r>
    </w:p>
    <w:p>
      <w:pPr>
        <w:spacing w:after="0" w:line="201" w:lineRule="exact"/>
        <w:rPr>
          <w:sz w:val="20"/>
          <w:szCs w:val="20"/>
          <w:color w:val="auto"/>
        </w:rPr>
      </w:pPr>
    </w:p>
    <w:p>
      <w:pPr>
        <w:jc w:val="both"/>
        <w:ind w:left="1300"/>
        <w:spacing w:after="0" w:line="267" w:lineRule="auto"/>
        <w:rPr>
          <w:sz w:val="20"/>
          <w:szCs w:val="20"/>
          <w:color w:val="auto"/>
        </w:rPr>
      </w:pPr>
      <w:r>
        <w:rPr>
          <w:rFonts w:ascii="Arial" w:cs="Arial" w:eastAsia="Arial" w:hAnsi="Arial"/>
          <w:sz w:val="16"/>
          <w:szCs w:val="16"/>
          <w:color w:val="auto"/>
        </w:rPr>
        <w:t>Inventories are stated at the lower of aggregate cost or net realizable value. If inventory costs exceed expected net realizable value, the Company records reserves for the difference between the cost and the expected net realizable value. Cost of raw materials is determined mainly on the basis of the weighted average moving price per unit. Work in progress is measured at production costs including acquisition costs, processing costs and other costs incurred in bringing the inventories to their present location and condition in the production line.</w:t>
      </w:r>
    </w:p>
    <w:p>
      <w:pPr>
        <w:spacing w:after="0" w:line="149" w:lineRule="exact"/>
        <w:rPr>
          <w:sz w:val="20"/>
          <w:szCs w:val="20"/>
          <w:color w:val="auto"/>
        </w:rPr>
      </w:pPr>
    </w:p>
    <w:p>
      <w:pPr>
        <w:ind w:left="1300" w:hanging="277"/>
        <w:spacing w:after="0"/>
        <w:tabs>
          <w:tab w:leader="none" w:pos="130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Investments in Privately Held Companies</w:t>
      </w:r>
    </w:p>
    <w:p>
      <w:pPr>
        <w:spacing w:after="0" w:line="188" w:lineRule="exact"/>
        <w:rPr>
          <w:rFonts w:ascii="Arial" w:cs="Arial" w:eastAsia="Arial" w:hAnsi="Arial"/>
          <w:sz w:val="16"/>
          <w:szCs w:val="16"/>
          <w:b w:val="1"/>
          <w:bCs w:val="1"/>
          <w:color w:val="auto"/>
        </w:rPr>
      </w:pPr>
    </w:p>
    <w:p>
      <w:pPr>
        <w:jc w:val="both"/>
        <w:ind w:left="1300"/>
        <w:spacing w:after="0" w:line="286" w:lineRule="auto"/>
        <w:rPr>
          <w:rFonts w:ascii="Arial" w:cs="Arial" w:eastAsia="Arial" w:hAnsi="Arial"/>
          <w:sz w:val="16"/>
          <w:szCs w:val="16"/>
          <w:b w:val="1"/>
          <w:bCs w:val="1"/>
          <w:color w:val="auto"/>
        </w:rPr>
      </w:pPr>
      <w:r>
        <w:rPr>
          <w:rFonts w:ascii="Arial" w:cs="Arial" w:eastAsia="Arial" w:hAnsi="Arial"/>
          <w:sz w:val="15"/>
          <w:szCs w:val="15"/>
          <w:color w:val="auto"/>
        </w:rPr>
        <w:t xml:space="preserve">Long-term investments include equity investments in privately-held companies without readily determinable fair values. In accordance with ASC 321 - </w:t>
      </w:r>
      <w:r>
        <w:rPr>
          <w:rFonts w:ascii="Arial" w:cs="Arial" w:eastAsia="Arial" w:hAnsi="Arial"/>
          <w:sz w:val="15"/>
          <w:szCs w:val="15"/>
          <w:i w:val="1"/>
          <w:iCs w:val="1"/>
          <w:color w:val="auto"/>
        </w:rPr>
        <w:t>“Investments - Equity Securities”,</w:t>
      </w:r>
      <w:r>
        <w:rPr>
          <w:rFonts w:ascii="Arial" w:cs="Arial" w:eastAsia="Arial" w:hAnsi="Arial"/>
          <w:sz w:val="15"/>
          <w:szCs w:val="15"/>
          <w:color w:val="auto"/>
        </w:rPr>
        <w:t xml:space="preserve"> the Company may elect between fair value and a measurement alternative of cost, less impairments, and further adjust up or down, based on observable price changes in orderly transactions for identical or similar investments of the same issuer (“Measurement Alternative”). The Company elected to use the Measurement Alternative for each of its investments. Any adjustments resulting from impairments and/or observable price changes are recorded under “other income (expense), net” in the consolidated statements of operations.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 (Continued)</w:t>
      </w:r>
    </w:p>
    <w:p>
      <w:pPr>
        <w:spacing w:after="0" w:line="173" w:lineRule="exact"/>
        <w:rPr>
          <w:sz w:val="20"/>
          <w:szCs w:val="20"/>
          <w:color w:val="auto"/>
        </w:rPr>
      </w:pPr>
    </w:p>
    <w:p>
      <w:pPr>
        <w:ind w:left="980"/>
        <w:spacing w:after="0"/>
        <w:tabs>
          <w:tab w:leader="none" w:pos="1240" w:val="left"/>
        </w:tabs>
        <w:rPr>
          <w:sz w:val="20"/>
          <w:szCs w:val="20"/>
          <w:color w:val="auto"/>
        </w:rPr>
      </w:pPr>
      <w:r>
        <w:rPr>
          <w:rFonts w:ascii="Arial" w:cs="Arial" w:eastAsia="Arial" w:hAnsi="Arial"/>
          <w:sz w:val="16"/>
          <w:szCs w:val="16"/>
          <w:b w:val="1"/>
          <w:bCs w:val="1"/>
          <w:color w:val="auto"/>
        </w:rPr>
        <w:t>J.</w:t>
      </w:r>
      <w:r>
        <w:rPr>
          <w:sz w:val="20"/>
          <w:szCs w:val="20"/>
          <w:color w:val="auto"/>
        </w:rPr>
        <w:tab/>
      </w:r>
      <w:r>
        <w:rPr>
          <w:rFonts w:ascii="Arial" w:cs="Arial" w:eastAsia="Arial" w:hAnsi="Arial"/>
          <w:sz w:val="15"/>
          <w:szCs w:val="15"/>
          <w:b w:val="1"/>
          <w:bCs w:val="1"/>
          <w:color w:val="auto"/>
        </w:rPr>
        <w:t>Property and Equipment</w:t>
      </w:r>
    </w:p>
    <w:p>
      <w:pPr>
        <w:spacing w:after="0" w:line="201" w:lineRule="exact"/>
        <w:rPr>
          <w:sz w:val="20"/>
          <w:szCs w:val="20"/>
          <w:color w:val="auto"/>
        </w:rPr>
      </w:pPr>
    </w:p>
    <w:p>
      <w:pPr>
        <w:jc w:val="both"/>
        <w:ind w:left="1300"/>
        <w:spacing w:after="0" w:line="267" w:lineRule="auto"/>
        <w:rPr>
          <w:sz w:val="20"/>
          <w:szCs w:val="20"/>
          <w:color w:val="auto"/>
        </w:rPr>
      </w:pPr>
      <w:r>
        <w:rPr>
          <w:rFonts w:ascii="Arial" w:cs="Arial" w:eastAsia="Arial" w:hAnsi="Arial"/>
          <w:sz w:val="16"/>
          <w:szCs w:val="16"/>
          <w:color w:val="auto"/>
        </w:rPr>
        <w:t xml:space="preserve">The Company accounts for property and equipment in accordance with Accounting Standards Codification ASC 360 </w:t>
      </w:r>
      <w:r>
        <w:rPr>
          <w:rFonts w:ascii="Arial" w:cs="Arial" w:eastAsia="Arial" w:hAnsi="Arial"/>
          <w:sz w:val="16"/>
          <w:szCs w:val="16"/>
          <w:i w:val="1"/>
          <w:iCs w:val="1"/>
          <w:color w:val="auto"/>
        </w:rPr>
        <w:t>“Accounting for the Property,</w:t>
      </w:r>
      <w:r>
        <w:rPr>
          <w:rFonts w:ascii="Arial" w:cs="Arial" w:eastAsia="Arial" w:hAnsi="Arial"/>
          <w:sz w:val="16"/>
          <w:szCs w:val="16"/>
          <w:color w:val="auto"/>
        </w:rPr>
        <w:t xml:space="preserve"> </w:t>
      </w:r>
      <w:r>
        <w:rPr>
          <w:rFonts w:ascii="Arial" w:cs="Arial" w:eastAsia="Arial" w:hAnsi="Arial"/>
          <w:sz w:val="16"/>
          <w:szCs w:val="16"/>
          <w:i w:val="1"/>
          <w:iCs w:val="1"/>
          <w:color w:val="auto"/>
        </w:rPr>
        <w:t>Plant and Equipment”</w:t>
      </w:r>
      <w:r>
        <w:rPr>
          <w:rFonts w:ascii="Arial" w:cs="Arial" w:eastAsia="Arial" w:hAnsi="Arial"/>
          <w:sz w:val="16"/>
          <w:szCs w:val="16"/>
          <w:color w:val="auto"/>
        </w:rPr>
        <w:t>. Property and equipment are presented at cost, including capitalizable costs. Capitalizable costs include only costs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identifiable with, and related to, the property and equipment, and are incurred prior to their initial operation. Identifiable incremental direct costs include costs associated with constructing, establishing and installing property and equipment.</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Maintenance and repairs are charged to expenses as incurred.</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Property and equipment are presented net of investment grants received and less accumulated depreciation.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Depreciation is calculated based on the straight-line method over the Company’s estimated useful lives of the assets, as follows:</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Buildings and building improvements, including facility infrastructure 10-25 years</w:t>
      </w:r>
    </w:p>
    <w:p>
      <w:pPr>
        <w:spacing w:after="0" w:line="24"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Machinery and equipment, software and hardware 3-15 years.</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Impairment charges, if needed, are determined based on the policy outlined in Note 2L below.</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Property and equipment also include assets under capital leases, which are depreciated according to their applicable useful life.</w:t>
      </w:r>
    </w:p>
    <w:p>
      <w:pPr>
        <w:spacing w:after="0" w:line="230" w:lineRule="exact"/>
        <w:rPr>
          <w:sz w:val="20"/>
          <w:szCs w:val="20"/>
          <w:color w:val="auto"/>
        </w:rPr>
      </w:pPr>
    </w:p>
    <w:p>
      <w:pPr>
        <w:ind w:left="980"/>
        <w:spacing w:after="0"/>
        <w:tabs>
          <w:tab w:leader="none" w:pos="1300" w:val="left"/>
        </w:tabs>
        <w:rPr>
          <w:sz w:val="20"/>
          <w:szCs w:val="20"/>
          <w:color w:val="auto"/>
        </w:rPr>
      </w:pPr>
      <w:r>
        <w:rPr>
          <w:rFonts w:ascii="Arial" w:cs="Arial" w:eastAsia="Arial" w:hAnsi="Arial"/>
          <w:sz w:val="16"/>
          <w:szCs w:val="16"/>
          <w:b w:val="1"/>
          <w:bCs w:val="1"/>
          <w:color w:val="auto"/>
        </w:rPr>
        <w:t>K.</w:t>
      </w:r>
      <w:r>
        <w:rPr>
          <w:sz w:val="20"/>
          <w:szCs w:val="20"/>
          <w:color w:val="auto"/>
        </w:rPr>
        <w:tab/>
      </w:r>
      <w:r>
        <w:rPr>
          <w:rFonts w:ascii="Arial" w:cs="Arial" w:eastAsia="Arial" w:hAnsi="Arial"/>
          <w:sz w:val="14"/>
          <w:szCs w:val="14"/>
          <w:b w:val="1"/>
          <w:bCs w:val="1"/>
          <w:color w:val="auto"/>
        </w:rPr>
        <w:t>Intangible Assets and Goodwill</w:t>
      </w:r>
    </w:p>
    <w:p>
      <w:pPr>
        <w:spacing w:after="0" w:line="201" w:lineRule="exact"/>
        <w:rPr>
          <w:sz w:val="20"/>
          <w:szCs w:val="20"/>
          <w:color w:val="auto"/>
        </w:rPr>
      </w:pPr>
    </w:p>
    <w:p>
      <w:pPr>
        <w:jc w:val="both"/>
        <w:ind w:left="1300"/>
        <w:spacing w:after="0" w:line="267" w:lineRule="auto"/>
        <w:rPr>
          <w:sz w:val="20"/>
          <w:szCs w:val="20"/>
          <w:color w:val="auto"/>
        </w:rPr>
      </w:pPr>
      <w:r>
        <w:rPr>
          <w:rFonts w:ascii="Arial" w:cs="Arial" w:eastAsia="Arial" w:hAnsi="Arial"/>
          <w:sz w:val="16"/>
          <w:szCs w:val="16"/>
          <w:color w:val="auto"/>
        </w:rPr>
        <w:t>The Company accounts for intangible assets and goodwill in accordance with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Intangible assets include the values assigned to the intangible assets as part of the purchase price allocation made at the time of acquisition. Intangible assets are amortized over the expected estimated economic life commonly used in the industry. Goodwill is not amortized and subject to impairment testing. Impairment charges on intangibles or goodwill, if needed, are determined based on the policy outlined in Note 2L below.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 (Continued)</w:t>
      </w:r>
    </w:p>
    <w:p>
      <w:pPr>
        <w:spacing w:after="0" w:line="185" w:lineRule="exact"/>
        <w:rPr>
          <w:sz w:val="20"/>
          <w:szCs w:val="20"/>
          <w:color w:val="auto"/>
        </w:rPr>
      </w:pPr>
    </w:p>
    <w:p>
      <w:pPr>
        <w:ind w:left="1300" w:hanging="318"/>
        <w:spacing w:after="0"/>
        <w:tabs>
          <w:tab w:leader="none" w:pos="13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Impairment of Assets</w:t>
      </w:r>
    </w:p>
    <w:p>
      <w:pPr>
        <w:spacing w:after="0" w:line="201"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Impairment of Property, Equipment and Intangible Assets</w:t>
      </w:r>
    </w:p>
    <w:p>
      <w:pPr>
        <w:spacing w:after="0" w:line="135" w:lineRule="exact"/>
        <w:rPr>
          <w:rFonts w:ascii="Arial" w:cs="Arial" w:eastAsia="Arial" w:hAnsi="Arial"/>
          <w:sz w:val="16"/>
          <w:szCs w:val="16"/>
          <w:b w:val="1"/>
          <w:bCs w:val="1"/>
          <w:color w:val="auto"/>
        </w:rPr>
      </w:pPr>
    </w:p>
    <w:p>
      <w:pPr>
        <w:jc w:val="both"/>
        <w:ind w:left="1300"/>
        <w:spacing w:after="0" w:line="264" w:lineRule="auto"/>
        <w:rPr>
          <w:rFonts w:ascii="Arial" w:cs="Arial" w:eastAsia="Arial" w:hAnsi="Arial"/>
          <w:sz w:val="16"/>
          <w:szCs w:val="16"/>
          <w:b w:val="1"/>
          <w:bCs w:val="1"/>
          <w:color w:val="auto"/>
        </w:rPr>
      </w:pPr>
      <w:r>
        <w:rPr>
          <w:rFonts w:ascii="Arial" w:cs="Arial" w:eastAsia="Arial" w:hAnsi="Arial"/>
          <w:sz w:val="16"/>
          <w:szCs w:val="16"/>
          <w:color w:val="auto"/>
        </w:rPr>
        <w:t xml:space="preserve">The Company reviews long-lived assets and intangible assets on a periodic basis, as well as when such review is required based upon relevant circumstances, to determine whether events or changes in circumstances indicate that the carrying amount of such assets may not be recoverable, considering the undiscounted cash flows expected from them. If applicable, the Company recognizes an impairment loss based upon the difference between the carrying amount and the fair value of such assets, in accordance with ASC 360-10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As of December 31, 2021, the Company concluded there was no impairment to its long-lived assets and intangible assets.</w:t>
      </w:r>
    </w:p>
    <w:p>
      <w:pPr>
        <w:spacing w:after="0" w:line="156"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Impairment of Goodwill</w:t>
      </w:r>
    </w:p>
    <w:p>
      <w:pPr>
        <w:spacing w:after="0" w:line="135" w:lineRule="exact"/>
        <w:rPr>
          <w:rFonts w:ascii="Arial" w:cs="Arial" w:eastAsia="Arial" w:hAnsi="Arial"/>
          <w:sz w:val="16"/>
          <w:szCs w:val="16"/>
          <w:b w:val="1"/>
          <w:bCs w:val="1"/>
          <w:color w:val="auto"/>
        </w:rPr>
      </w:pPr>
    </w:p>
    <w:p>
      <w:pPr>
        <w:jc w:val="both"/>
        <w:ind w:left="1300"/>
        <w:spacing w:after="0" w:line="261" w:lineRule="auto"/>
        <w:rPr>
          <w:rFonts w:ascii="Arial" w:cs="Arial" w:eastAsia="Arial" w:hAnsi="Arial"/>
          <w:sz w:val="16"/>
          <w:szCs w:val="16"/>
          <w:b w:val="1"/>
          <w:bCs w:val="1"/>
          <w:color w:val="auto"/>
        </w:rPr>
      </w:pPr>
      <w:r>
        <w:rPr>
          <w:rFonts w:ascii="Arial" w:cs="Arial" w:eastAsia="Arial" w:hAnsi="Arial"/>
          <w:sz w:val="16"/>
          <w:szCs w:val="16"/>
          <w:color w:val="auto"/>
        </w:rPr>
        <w:t>The Company operates in one reporting unit. The Company performs a qualitative analysis when testing goodwill for impairment. A qualitative goodwill impairment test is performed when the fair value of a reporting unit historically has significantly exceeded the carrying value of its net assets and based on current operations is expected to continue to do so. Otherwise, the Company is required to conduct a quantitative impairment test and estimate the fair value of the reporting unit using a combination of an income approach based on discounted cash flow analysis and a market approach based on market multiples. If the fair value of a reporting unit is less than its’ carrying value, a goodwill impairment charge is recorded for the difference. As of December 31, 2021, the Company performed a qualitative impairment test for its reporting unit and concluded there was no impairment of goodwill.</w:t>
      </w:r>
    </w:p>
    <w:p>
      <w:pPr>
        <w:spacing w:after="0" w:line="148"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Impairment of Investment in Privately Held Companies</w:t>
      </w:r>
    </w:p>
    <w:p>
      <w:pPr>
        <w:spacing w:after="0" w:line="135"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6"/>
          <w:szCs w:val="16"/>
          <w:color w:val="auto"/>
        </w:rPr>
        <w:t>The Company concluded there was no impairment to its investments in privately held companies in 2021.</w:t>
      </w:r>
    </w:p>
    <w:p>
      <w:pPr>
        <w:spacing w:after="0" w:line="193" w:lineRule="exact"/>
        <w:rPr>
          <w:rFonts w:ascii="Arial" w:cs="Arial" w:eastAsia="Arial" w:hAnsi="Arial"/>
          <w:sz w:val="16"/>
          <w:szCs w:val="16"/>
          <w:b w:val="1"/>
          <w:bCs w:val="1"/>
          <w:color w:val="auto"/>
        </w:rPr>
      </w:pPr>
    </w:p>
    <w:p>
      <w:pPr>
        <w:ind w:left="1340" w:hanging="358"/>
        <w:spacing w:after="0"/>
        <w:tabs>
          <w:tab w:leader="none" w:pos="134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Leases</w:t>
      </w:r>
    </w:p>
    <w:p>
      <w:pPr>
        <w:spacing w:after="0" w:line="201" w:lineRule="exact"/>
        <w:rPr>
          <w:sz w:val="20"/>
          <w:szCs w:val="20"/>
          <w:color w:val="auto"/>
        </w:rPr>
      </w:pPr>
    </w:p>
    <w:p>
      <w:pPr>
        <w:jc w:val="both"/>
        <w:ind w:left="1300"/>
        <w:spacing w:after="0" w:line="323" w:lineRule="auto"/>
        <w:rPr>
          <w:sz w:val="20"/>
          <w:szCs w:val="20"/>
          <w:color w:val="auto"/>
        </w:rPr>
      </w:pPr>
      <w:r>
        <w:rPr>
          <w:rFonts w:ascii="Arial" w:cs="Arial" w:eastAsia="Arial" w:hAnsi="Arial"/>
          <w:sz w:val="15"/>
          <w:szCs w:val="15"/>
          <w:color w:val="auto"/>
        </w:rPr>
        <w:t>Effective January 1, 2019, the Company adopted ASC 842 “</w:t>
      </w:r>
      <w:r>
        <w:rPr>
          <w:rFonts w:ascii="Arial" w:cs="Arial" w:eastAsia="Arial" w:hAnsi="Arial"/>
          <w:sz w:val="15"/>
          <w:szCs w:val="15"/>
          <w:i w:val="1"/>
          <w:iCs w:val="1"/>
          <w:color w:val="auto"/>
        </w:rPr>
        <w:t>Leases</w:t>
      </w:r>
      <w:r>
        <w:rPr>
          <w:rFonts w:ascii="Arial" w:cs="Arial" w:eastAsia="Arial" w:hAnsi="Arial"/>
          <w:sz w:val="15"/>
          <w:szCs w:val="15"/>
          <w:color w:val="auto"/>
        </w:rPr>
        <w:t>” using the modified retrospective transition method and recognize a right-of-use asset (“ROU”) and lease liability for all operating and capital leases with a term greater than twelve months upon lease arrangement inception.</w:t>
      </w:r>
    </w:p>
    <w:p>
      <w:pPr>
        <w:spacing w:after="0" w:line="101" w:lineRule="exact"/>
        <w:rPr>
          <w:sz w:val="20"/>
          <w:szCs w:val="20"/>
          <w:color w:val="auto"/>
        </w:rPr>
      </w:pPr>
    </w:p>
    <w:p>
      <w:pPr>
        <w:jc w:val="both"/>
        <w:ind w:left="1300"/>
        <w:spacing w:after="0" w:line="261"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present value of lease payments over the lease term. Because most of the Company’s leases do not provide an implicit rate, the Company's incremental borrowing rate is used based on the information available at the commencement date in determining the present value of lease payments. The lease terms used to calculate the ROU asset and related lease liability include options to extend or terminate the lease when it is reasonably certain that the Company will exercise that option. Lease expense for operating leases is recognized on a straight-line basis over the lease term as an operating expense. For additional information, see Notes 11D and 11E.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 (Continued)</w:t>
      </w:r>
    </w:p>
    <w:p>
      <w:pPr>
        <w:spacing w:after="0" w:line="185" w:lineRule="exact"/>
        <w:rPr>
          <w:sz w:val="20"/>
          <w:szCs w:val="20"/>
          <w:color w:val="auto"/>
        </w:rPr>
      </w:pPr>
    </w:p>
    <w:p>
      <w:pPr>
        <w:ind w:left="1280" w:hanging="359"/>
        <w:spacing w:after="0"/>
        <w:tabs>
          <w:tab w:leader="none" w:pos="12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w:t>
      </w:r>
    </w:p>
    <w:p>
      <w:pPr>
        <w:spacing w:after="0" w:line="213" w:lineRule="exact"/>
        <w:rPr>
          <w:rFonts w:ascii="Arial" w:cs="Arial" w:eastAsia="Arial" w:hAnsi="Arial"/>
          <w:sz w:val="16"/>
          <w:szCs w:val="16"/>
          <w:b w:val="1"/>
          <w:bCs w:val="1"/>
          <w:color w:val="auto"/>
        </w:rPr>
      </w:pPr>
    </w:p>
    <w:p>
      <w:pPr>
        <w:ind w:left="1280" w:right="80" w:firstLine="5"/>
        <w:spacing w:after="0" w:line="323" w:lineRule="auto"/>
        <w:rPr>
          <w:rFonts w:ascii="Arial" w:cs="Arial" w:eastAsia="Arial" w:hAnsi="Arial"/>
          <w:sz w:val="16"/>
          <w:szCs w:val="16"/>
          <w:b w:val="1"/>
          <w:bCs w:val="1"/>
          <w:color w:val="auto"/>
        </w:rPr>
      </w:pPr>
      <w:r>
        <w:rPr>
          <w:rFonts w:ascii="Arial" w:cs="Arial" w:eastAsia="Arial" w:hAnsi="Arial"/>
          <w:sz w:val="15"/>
          <w:szCs w:val="15"/>
          <w:color w:val="auto"/>
        </w:rPr>
        <w:t>The Company follows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and recognizes revenue when it transfers the control of promised goods or services to customers in an amount that reflects the consideration the Company expects to be entitled to in exchange for those goods or services.</w:t>
      </w:r>
    </w:p>
    <w:p>
      <w:pPr>
        <w:spacing w:after="0" w:line="125" w:lineRule="exact"/>
        <w:rPr>
          <w:rFonts w:ascii="Arial" w:cs="Arial" w:eastAsia="Arial" w:hAnsi="Arial"/>
          <w:sz w:val="16"/>
          <w:szCs w:val="16"/>
          <w:b w:val="1"/>
          <w:bCs w:val="1"/>
          <w:color w:val="auto"/>
        </w:rPr>
      </w:pPr>
    </w:p>
    <w:p>
      <w:pPr>
        <w:ind w:left="1280" w:right="40" w:firstLine="5"/>
        <w:spacing w:after="0" w:line="272" w:lineRule="auto"/>
        <w:rPr>
          <w:rFonts w:ascii="Arial" w:cs="Arial" w:eastAsia="Arial" w:hAnsi="Arial"/>
          <w:sz w:val="16"/>
          <w:szCs w:val="16"/>
          <w:b w:val="1"/>
          <w:bCs w:val="1"/>
          <w:color w:val="auto"/>
        </w:rPr>
      </w:pPr>
      <w:r>
        <w:rPr>
          <w:rFonts w:ascii="Arial" w:cs="Arial" w:eastAsia="Arial" w:hAnsi="Arial"/>
          <w:sz w:val="16"/>
          <w:szCs w:val="16"/>
          <w:color w:val="auto"/>
        </w:rPr>
        <w:t>The Company’s revenues are generated principally from sales of semiconductor wafers. The Company, to a much lesser extent, also derives revenues from design support and other technical and support services incidental to the sale of semiconductor wafers. Most of the Company’s sales are achieved through the effort of its direct sales and business development force.</w:t>
      </w:r>
    </w:p>
    <w:p>
      <w:pPr>
        <w:spacing w:after="0" w:line="161" w:lineRule="exact"/>
        <w:rPr>
          <w:rFonts w:ascii="Arial" w:cs="Arial" w:eastAsia="Arial" w:hAnsi="Arial"/>
          <w:sz w:val="16"/>
          <w:szCs w:val="16"/>
          <w:b w:val="1"/>
          <w:bCs w:val="1"/>
          <w:color w:val="auto"/>
        </w:rPr>
      </w:pPr>
    </w:p>
    <w:p>
      <w:pPr>
        <w:ind w:left="1280" w:right="80" w:firstLine="5"/>
        <w:spacing w:after="0" w:line="267" w:lineRule="auto"/>
        <w:rPr>
          <w:rFonts w:ascii="Arial" w:cs="Arial" w:eastAsia="Arial" w:hAnsi="Arial"/>
          <w:sz w:val="16"/>
          <w:szCs w:val="16"/>
          <w:b w:val="1"/>
          <w:bCs w:val="1"/>
          <w:color w:val="auto"/>
        </w:rPr>
      </w:pPr>
      <w:r>
        <w:rPr>
          <w:rFonts w:ascii="Arial" w:cs="Arial" w:eastAsia="Arial" w:hAnsi="Arial"/>
          <w:sz w:val="16"/>
          <w:szCs w:val="16"/>
          <w:color w:val="auto"/>
        </w:rPr>
        <w:t>Wafer sales typically contain a single performance obligation that is fulfilled on the date of delivery and recognized at a point in time, which is upon shipment of the Company’s products to unaffiliated customers, depending on shipping terms stipulated in the contract. Accordingly, control of the products transfers to the customer in accordance with the transaction's shipping terms. Taxes imposed by governmental authorities, such as sales taxes or value-added taxes, are excluded from net sales.</w:t>
      </w:r>
    </w:p>
    <w:p>
      <w:pPr>
        <w:spacing w:after="0" w:line="164" w:lineRule="exact"/>
        <w:rPr>
          <w:rFonts w:ascii="Arial" w:cs="Arial" w:eastAsia="Arial" w:hAnsi="Arial"/>
          <w:sz w:val="16"/>
          <w:szCs w:val="16"/>
          <w:b w:val="1"/>
          <w:bCs w:val="1"/>
          <w:color w:val="auto"/>
        </w:rPr>
      </w:pPr>
    </w:p>
    <w:p>
      <w:pPr>
        <w:ind w:left="1280" w:right="560" w:firstLine="5"/>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The Company provides for sales returns allowance relating to specified yield or quality commitments as a reduction of revenues, based on past experience and specific identification of events necessitating an allowance, which has been in immaterial amounts.</w:t>
      </w:r>
    </w:p>
    <w:p>
      <w:pPr>
        <w:spacing w:after="0" w:line="148" w:lineRule="exact"/>
        <w:rPr>
          <w:rFonts w:ascii="Arial" w:cs="Arial" w:eastAsia="Arial" w:hAnsi="Arial"/>
          <w:sz w:val="16"/>
          <w:szCs w:val="16"/>
          <w:b w:val="1"/>
          <w:bCs w:val="1"/>
          <w:color w:val="auto"/>
        </w:rPr>
      </w:pPr>
    </w:p>
    <w:p>
      <w:pPr>
        <w:ind w:left="1280" w:firstLine="5"/>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The Company provides its customers with other services that are less significant in scope and amount and for which recognition occurs over time when customers receive the services.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00"/>
          </w:cols>
          <w:pgMar w:left="320" w:top="271" w:right="37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 (Continued)</w:t>
      </w:r>
    </w:p>
    <w:p>
      <w:pPr>
        <w:spacing w:after="0" w:line="210" w:lineRule="exact"/>
        <w:rPr>
          <w:sz w:val="20"/>
          <w:szCs w:val="20"/>
          <w:color w:val="auto"/>
        </w:rPr>
      </w:pPr>
    </w:p>
    <w:p>
      <w:pPr>
        <w:ind w:left="1300" w:hanging="379"/>
        <w:spacing w:after="0"/>
        <w:tabs>
          <w:tab w:leader="none" w:pos="130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Research and Development</w:t>
      </w:r>
    </w:p>
    <w:p>
      <w:pPr>
        <w:spacing w:after="0" w:line="213" w:lineRule="exact"/>
        <w:rPr>
          <w:rFonts w:ascii="Arial" w:cs="Arial" w:eastAsia="Arial" w:hAnsi="Arial"/>
          <w:sz w:val="16"/>
          <w:szCs w:val="16"/>
          <w:b w:val="1"/>
          <w:bCs w:val="1"/>
          <w:color w:val="auto"/>
        </w:rPr>
      </w:pPr>
    </w:p>
    <w:p>
      <w:pPr>
        <w:ind w:left="1280" w:right="80" w:firstLine="5"/>
        <w:spacing w:after="0" w:line="272" w:lineRule="auto"/>
        <w:rPr>
          <w:rFonts w:ascii="Arial" w:cs="Arial" w:eastAsia="Arial" w:hAnsi="Arial"/>
          <w:sz w:val="16"/>
          <w:szCs w:val="16"/>
          <w:b w:val="1"/>
          <w:bCs w:val="1"/>
          <w:color w:val="auto"/>
        </w:rPr>
      </w:pPr>
      <w:r>
        <w:rPr>
          <w:rFonts w:ascii="Arial" w:cs="Arial" w:eastAsia="Arial" w:hAnsi="Arial"/>
          <w:sz w:val="16"/>
          <w:szCs w:val="16"/>
          <w:color w:val="auto"/>
        </w:rPr>
        <w:t>Research and development costs are charged to operations as incurred. Amounts received or receivable from the government of Israel and others, such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157" w:lineRule="exact"/>
        <w:rPr>
          <w:rFonts w:ascii="Arial" w:cs="Arial" w:eastAsia="Arial" w:hAnsi="Arial"/>
          <w:sz w:val="16"/>
          <w:szCs w:val="16"/>
          <w:b w:val="1"/>
          <w:bCs w:val="1"/>
          <w:color w:val="auto"/>
        </w:rPr>
      </w:pPr>
    </w:p>
    <w:p>
      <w:pPr>
        <w:ind w:left="1300" w:hanging="379"/>
        <w:spacing w:after="0"/>
        <w:tabs>
          <w:tab w:leader="none" w:pos="130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213" w:lineRule="exact"/>
        <w:rPr>
          <w:rFonts w:ascii="Arial" w:cs="Arial" w:eastAsia="Arial" w:hAnsi="Arial"/>
          <w:sz w:val="16"/>
          <w:szCs w:val="16"/>
          <w:b w:val="1"/>
          <w:bCs w:val="1"/>
          <w:color w:val="auto"/>
        </w:rPr>
      </w:pPr>
    </w:p>
    <w:p>
      <w:pPr>
        <w:ind w:left="1280" w:right="20" w:firstLine="5"/>
        <w:spacing w:after="0" w:line="264" w:lineRule="auto"/>
        <w:rPr>
          <w:rFonts w:ascii="Arial" w:cs="Arial" w:eastAsia="Arial" w:hAnsi="Arial"/>
          <w:sz w:val="16"/>
          <w:szCs w:val="16"/>
          <w:b w:val="1"/>
          <w:bCs w:val="1"/>
          <w:color w:val="auto"/>
        </w:rPr>
      </w:pPr>
      <w:r>
        <w:rPr>
          <w:rFonts w:ascii="Arial" w:cs="Arial" w:eastAsia="Arial" w:hAnsi="Arial"/>
          <w:sz w:val="16"/>
          <w:szCs w:val="16"/>
          <w:color w:val="auto"/>
        </w:rPr>
        <w:t xml:space="preserve">The Company accounts for income taxes using an asset and liability approach as prescribed in ASC 740-10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This topic prescribes the use of the liability method whereby deferred tax asset and liability account balances are determined based on differences between financial reporting and tax bases of assets and liabilities. Deferred taxes are measured using the enacted tax rates anticipated (under applicable law as of the balance sheet date) to apply when the deferred taxes are expected to be paid or realized. Deferred tax assets and liabilities, as well as any related valuation allowance, are classified as noncurrent items on the balance sheets.</w:t>
      </w:r>
    </w:p>
    <w:p>
      <w:pPr>
        <w:spacing w:after="0" w:line="168" w:lineRule="exact"/>
        <w:rPr>
          <w:rFonts w:ascii="Arial" w:cs="Arial" w:eastAsia="Arial" w:hAnsi="Arial"/>
          <w:sz w:val="16"/>
          <w:szCs w:val="16"/>
          <w:b w:val="1"/>
          <w:bCs w:val="1"/>
          <w:color w:val="auto"/>
        </w:rPr>
      </w:pPr>
    </w:p>
    <w:p>
      <w:pPr>
        <w:ind w:left="1280" w:right="200" w:firstLine="5"/>
        <w:spacing w:after="0" w:line="264" w:lineRule="auto"/>
        <w:rPr>
          <w:rFonts w:ascii="Arial" w:cs="Arial" w:eastAsia="Arial" w:hAnsi="Arial"/>
          <w:sz w:val="16"/>
          <w:szCs w:val="16"/>
          <w:b w:val="1"/>
          <w:bCs w:val="1"/>
          <w:color w:val="auto"/>
        </w:rPr>
      </w:pPr>
      <w:r>
        <w:rPr>
          <w:rFonts w:ascii="Arial" w:cs="Arial" w:eastAsia="Arial" w:hAnsi="Arial"/>
          <w:sz w:val="16"/>
          <w:szCs w:val="16"/>
          <w:color w:val="auto"/>
        </w:rPr>
        <w:t>The Company evaluates the potential realization of its deferred tax assets for each jurisdiction in which the Company operates at each reporting date and establishes valuation allowances when it is more likely than not that all or a part of its deferred tax assets will not be realized. The ultimate realization of deferred tax assets is dependent upon the generation of future taxable income of the same character and in the same jurisdiction. The Company considers all available positive and negative evidence in making this assessment, including, but not limited to, the scheduled reversal of deferred tax liabilities and deferred tax assets and projected future taxable income.</w:t>
      </w:r>
    </w:p>
    <w:p>
      <w:pPr>
        <w:spacing w:after="0" w:line="168" w:lineRule="exact"/>
        <w:rPr>
          <w:rFonts w:ascii="Arial" w:cs="Arial" w:eastAsia="Arial" w:hAnsi="Arial"/>
          <w:sz w:val="16"/>
          <w:szCs w:val="16"/>
          <w:b w:val="1"/>
          <w:bCs w:val="1"/>
          <w:color w:val="auto"/>
        </w:rPr>
      </w:pPr>
    </w:p>
    <w:p>
      <w:pPr>
        <w:ind w:left="1280" w:firstLine="5"/>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A valuation allowance is established, when necessary, to reduce deferred tax assets to the amount that is more likely than not to be realized based on all available evidence.</w:t>
      </w:r>
    </w:p>
    <w:p>
      <w:pPr>
        <w:spacing w:after="0" w:line="148" w:lineRule="exact"/>
        <w:rPr>
          <w:rFonts w:ascii="Arial" w:cs="Arial" w:eastAsia="Arial" w:hAnsi="Arial"/>
          <w:sz w:val="16"/>
          <w:szCs w:val="16"/>
          <w:b w:val="1"/>
          <w:bCs w:val="1"/>
          <w:color w:val="auto"/>
        </w:rPr>
      </w:pPr>
    </w:p>
    <w:p>
      <w:pPr>
        <w:ind w:left="1280" w:right="180" w:firstLine="5"/>
        <w:spacing w:after="0" w:line="261" w:lineRule="auto"/>
        <w:rPr>
          <w:rFonts w:ascii="Arial" w:cs="Arial" w:eastAsia="Arial" w:hAnsi="Arial"/>
          <w:sz w:val="16"/>
          <w:szCs w:val="16"/>
          <w:b w:val="1"/>
          <w:bCs w:val="1"/>
          <w:color w:val="auto"/>
        </w:rPr>
      </w:pPr>
      <w:r>
        <w:rPr>
          <w:rFonts w:ascii="Arial" w:cs="Arial" w:eastAsia="Arial" w:hAnsi="Arial"/>
          <w:sz w:val="16"/>
          <w:szCs w:val="16"/>
          <w:color w:val="auto"/>
        </w:rPr>
        <w:t>ASC 740-10 prescribes a two-step approach for recognizing and measuring uncertain tax positions. The first step is to evaluate tax positions taken or expected to be taken in a tax return by assessing whether they are more-likely-than-not sustainable, based solely on their technical merits, upon examination and including resolution of any related appeals or litigation process. The second step is to measure the associated tax benefit of each position as the largest amount that the Company believes is more-likely-than-not realizable. Differences between the amount of tax benefits taken or expected to be taken in its income tax returns and the amount of tax benefits recognized in its financial statements, represent the Company's unrecognized income tax benefits. The Company's policy is to include interest and penalties related to unrecognized income tax benefits as a component of income tax expense.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20"/>
          </w:cols>
          <w:pgMar w:left="320" w:top="271" w:right="359" w:bottom="1440"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 (Continued)</w:t>
      </w:r>
    </w:p>
    <w:p>
      <w:pPr>
        <w:spacing w:after="0" w:line="210" w:lineRule="exact"/>
        <w:rPr>
          <w:sz w:val="20"/>
          <w:szCs w:val="20"/>
          <w:color w:val="auto"/>
        </w:rPr>
      </w:pPr>
    </w:p>
    <w:p>
      <w:pPr>
        <w:ind w:left="1320" w:hanging="338"/>
        <w:spacing w:after="0"/>
        <w:tabs>
          <w:tab w:leader="none" w:pos="132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Ordinary Share</w:t>
      </w:r>
    </w:p>
    <w:p>
      <w:pPr>
        <w:spacing w:after="0" w:line="188" w:lineRule="exact"/>
        <w:rPr>
          <w:rFonts w:ascii="Arial" w:cs="Arial" w:eastAsia="Arial" w:hAnsi="Arial"/>
          <w:sz w:val="16"/>
          <w:szCs w:val="16"/>
          <w:b w:val="1"/>
          <w:bCs w:val="1"/>
          <w:color w:val="auto"/>
        </w:rPr>
      </w:pPr>
    </w:p>
    <w:p>
      <w:pPr>
        <w:jc w:val="both"/>
        <w:ind w:left="1300"/>
        <w:spacing w:after="0" w:line="267" w:lineRule="auto"/>
        <w:rPr>
          <w:rFonts w:ascii="Arial" w:cs="Arial" w:eastAsia="Arial" w:hAnsi="Arial"/>
          <w:sz w:val="16"/>
          <w:szCs w:val="16"/>
          <w:b w:val="1"/>
          <w:bCs w:val="1"/>
          <w:color w:val="auto"/>
        </w:rPr>
      </w:pPr>
      <w:r>
        <w:rPr>
          <w:rFonts w:ascii="Arial" w:cs="Arial" w:eastAsia="Arial" w:hAnsi="Arial"/>
          <w:sz w:val="16"/>
          <w:szCs w:val="16"/>
          <w:color w:val="auto"/>
        </w:rPr>
        <w:t>Basic earnings per share are calculated in accordance with ASC 260, “Earnings Per Share” by dividing net profit or loss attributable to ordinary equity holders of Tower (the numerator) by the weighted average number of ordinary shares outstanding during the reported period (the denominator). Diluted earnings per share are calculated, if applicable, by adjusting net profit attributable to ordinary equity holders of Tower, and the weighted average number of ordinary shares, taking into effect all potential dilutive ordinary shares.</w:t>
      </w:r>
    </w:p>
    <w:p>
      <w:pPr>
        <w:spacing w:after="0" w:line="148" w:lineRule="exact"/>
        <w:rPr>
          <w:rFonts w:ascii="Arial" w:cs="Arial" w:eastAsia="Arial" w:hAnsi="Arial"/>
          <w:sz w:val="16"/>
          <w:szCs w:val="16"/>
          <w:b w:val="1"/>
          <w:bCs w:val="1"/>
          <w:color w:val="auto"/>
        </w:rPr>
      </w:pPr>
    </w:p>
    <w:p>
      <w:pPr>
        <w:ind w:left="1300" w:hanging="318"/>
        <w:spacing w:after="0"/>
        <w:tabs>
          <w:tab w:leader="none" w:pos="130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Comprehensive Income</w:t>
      </w:r>
    </w:p>
    <w:p>
      <w:pPr>
        <w:spacing w:after="0" w:line="201" w:lineRule="exact"/>
        <w:rPr>
          <w:rFonts w:ascii="Arial" w:cs="Arial" w:eastAsia="Arial" w:hAnsi="Arial"/>
          <w:sz w:val="16"/>
          <w:szCs w:val="16"/>
          <w:b w:val="1"/>
          <w:bCs w:val="1"/>
          <w:color w:val="auto"/>
        </w:rPr>
      </w:pPr>
    </w:p>
    <w:p>
      <w:pPr>
        <w:jc w:val="both"/>
        <w:ind w:left="1300"/>
        <w:spacing w:after="0" w:line="267" w:lineRule="auto"/>
        <w:rPr>
          <w:rFonts w:ascii="Arial" w:cs="Arial" w:eastAsia="Arial" w:hAnsi="Arial"/>
          <w:sz w:val="16"/>
          <w:szCs w:val="16"/>
          <w:b w:val="1"/>
          <w:bCs w:val="1"/>
          <w:color w:val="auto"/>
        </w:rPr>
      </w:pPr>
      <w:r>
        <w:rPr>
          <w:rFonts w:ascii="Arial" w:cs="Arial" w:eastAsia="Arial" w:hAnsi="Arial"/>
          <w:sz w:val="16"/>
          <w:szCs w:val="16"/>
          <w:color w:val="auto"/>
        </w:rPr>
        <w:t xml:space="preserve">In accordance with ASC 220 </w:t>
      </w:r>
      <w:r>
        <w:rPr>
          <w:rFonts w:ascii="Arial" w:cs="Arial" w:eastAsia="Arial" w:hAnsi="Arial"/>
          <w:sz w:val="16"/>
          <w:szCs w:val="16"/>
          <w:i w:val="1"/>
          <w:iCs w:val="1"/>
          <w:color w:val="auto"/>
        </w:rPr>
        <w:t>“Comprehensive Income”</w:t>
      </w:r>
      <w:r>
        <w:rPr>
          <w:rFonts w:ascii="Arial" w:cs="Arial" w:eastAsia="Arial" w:hAnsi="Arial"/>
          <w:sz w:val="16"/>
          <w:szCs w:val="16"/>
          <w:color w:val="auto"/>
        </w:rPr>
        <w:t>, comprehensive income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(“OCI”) represents gains and losses that are included in comprehensive income but excluded from net profit.</w:t>
      </w:r>
    </w:p>
    <w:p>
      <w:pPr>
        <w:spacing w:after="0" w:line="136" w:lineRule="exact"/>
        <w:rPr>
          <w:rFonts w:ascii="Arial" w:cs="Arial" w:eastAsia="Arial" w:hAnsi="Arial"/>
          <w:sz w:val="16"/>
          <w:szCs w:val="16"/>
          <w:b w:val="1"/>
          <w:bCs w:val="1"/>
          <w:color w:val="auto"/>
        </w:rPr>
      </w:pPr>
    </w:p>
    <w:p>
      <w:pPr>
        <w:ind w:left="1280" w:hanging="298"/>
        <w:spacing w:after="0"/>
        <w:tabs>
          <w:tab w:leader="none" w:pos="12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Functional Currency and Exchange Rate Income (Loss)</w:t>
      </w:r>
    </w:p>
    <w:p>
      <w:pPr>
        <w:spacing w:after="0" w:line="201" w:lineRule="exact"/>
        <w:rPr>
          <w:sz w:val="20"/>
          <w:szCs w:val="20"/>
          <w:color w:val="auto"/>
        </w:rPr>
      </w:pPr>
    </w:p>
    <w:p>
      <w:pPr>
        <w:jc w:val="both"/>
        <w:ind w:left="1300"/>
        <w:spacing w:after="0" w:line="282" w:lineRule="auto"/>
        <w:rPr>
          <w:sz w:val="20"/>
          <w:szCs w:val="20"/>
          <w:color w:val="auto"/>
        </w:rPr>
      </w:pPr>
      <w:r>
        <w:rPr>
          <w:rFonts w:ascii="Arial" w:cs="Arial" w:eastAsia="Arial" w:hAnsi="Arial"/>
          <w:sz w:val="15"/>
          <w:szCs w:val="15"/>
          <w:color w:val="auto"/>
        </w:rPr>
        <w:t xml:space="preserve">The currency of the primary economic environment in which Tower, TSSA and TSNB conduct their operations is the U.S. Dollar (“dollar”). Thus, the dollar is their functional and reporting currency. Accordingly, monetary accounts maintained in currencies other than the dollar are re-measured into dollars in accordance with ASC 830-10 </w:t>
      </w:r>
      <w:r>
        <w:rPr>
          <w:rFonts w:ascii="Arial" w:cs="Arial" w:eastAsia="Arial" w:hAnsi="Arial"/>
          <w:sz w:val="15"/>
          <w:szCs w:val="15"/>
          <w:i w:val="1"/>
          <w:iCs w:val="1"/>
          <w:color w:val="auto"/>
        </w:rPr>
        <w:t>“Foreign Currency Matters”</w:t>
      </w:r>
      <w:r>
        <w:rPr>
          <w:rFonts w:ascii="Arial" w:cs="Arial" w:eastAsia="Arial" w:hAnsi="Arial"/>
          <w:sz w:val="15"/>
          <w:szCs w:val="15"/>
          <w:color w:val="auto"/>
        </w:rPr>
        <w:t>. All transaction gains and losses from the re-measurement of monetary balance sheet items are reflected in the statements of operations as financial income or expenses, as appropriate. The financial statements of TPSCo, whose functional currency is the Japanese Yen (“JPY”), have been translated into dollars. The assets and liabilities have been translated using the exchange rate in effect as of the balance sheet date. The statements of operations of TPSCo have been translated using the average exchange rate for the reported period. The resulting translation adjustments are charged or credited to OCI.</w:t>
      </w:r>
    </w:p>
    <w:p>
      <w:pPr>
        <w:spacing w:after="0" w:line="139"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6"/>
          <w:szCs w:val="16"/>
          <w:b w:val="1"/>
          <w:bCs w:val="1"/>
          <w:color w:val="auto"/>
        </w:rPr>
        <w:t>T.</w:t>
      </w:r>
      <w:r>
        <w:rPr>
          <w:sz w:val="20"/>
          <w:szCs w:val="20"/>
          <w:color w:val="auto"/>
        </w:rPr>
        <w:tab/>
      </w:r>
      <w:r>
        <w:rPr>
          <w:rFonts w:ascii="Arial" w:cs="Arial" w:eastAsia="Arial" w:hAnsi="Arial"/>
          <w:sz w:val="14"/>
          <w:szCs w:val="14"/>
          <w:b w:val="1"/>
          <w:bCs w:val="1"/>
          <w:color w:val="auto"/>
        </w:rPr>
        <w:t>Stock-based Compensation</w:t>
      </w:r>
    </w:p>
    <w:p>
      <w:pPr>
        <w:spacing w:after="0" w:line="189" w:lineRule="exact"/>
        <w:rPr>
          <w:sz w:val="20"/>
          <w:szCs w:val="20"/>
          <w:color w:val="auto"/>
        </w:rPr>
      </w:pPr>
    </w:p>
    <w:p>
      <w:pPr>
        <w:jc w:val="both"/>
        <w:ind w:left="1300"/>
        <w:spacing w:after="0" w:line="288" w:lineRule="auto"/>
        <w:rPr>
          <w:sz w:val="20"/>
          <w:szCs w:val="20"/>
          <w:color w:val="auto"/>
        </w:rPr>
      </w:pPr>
      <w:r>
        <w:rPr>
          <w:rFonts w:ascii="Arial" w:cs="Arial" w:eastAsia="Arial" w:hAnsi="Arial"/>
          <w:sz w:val="16"/>
          <w:szCs w:val="16"/>
          <w:color w:val="auto"/>
        </w:rPr>
        <w:t xml:space="preserve">The Company applies the provisions of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under which employees’ share-based equity awards (mostly restricted stock units and performance unit shares) are recognized based on the grant-date fair values.</w:t>
      </w:r>
    </w:p>
    <w:p>
      <w:pPr>
        <w:spacing w:after="0" w:line="136" w:lineRule="exact"/>
        <w:rPr>
          <w:sz w:val="20"/>
          <w:szCs w:val="20"/>
          <w:color w:val="auto"/>
        </w:rPr>
      </w:pPr>
    </w:p>
    <w:p>
      <w:pPr>
        <w:jc w:val="both"/>
        <w:ind w:left="1300"/>
        <w:spacing w:after="0" w:line="288" w:lineRule="auto"/>
        <w:rPr>
          <w:sz w:val="20"/>
          <w:szCs w:val="20"/>
          <w:color w:val="auto"/>
        </w:rPr>
      </w:pPr>
      <w:r>
        <w:rPr>
          <w:rFonts w:ascii="Arial" w:cs="Arial" w:eastAsia="Arial" w:hAnsi="Arial"/>
          <w:sz w:val="16"/>
          <w:szCs w:val="16"/>
          <w:color w:val="auto"/>
        </w:rPr>
        <w:t>The compensation costs are recognized using the graded vesting attribution method based on the vesting terms of each unit included in the award resulting in an accelerated recognition of compensation costs.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 (Continued)</w:t>
      </w:r>
    </w:p>
    <w:p>
      <w:pPr>
        <w:spacing w:after="0" w:line="185" w:lineRule="exact"/>
        <w:rPr>
          <w:sz w:val="20"/>
          <w:szCs w:val="20"/>
          <w:color w:val="auto"/>
        </w:rPr>
      </w:pPr>
    </w:p>
    <w:p>
      <w:pPr>
        <w:ind w:left="1300" w:hanging="318"/>
        <w:spacing w:after="0"/>
        <w:tabs>
          <w:tab w:leader="none" w:pos="130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 of Financial Instruments</w:t>
      </w:r>
    </w:p>
    <w:p>
      <w:pPr>
        <w:spacing w:after="0" w:line="201" w:lineRule="exact"/>
        <w:rPr>
          <w:rFonts w:ascii="Arial" w:cs="Arial" w:eastAsia="Arial" w:hAnsi="Arial"/>
          <w:sz w:val="16"/>
          <w:szCs w:val="16"/>
          <w:b w:val="1"/>
          <w:bCs w:val="1"/>
          <w:color w:val="auto"/>
        </w:rPr>
      </w:pPr>
    </w:p>
    <w:p>
      <w:pPr>
        <w:jc w:val="both"/>
        <w:ind w:left="1300"/>
        <w:spacing w:after="0" w:line="267" w:lineRule="auto"/>
        <w:rPr>
          <w:rFonts w:ascii="Arial" w:cs="Arial" w:eastAsia="Arial" w:hAnsi="Arial"/>
          <w:sz w:val="16"/>
          <w:szCs w:val="16"/>
          <w:b w:val="1"/>
          <w:bCs w:val="1"/>
          <w:color w:val="auto"/>
        </w:rPr>
      </w:pPr>
      <w:r>
        <w:rPr>
          <w:rFonts w:ascii="Arial" w:cs="Arial" w:eastAsia="Arial" w:hAnsi="Arial"/>
          <w:sz w:val="16"/>
          <w:szCs w:val="16"/>
          <w:color w:val="auto"/>
        </w:rPr>
        <w:t xml:space="preserve">ASC 820, </w:t>
      </w:r>
      <w:r>
        <w:rPr>
          <w:rFonts w:ascii="Arial" w:cs="Arial" w:eastAsia="Arial" w:hAnsi="Arial"/>
          <w:sz w:val="16"/>
          <w:szCs w:val="16"/>
          <w:i w:val="1"/>
          <w:iCs w:val="1"/>
          <w:color w:val="auto"/>
        </w:rPr>
        <w:t>"Fair Value Measurements and Disclosures" (“ASC 820”)</w:t>
      </w:r>
      <w:r>
        <w:rPr>
          <w:rFonts w:ascii="Arial" w:cs="Arial" w:eastAsia="Arial" w:hAnsi="Arial"/>
          <w:sz w:val="16"/>
          <w:szCs w:val="16"/>
          <w:color w:val="auto"/>
        </w:rPr>
        <w:t>, requires an entity to maximize the use of observable inputs and minimize the use of unobservable inputs when measuring fair value. ASC 820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w:t>
      </w:r>
    </w:p>
    <w:p>
      <w:pPr>
        <w:spacing w:after="0" w:line="152"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6"/>
          <w:szCs w:val="16"/>
          <w:color w:val="auto"/>
        </w:rPr>
        <w:t>ASC 820 prioritizes the inputs into three levels that may be used to measure fair value:</w:t>
      </w:r>
    </w:p>
    <w:p>
      <w:pPr>
        <w:spacing w:after="0" w:line="184"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Level 1</w:t>
      </w:r>
    </w:p>
    <w:p>
      <w:pPr>
        <w:spacing w:after="0" w:line="197"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6"/>
          <w:szCs w:val="16"/>
          <w:color w:val="auto"/>
        </w:rPr>
        <w:t>Level 1 applies to assets or liabilities for which there are quoted prices in active markets for identical assets or liabilities.</w:t>
      </w:r>
    </w:p>
    <w:p>
      <w:pPr>
        <w:spacing w:after="0" w:line="197"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Level 2</w:t>
      </w:r>
    </w:p>
    <w:p>
      <w:pPr>
        <w:spacing w:after="0" w:line="184" w:lineRule="exact"/>
        <w:rPr>
          <w:rFonts w:ascii="Arial" w:cs="Arial" w:eastAsia="Arial" w:hAnsi="Arial"/>
          <w:sz w:val="16"/>
          <w:szCs w:val="16"/>
          <w:b w:val="1"/>
          <w:bCs w:val="1"/>
          <w:color w:val="auto"/>
        </w:rPr>
      </w:pPr>
    </w:p>
    <w:p>
      <w:pPr>
        <w:jc w:val="both"/>
        <w:ind w:left="1300"/>
        <w:spacing w:after="0" w:line="267" w:lineRule="auto"/>
        <w:rPr>
          <w:rFonts w:ascii="Arial" w:cs="Arial" w:eastAsia="Arial" w:hAnsi="Arial"/>
          <w:sz w:val="16"/>
          <w:szCs w:val="16"/>
          <w:b w:val="1"/>
          <w:bCs w:val="1"/>
          <w:color w:val="auto"/>
        </w:rPr>
      </w:pPr>
      <w:r>
        <w:rPr>
          <w:rFonts w:ascii="Arial" w:cs="Arial" w:eastAsia="Arial" w:hAnsi="Arial"/>
          <w:sz w:val="16"/>
          <w:szCs w:val="16"/>
          <w:color w:val="auto"/>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52"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Level 3</w:t>
      </w:r>
    </w:p>
    <w:p>
      <w:pPr>
        <w:spacing w:after="0" w:line="197" w:lineRule="exact"/>
        <w:rPr>
          <w:rFonts w:ascii="Arial" w:cs="Arial" w:eastAsia="Arial" w:hAnsi="Arial"/>
          <w:sz w:val="16"/>
          <w:szCs w:val="16"/>
          <w:b w:val="1"/>
          <w:bCs w:val="1"/>
          <w:color w:val="auto"/>
        </w:rPr>
      </w:pPr>
    </w:p>
    <w:p>
      <w:pPr>
        <w:ind w:left="130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Level 3 applies to assets or liabilities for which there are unobservable inputs to the valuation methodology that are significant to the measurement of the fair value of the assets or liabilities.</w:t>
      </w:r>
    </w:p>
    <w:p>
      <w:pPr>
        <w:spacing w:after="0" w:line="124" w:lineRule="exact"/>
        <w:rPr>
          <w:rFonts w:ascii="Arial" w:cs="Arial" w:eastAsia="Arial" w:hAnsi="Arial"/>
          <w:sz w:val="16"/>
          <w:szCs w:val="16"/>
          <w:b w:val="1"/>
          <w:bCs w:val="1"/>
          <w:color w:val="auto"/>
        </w:rPr>
      </w:pPr>
    </w:p>
    <w:p>
      <w:pPr>
        <w:jc w:val="both"/>
        <w:ind w:left="1300"/>
        <w:spacing w:after="0" w:line="264" w:lineRule="auto"/>
        <w:rPr>
          <w:rFonts w:ascii="Arial" w:cs="Arial" w:eastAsia="Arial" w:hAnsi="Arial"/>
          <w:sz w:val="16"/>
          <w:szCs w:val="16"/>
          <w:b w:val="1"/>
          <w:bCs w:val="1"/>
          <w:color w:val="auto"/>
        </w:rPr>
      </w:pPr>
      <w:r>
        <w:rPr>
          <w:rFonts w:ascii="Arial" w:cs="Arial" w:eastAsia="Arial" w:hAnsi="Arial"/>
          <w:sz w:val="16"/>
          <w:szCs w:val="16"/>
          <w:color w:val="auto"/>
        </w:rPr>
        <w:t>The Company's financial instruments primarily consist of cash, bank deposits, account receivables and payables, accrued liabilities, loans and leases whose carrying values approximate their current fair values because of their nature and respective maturity dates or durations. The Company had no financial assets or liabilities carried and measured on a non-recurring basis during the reporting periods. Financial assets and liabilities measured on a recurring basis are those that are adjusted to fair value each time a financial statement is prepared such as marketable securities and investment in privately-held companies.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 (Continued)</w:t>
      </w:r>
    </w:p>
    <w:p>
      <w:pPr>
        <w:spacing w:after="0" w:line="185" w:lineRule="exact"/>
        <w:rPr>
          <w:sz w:val="20"/>
          <w:szCs w:val="20"/>
          <w:color w:val="auto"/>
        </w:rPr>
      </w:pPr>
    </w:p>
    <w:p>
      <w:pPr>
        <w:ind w:left="1280" w:hanging="298"/>
        <w:spacing w:after="0"/>
        <w:tabs>
          <w:tab w:leader="none" w:pos="128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Derivatives and Hedging</w:t>
      </w:r>
    </w:p>
    <w:p>
      <w:pPr>
        <w:spacing w:after="0" w:line="201" w:lineRule="exact"/>
        <w:rPr>
          <w:sz w:val="20"/>
          <w:szCs w:val="20"/>
          <w:color w:val="auto"/>
        </w:rPr>
      </w:pPr>
    </w:p>
    <w:p>
      <w:pPr>
        <w:jc w:val="both"/>
        <w:ind w:left="1300"/>
        <w:spacing w:after="0" w:line="323" w:lineRule="auto"/>
        <w:rPr>
          <w:sz w:val="20"/>
          <w:szCs w:val="20"/>
          <w:color w:val="auto"/>
        </w:rPr>
      </w:pPr>
      <w:r>
        <w:rPr>
          <w:rFonts w:ascii="Arial" w:cs="Arial" w:eastAsia="Arial" w:hAnsi="Arial"/>
          <w:sz w:val="15"/>
          <w:szCs w:val="15"/>
          <w:color w:val="auto"/>
        </w:rPr>
        <w:t>Effective January 1, 2019, the Company adopted ASU 2017-12, “</w:t>
      </w:r>
      <w:r>
        <w:rPr>
          <w:rFonts w:ascii="Arial" w:cs="Arial" w:eastAsia="Arial" w:hAnsi="Arial"/>
          <w:sz w:val="15"/>
          <w:szCs w:val="15"/>
          <w:i w:val="1"/>
          <w:iCs w:val="1"/>
          <w:color w:val="auto"/>
        </w:rPr>
        <w:t>Derivatives and Hedging (“Topic 815”)</w:t>
      </w:r>
      <w:r>
        <w:rPr>
          <w:rFonts w:ascii="Arial" w:cs="Arial" w:eastAsia="Arial" w:hAnsi="Arial"/>
          <w:sz w:val="15"/>
          <w:szCs w:val="15"/>
          <w:color w:val="auto"/>
        </w:rPr>
        <w:t xml:space="preserve">: </w:t>
      </w:r>
      <w:r>
        <w:rPr>
          <w:rFonts w:ascii="Arial" w:cs="Arial" w:eastAsia="Arial" w:hAnsi="Arial"/>
          <w:sz w:val="15"/>
          <w:szCs w:val="15"/>
          <w:i w:val="1"/>
          <w:iCs w:val="1"/>
          <w:color w:val="auto"/>
        </w:rPr>
        <w:t>Targeted Improvements to Accounting for</w:t>
      </w:r>
      <w:r>
        <w:rPr>
          <w:rFonts w:ascii="Arial" w:cs="Arial" w:eastAsia="Arial" w:hAnsi="Arial"/>
          <w:sz w:val="15"/>
          <w:szCs w:val="15"/>
          <w:color w:val="auto"/>
        </w:rPr>
        <w:t xml:space="preserve"> </w:t>
      </w:r>
      <w:r>
        <w:rPr>
          <w:rFonts w:ascii="Arial" w:cs="Arial" w:eastAsia="Arial" w:hAnsi="Arial"/>
          <w:sz w:val="15"/>
          <w:szCs w:val="15"/>
          <w:i w:val="1"/>
          <w:iCs w:val="1"/>
          <w:color w:val="auto"/>
        </w:rPr>
        <w:t>Hedge Activities</w:t>
      </w:r>
      <w:r>
        <w:rPr>
          <w:rFonts w:ascii="Arial" w:cs="Arial" w:eastAsia="Arial" w:hAnsi="Arial"/>
          <w:sz w:val="15"/>
          <w:szCs w:val="15"/>
          <w:color w:val="auto"/>
        </w:rPr>
        <w:t>”. The Company accounts for its derivative instruments as either assets or liabilities and carries them at fair value.</w:t>
      </w:r>
    </w:p>
    <w:p>
      <w:pPr>
        <w:spacing w:after="0" w:line="114" w:lineRule="exact"/>
        <w:rPr>
          <w:sz w:val="20"/>
          <w:szCs w:val="20"/>
          <w:color w:val="auto"/>
        </w:rPr>
      </w:pPr>
    </w:p>
    <w:p>
      <w:pPr>
        <w:jc w:val="both"/>
        <w:ind w:left="1300"/>
        <w:spacing w:after="0" w:line="272" w:lineRule="auto"/>
        <w:rPr>
          <w:sz w:val="20"/>
          <w:szCs w:val="20"/>
          <w:color w:val="auto"/>
        </w:rPr>
      </w:pPr>
      <w:r>
        <w:rPr>
          <w:rFonts w:ascii="Arial" w:cs="Arial" w:eastAsia="Arial" w:hAnsi="Arial"/>
          <w:sz w:val="16"/>
          <w:szCs w:val="16"/>
          <w:color w:val="auto"/>
        </w:rPr>
        <w:t>For derivative instruments that are designated and qualify as cash flow hedges, the derivative's gain or loss is initially reported as a component of OCI and is subsequently reclassified into earnings when the hedged exposure affects earnings, in the same line item as the underlying hedged item on the consolidated statements of earnings.</w:t>
      </w:r>
    </w:p>
    <w:p>
      <w:pPr>
        <w:spacing w:after="0" w:line="137" w:lineRule="exact"/>
        <w:rPr>
          <w:sz w:val="20"/>
          <w:szCs w:val="20"/>
          <w:color w:val="auto"/>
        </w:rPr>
      </w:pPr>
    </w:p>
    <w:p>
      <w:pPr>
        <w:jc w:val="both"/>
        <w:ind w:left="1300"/>
        <w:spacing w:after="0" w:line="288" w:lineRule="auto"/>
        <w:rPr>
          <w:sz w:val="20"/>
          <w:szCs w:val="20"/>
          <w:color w:val="auto"/>
        </w:rPr>
      </w:pPr>
      <w:r>
        <w:rPr>
          <w:rFonts w:ascii="Arial" w:cs="Arial" w:eastAsia="Arial" w:hAnsi="Arial"/>
          <w:sz w:val="16"/>
          <w:szCs w:val="16"/>
          <w:color w:val="auto"/>
        </w:rPr>
        <w:t>Cash flow hedges related to anticipated transactions are designated and documented at the inception of each hedge. Cash flows from hedging transactions are classified in the same categories as the cash flows from the respective hedged items.</w:t>
      </w:r>
    </w:p>
    <w:p>
      <w:pPr>
        <w:spacing w:after="0" w:line="132" w:lineRule="exact"/>
        <w:rPr>
          <w:sz w:val="20"/>
          <w:szCs w:val="20"/>
          <w:color w:val="auto"/>
        </w:rPr>
      </w:pPr>
    </w:p>
    <w:p>
      <w:pPr>
        <w:ind w:left="1340" w:hanging="358"/>
        <w:spacing w:after="0"/>
        <w:tabs>
          <w:tab w:leader="none" w:pos="134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Recently Adopted Accounting Pronouncements</w:t>
      </w:r>
    </w:p>
    <w:p>
      <w:pPr>
        <w:spacing w:after="0" w:line="201" w:lineRule="exact"/>
        <w:rPr>
          <w:rFonts w:ascii="Arial" w:cs="Arial" w:eastAsia="Arial" w:hAnsi="Arial"/>
          <w:sz w:val="16"/>
          <w:szCs w:val="16"/>
          <w:b w:val="1"/>
          <w:bCs w:val="1"/>
          <w:color w:val="auto"/>
        </w:rPr>
      </w:pPr>
    </w:p>
    <w:p>
      <w:pPr>
        <w:jc w:val="both"/>
        <w:ind w:left="1300" w:firstLine="10"/>
        <w:spacing w:after="0" w:line="280" w:lineRule="auto"/>
        <w:tabs>
          <w:tab w:leader="none" w:pos="1502" w:val="left"/>
        </w:tabs>
        <w:numPr>
          <w:ilvl w:val="1"/>
          <w:numId w:val="11"/>
        </w:numPr>
        <w:rPr>
          <w:rFonts w:ascii="Arial" w:cs="Arial" w:eastAsia="Arial" w:hAnsi="Arial"/>
          <w:sz w:val="15"/>
          <w:szCs w:val="15"/>
          <w:color w:val="auto"/>
        </w:rPr>
      </w:pPr>
      <w:r>
        <w:rPr>
          <w:rFonts w:ascii="Arial" w:cs="Arial" w:eastAsia="Arial" w:hAnsi="Arial"/>
          <w:sz w:val="15"/>
          <w:szCs w:val="15"/>
          <w:color w:val="auto"/>
        </w:rPr>
        <w:t>In March 2020, the FASB issued ASU No. 2020-04,” R</w:t>
      </w:r>
      <w:r>
        <w:rPr>
          <w:rFonts w:ascii="Arial" w:cs="Arial" w:eastAsia="Arial" w:hAnsi="Arial"/>
          <w:sz w:val="15"/>
          <w:szCs w:val="15"/>
          <w:i w:val="1"/>
          <w:iCs w:val="1"/>
          <w:color w:val="auto"/>
        </w:rPr>
        <w:t>eference Rate Reform (Topic 848): Facilitation of the Effects of Reference Rate Reform on</w:t>
      </w:r>
      <w:r>
        <w:rPr>
          <w:rFonts w:ascii="Arial" w:cs="Arial" w:eastAsia="Arial" w:hAnsi="Arial"/>
          <w:sz w:val="15"/>
          <w:szCs w:val="15"/>
          <w:color w:val="auto"/>
        </w:rPr>
        <w:t xml:space="preserve"> </w:t>
      </w:r>
      <w:r>
        <w:rPr>
          <w:rFonts w:ascii="Arial" w:cs="Arial" w:eastAsia="Arial" w:hAnsi="Arial"/>
          <w:sz w:val="15"/>
          <w:szCs w:val="15"/>
          <w:i w:val="1"/>
          <w:iCs w:val="1"/>
          <w:color w:val="auto"/>
        </w:rPr>
        <w:t>Financial Reporting”</w:t>
      </w:r>
      <w:r>
        <w:rPr>
          <w:rFonts w:ascii="Arial" w:cs="Arial" w:eastAsia="Arial" w:hAnsi="Arial"/>
          <w:sz w:val="15"/>
          <w:szCs w:val="15"/>
          <w:color w:val="auto"/>
        </w:rPr>
        <w:t>, which provides temporary optional guidance to ease potential accounting impacts associated with transitioning away from</w:t>
      </w:r>
      <w:r>
        <w:rPr>
          <w:rFonts w:ascii="Arial" w:cs="Arial" w:eastAsia="Arial" w:hAnsi="Arial"/>
          <w:sz w:val="15"/>
          <w:szCs w:val="15"/>
          <w:i w:val="1"/>
          <w:iCs w:val="1"/>
          <w:color w:val="auto"/>
        </w:rPr>
        <w:t xml:space="preserve"> </w:t>
      </w:r>
      <w:r>
        <w:rPr>
          <w:rFonts w:ascii="Arial" w:cs="Arial" w:eastAsia="Arial" w:hAnsi="Arial"/>
          <w:sz w:val="15"/>
          <w:szCs w:val="15"/>
          <w:color w:val="auto"/>
        </w:rPr>
        <w:t>reference rates that are expected to be discontinued, such as interbank offered rates and London Interbank Offered Rate (“LIBOR”). The guidance includes practical expedients for contract modifications due to reference rate reform. Generally, contract modifications related to reference rate reform may be considered an event that does not require remeasurement or reassessment of a previous accounting determination at the modification date. In January 2021, the FASB issued ASU 2021-01, "</w:t>
      </w:r>
      <w:r>
        <w:rPr>
          <w:rFonts w:ascii="Arial" w:cs="Arial" w:eastAsia="Arial" w:hAnsi="Arial"/>
          <w:sz w:val="15"/>
          <w:szCs w:val="15"/>
          <w:i w:val="1"/>
          <w:iCs w:val="1"/>
          <w:color w:val="auto"/>
        </w:rPr>
        <w:t>Reference Rate Reform - Scope</w:t>
      </w:r>
      <w:r>
        <w:rPr>
          <w:rFonts w:ascii="Arial" w:cs="Arial" w:eastAsia="Arial" w:hAnsi="Arial"/>
          <w:sz w:val="15"/>
          <w:szCs w:val="15"/>
          <w:color w:val="auto"/>
        </w:rPr>
        <w:t>," which clarified the scope and application of the original guidance. This guidance is effective immediately and is only available through December 31, 2022. This guidance did not impact the Company’s consolidated financial position, results of operations or cash flows.</w:t>
      </w:r>
    </w:p>
    <w:p>
      <w:pPr>
        <w:spacing w:after="0" w:line="136" w:lineRule="exact"/>
        <w:rPr>
          <w:rFonts w:ascii="Arial" w:cs="Arial" w:eastAsia="Arial" w:hAnsi="Arial"/>
          <w:sz w:val="15"/>
          <w:szCs w:val="15"/>
          <w:color w:val="auto"/>
        </w:rPr>
      </w:pPr>
    </w:p>
    <w:p>
      <w:pPr>
        <w:jc w:val="both"/>
        <w:ind w:left="1300" w:firstLine="10"/>
        <w:spacing w:after="0" w:line="267" w:lineRule="auto"/>
        <w:tabs>
          <w:tab w:leader="none" w:pos="1549" w:val="left"/>
        </w:tabs>
        <w:numPr>
          <w:ilvl w:val="1"/>
          <w:numId w:val="11"/>
        </w:numPr>
        <w:rPr>
          <w:rFonts w:ascii="Arial" w:cs="Arial" w:eastAsia="Arial" w:hAnsi="Arial"/>
          <w:sz w:val="16"/>
          <w:szCs w:val="16"/>
          <w:color w:val="auto"/>
        </w:rPr>
      </w:pPr>
      <w:r>
        <w:rPr>
          <w:rFonts w:ascii="Arial" w:cs="Arial" w:eastAsia="Arial" w:hAnsi="Arial"/>
          <w:sz w:val="16"/>
          <w:szCs w:val="16"/>
          <w:color w:val="auto"/>
        </w:rPr>
        <w:t>Effective January 1, 2021, the Company adopted ASU No. 2019-12, “</w:t>
      </w:r>
      <w:r>
        <w:rPr>
          <w:rFonts w:ascii="Arial" w:cs="Arial" w:eastAsia="Arial" w:hAnsi="Arial"/>
          <w:sz w:val="16"/>
          <w:szCs w:val="16"/>
          <w:i w:val="1"/>
          <w:iCs w:val="1"/>
          <w:color w:val="auto"/>
        </w:rPr>
        <w:t>Income Taxes - Simplifying the Accounting for Income Taxes.</w:t>
      </w:r>
      <w:r>
        <w:rPr>
          <w:rFonts w:ascii="Arial" w:cs="Arial" w:eastAsia="Arial" w:hAnsi="Arial"/>
          <w:sz w:val="16"/>
          <w:szCs w:val="16"/>
          <w:color w:val="auto"/>
        </w:rPr>
        <w:t>” This ASU is intended to simplify various aspects of accounting for income taxes by eliminating certain exceptions within Accounting Standards Codification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and to clarify certain aspects of the current accounting guidance. Adoption of this standard did not materially impact the Company’s consolidated financial position, results of operations or cash flows.</w:t>
      </w:r>
    </w:p>
    <w:p>
      <w:pPr>
        <w:spacing w:after="0" w:line="148" w:lineRule="exact"/>
        <w:rPr>
          <w:rFonts w:ascii="Arial" w:cs="Arial" w:eastAsia="Arial" w:hAnsi="Arial"/>
          <w:sz w:val="16"/>
          <w:szCs w:val="16"/>
          <w:color w:val="auto"/>
        </w:rPr>
      </w:pPr>
    </w:p>
    <w:p>
      <w:pPr>
        <w:ind w:left="1300" w:hanging="318"/>
        <w:spacing w:after="0"/>
        <w:tabs>
          <w:tab w:leader="none" w:pos="130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Recently Issued Accounting Pronouncements Not Yet Adopted</w:t>
      </w:r>
    </w:p>
    <w:p>
      <w:pPr>
        <w:spacing w:after="0" w:line="201" w:lineRule="exact"/>
        <w:rPr>
          <w:sz w:val="20"/>
          <w:szCs w:val="20"/>
          <w:color w:val="auto"/>
        </w:rPr>
      </w:pPr>
    </w:p>
    <w:p>
      <w:pPr>
        <w:ind w:left="1300"/>
        <w:spacing w:after="0" w:line="288" w:lineRule="auto"/>
        <w:rPr>
          <w:sz w:val="20"/>
          <w:szCs w:val="20"/>
          <w:color w:val="auto"/>
        </w:rPr>
      </w:pPr>
      <w:r>
        <w:rPr>
          <w:rFonts w:ascii="Arial" w:cs="Arial" w:eastAsia="Arial" w:hAnsi="Arial"/>
          <w:sz w:val="16"/>
          <w:szCs w:val="16"/>
          <w:color w:val="auto"/>
        </w:rPr>
        <w:t>The Company does not expect recently issued accounting standards or interpretations to have a material impact on the Company’s financial position, results of operations, cash flows or financial statement disclosures.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 w:type="dxa"/>
            <w:vAlign w:val="bottom"/>
          </w:tcPr>
          <w:p>
            <w:pPr>
              <w:spacing w:after="0"/>
              <w:rPr>
                <w:sz w:val="20"/>
                <w:szCs w:val="20"/>
                <w:color w:val="auto"/>
              </w:rPr>
            </w:pPr>
            <w:r>
              <w:rPr>
                <w:rFonts w:ascii="Arial" w:cs="Arial" w:eastAsia="Arial" w:hAnsi="Arial"/>
                <w:sz w:val="16"/>
                <w:szCs w:val="16"/>
                <w:b w:val="1"/>
                <w:bCs w:val="1"/>
                <w:color w:val="auto"/>
              </w:rPr>
              <w:t>NOTE 3:</w:t>
            </w:r>
          </w:p>
        </w:tc>
        <w:tc>
          <w:tcPr>
            <w:tcW w:w="7900" w:type="dxa"/>
            <w:vAlign w:val="bottom"/>
            <w:gridSpan w:val="2"/>
          </w:tcPr>
          <w:p>
            <w:pPr>
              <w:ind w:left="160"/>
              <w:spacing w:after="0"/>
              <w:rPr>
                <w:sz w:val="20"/>
                <w:szCs w:val="20"/>
                <w:color w:val="auto"/>
              </w:rPr>
            </w:pPr>
            <w:r>
              <w:rPr>
                <w:rFonts w:ascii="Arial" w:cs="Arial" w:eastAsia="Arial" w:hAnsi="Arial"/>
                <w:sz w:val="16"/>
                <w:szCs w:val="16"/>
                <w:b w:val="1"/>
                <w:bCs w:val="1"/>
                <w:color w:val="auto"/>
              </w:rPr>
              <w:t>INVENTORIES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3"/>
        </w:trPr>
        <w:tc>
          <w:tcPr>
            <w:tcW w:w="800" w:type="dxa"/>
            <w:vAlign w:val="bottom"/>
          </w:tcPr>
          <w:p>
            <w:pPr>
              <w:spacing w:after="0"/>
              <w:rPr>
                <w:sz w:val="24"/>
                <w:szCs w:val="24"/>
                <w:color w:val="auto"/>
              </w:rPr>
            </w:pPr>
          </w:p>
        </w:tc>
        <w:tc>
          <w:tcPr>
            <w:tcW w:w="7900" w:type="dxa"/>
            <w:vAlign w:val="bottom"/>
            <w:gridSpan w:val="2"/>
          </w:tcPr>
          <w:p>
            <w:pPr>
              <w:ind w:left="180"/>
              <w:spacing w:after="0"/>
              <w:rPr>
                <w:sz w:val="20"/>
                <w:szCs w:val="20"/>
                <w:color w:val="auto"/>
              </w:rPr>
            </w:pPr>
            <w:r>
              <w:rPr>
                <w:rFonts w:ascii="Arial" w:cs="Arial" w:eastAsia="Arial" w:hAnsi="Arial"/>
                <w:sz w:val="16"/>
                <w:szCs w:val="16"/>
                <w:color w:val="auto"/>
              </w:rPr>
              <w:t>Inventories consist of the following as of December 31, 2021 and 2020: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5"/>
        </w:trPr>
        <w:tc>
          <w:tcPr>
            <w:tcW w:w="800" w:type="dxa"/>
            <w:vAlign w:val="bottom"/>
          </w:tcPr>
          <w:p>
            <w:pPr>
              <w:spacing w:after="0"/>
              <w:rPr>
                <w:sz w:val="24"/>
                <w:szCs w:val="24"/>
                <w:color w:val="auto"/>
              </w:rPr>
            </w:pPr>
          </w:p>
        </w:tc>
        <w:tc>
          <w:tcPr>
            <w:tcW w:w="7900" w:type="dxa"/>
            <w:vAlign w:val="bottom"/>
            <w:gridSpan w:val="2"/>
          </w:tcPr>
          <w:p>
            <w:pPr>
              <w:ind w:left="180"/>
              <w:spacing w:after="0"/>
              <w:rPr>
                <w:sz w:val="20"/>
                <w:szCs w:val="20"/>
                <w:color w:val="auto"/>
              </w:rPr>
            </w:pPr>
            <w:r>
              <w:rPr>
                <w:rFonts w:ascii="Arial" w:cs="Arial" w:eastAsia="Arial" w:hAnsi="Arial"/>
                <w:sz w:val="16"/>
                <w:szCs w:val="16"/>
                <w:color w:val="auto"/>
              </w:rPr>
              <w:t>Details</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4"/>
                <w:szCs w:val="24"/>
                <w:color w:val="auto"/>
              </w:rPr>
            </w:pPr>
          </w:p>
        </w:tc>
      </w:tr>
      <w:tr>
        <w:trPr>
          <w:trHeight w:val="221"/>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Raw materials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81,734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60,855</w:t>
            </w:r>
          </w:p>
        </w:tc>
      </w:tr>
      <w:tr>
        <w:trPr>
          <w:trHeight w:val="221"/>
        </w:trPr>
        <w:tc>
          <w:tcPr>
            <w:tcW w:w="800" w:type="dxa"/>
            <w:vAlign w:val="bottom"/>
          </w:tcPr>
          <w:p>
            <w:pPr>
              <w:spacing w:after="0"/>
              <w:rPr>
                <w:sz w:val="19"/>
                <w:szCs w:val="19"/>
                <w:color w:val="auto"/>
              </w:rPr>
            </w:pPr>
          </w:p>
        </w:tc>
        <w:tc>
          <w:tcPr>
            <w:tcW w:w="7900" w:type="dxa"/>
            <w:vAlign w:val="bottom"/>
            <w:gridSpan w:val="2"/>
          </w:tcPr>
          <w:p>
            <w:pPr>
              <w:ind w:left="180"/>
              <w:spacing w:after="0"/>
              <w:rPr>
                <w:sz w:val="20"/>
                <w:szCs w:val="20"/>
                <w:color w:val="auto"/>
              </w:rPr>
            </w:pPr>
            <w:r>
              <w:rPr>
                <w:rFonts w:ascii="Arial" w:cs="Arial" w:eastAsia="Arial" w:hAnsi="Arial"/>
                <w:sz w:val="16"/>
                <w:szCs w:val="16"/>
                <w:color w:val="auto"/>
              </w:rPr>
              <w:t>Work in process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146,840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133,144</w:t>
            </w:r>
          </w:p>
        </w:tc>
      </w:tr>
      <w:tr>
        <w:trPr>
          <w:trHeight w:val="227"/>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5,938</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7"/>
        </w:trPr>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234,512</w:t>
            </w:r>
          </w:p>
        </w:tc>
        <w:tc>
          <w:tcPr>
            <w:tcW w:w="20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199,126</w:t>
            </w: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ind w:left="980"/>
        <w:spacing w:after="0" w:line="288" w:lineRule="auto"/>
        <w:rPr>
          <w:sz w:val="20"/>
          <w:szCs w:val="20"/>
          <w:color w:val="auto"/>
        </w:rPr>
      </w:pPr>
      <w:r>
        <w:rPr>
          <w:rFonts w:ascii="Arial" w:cs="Arial" w:eastAsia="Arial" w:hAnsi="Arial"/>
          <w:sz w:val="16"/>
          <w:szCs w:val="16"/>
          <w:color w:val="auto"/>
        </w:rPr>
        <w:t>Work in process and finished goods are presented net of aggregate write-downs to net realizable value of $2,775 and $1,946 as of December 31, 2021 and 2020, respectively.</w:t>
      </w:r>
    </w:p>
    <w:p>
      <w:pPr>
        <w:sectPr>
          <w:pgSz w:w="11900" w:h="16838" w:orient="portrait"/>
          <w:cols w:equalWidth="0" w:num="1">
            <w:col w:w="11240"/>
          </w:cols>
          <w:pgMar w:left="320" w:top="271" w:right="339" w:bottom="1440" w:gutter="0" w:footer="0" w:header="0"/>
        </w:sectPr>
      </w:pPr>
    </w:p>
    <w:p>
      <w:pPr>
        <w:spacing w:after="0" w:line="145"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4:</w:t>
      </w:r>
      <w:r>
        <w:rPr>
          <w:sz w:val="20"/>
          <w:szCs w:val="20"/>
          <w:color w:val="auto"/>
        </w:rPr>
        <w:tab/>
      </w:r>
      <w:r>
        <w:rPr>
          <w:rFonts w:ascii="Arial" w:cs="Arial" w:eastAsia="Arial" w:hAnsi="Arial"/>
          <w:sz w:val="16"/>
          <w:szCs w:val="16"/>
          <w:b w:val="1"/>
          <w:bCs w:val="1"/>
          <w:color w:val="auto"/>
        </w:rPr>
        <w:t>OTHER CURRENT ASSETS</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Other current assets consist of the following as of December 31, 2021 and 2020:</w:t>
      </w:r>
    </w:p>
    <w:p>
      <w:pPr>
        <w:spacing w:after="0" w:line="2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15875</wp:posOffset>
            </wp:positionV>
            <wp:extent cx="6520180" cy="140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520180" cy="140335"/>
                    </a:xfrm>
                    <a:prstGeom prst="rect">
                      <a:avLst/>
                    </a:prstGeom>
                    <a:noFill/>
                  </pic:spPr>
                </pic:pic>
              </a:graphicData>
            </a:graphic>
          </wp:anchor>
        </w:drawing>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Tax receivables</w:t>
      </w:r>
    </w:p>
    <w:p>
      <w:pPr>
        <w:spacing w:after="0" w:line="3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15875</wp:posOffset>
            </wp:positionV>
            <wp:extent cx="6520180" cy="140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520180" cy="140335"/>
                    </a:xfrm>
                    <a:prstGeom prst="rect">
                      <a:avLst/>
                    </a:prstGeom>
                    <a:noFill/>
                  </pic:spPr>
                </pic:pic>
              </a:graphicData>
            </a:graphic>
          </wp:anchor>
        </w:drawing>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Receivables from Hedging transactions - see Notes 10, 12A and 12D</w:t>
      </w:r>
    </w:p>
    <w:p>
      <w:pPr>
        <w:spacing w:after="0" w:line="3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Insurance receivables - see Note 14E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15875</wp:posOffset>
            </wp:positionV>
            <wp:extent cx="6520180" cy="156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520180" cy="156210"/>
                    </a:xfrm>
                    <a:prstGeom prst="rect">
                      <a:avLst/>
                    </a:prstGeom>
                    <a:noFill/>
                  </pic:spPr>
                </pic:pic>
              </a:graphicData>
            </a:graphic>
          </wp:anchor>
        </w:drawing>
      </w:r>
    </w:p>
    <w:p>
      <w:pPr>
        <w:spacing w:after="0" w:line="4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Other receivables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8"/>
                <w:szCs w:val="18"/>
                <w:color w:val="auto"/>
              </w:rPr>
            </w:pPr>
          </w:p>
        </w:tc>
      </w:tr>
      <w:tr>
        <w:trPr>
          <w:trHeight w:val="220"/>
        </w:trPr>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5,540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5,019</w:t>
            </w:r>
          </w:p>
        </w:tc>
      </w:tr>
      <w:tr>
        <w:trPr>
          <w:trHeight w:val="221"/>
        </w:trPr>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36,786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6,990</w:t>
            </w:r>
          </w:p>
        </w:tc>
      </w:tr>
      <w:tr>
        <w:trPr>
          <w:trHeight w:val="221"/>
        </w:trPr>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10,322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11,609</w:t>
            </w:r>
          </w:p>
        </w:tc>
      </w:tr>
      <w:tr>
        <w:trPr>
          <w:trHeight w:val="221"/>
        </w:trPr>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5,949</w:t>
            </w:r>
          </w:p>
        </w:tc>
      </w:tr>
      <w:tr>
        <w:trPr>
          <w:trHeight w:val="227"/>
        </w:trPr>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1,243</w:t>
            </w:r>
          </w:p>
        </w:tc>
      </w:tr>
      <w:tr>
        <w:trPr>
          <w:trHeight w:val="197"/>
        </w:trPr>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54,817</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30,810</w:t>
            </w:r>
          </w:p>
        </w:tc>
        <w:tc>
          <w:tcPr>
            <w:tcW w:w="20" w:type="dxa"/>
            <w:vAlign w:val="bottom"/>
          </w:tcPr>
          <w:p>
            <w:pPr>
              <w:spacing w:after="0"/>
              <w:rPr>
                <w:sz w:val="17"/>
                <w:szCs w:val="17"/>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80" w:space="720"/>
            <w:col w:w="2540"/>
          </w:cols>
          <w:pgMar w:left="320" w:top="271" w:right="339" w:bottom="1440" w:gutter="0" w:footer="0" w:header="0"/>
          <w:type w:val="continuous"/>
        </w:sectPr>
      </w:pP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 w:type="dxa"/>
            <w:vAlign w:val="bottom"/>
          </w:tcPr>
          <w:p>
            <w:pPr>
              <w:spacing w:after="0"/>
              <w:rPr>
                <w:sz w:val="20"/>
                <w:szCs w:val="20"/>
                <w:color w:val="auto"/>
              </w:rPr>
            </w:pPr>
            <w:r>
              <w:rPr>
                <w:rFonts w:ascii="Arial" w:cs="Arial" w:eastAsia="Arial" w:hAnsi="Arial"/>
                <w:sz w:val="16"/>
                <w:szCs w:val="16"/>
                <w:b w:val="1"/>
                <w:bCs w:val="1"/>
                <w:color w:val="auto"/>
              </w:rPr>
              <w:t>NOTE 5:</w:t>
            </w:r>
          </w:p>
        </w:tc>
        <w:tc>
          <w:tcPr>
            <w:tcW w:w="7900" w:type="dxa"/>
            <w:vAlign w:val="bottom"/>
            <w:gridSpan w:val="2"/>
          </w:tcPr>
          <w:p>
            <w:pPr>
              <w:ind w:left="160"/>
              <w:spacing w:after="0"/>
              <w:rPr>
                <w:sz w:val="20"/>
                <w:szCs w:val="20"/>
                <w:color w:val="auto"/>
              </w:rPr>
            </w:pPr>
            <w:r>
              <w:rPr>
                <w:rFonts w:ascii="Arial" w:cs="Arial" w:eastAsia="Arial" w:hAnsi="Arial"/>
                <w:sz w:val="16"/>
                <w:szCs w:val="16"/>
                <w:b w:val="1"/>
                <w:bCs w:val="1"/>
                <w:color w:val="auto"/>
              </w:rPr>
              <w:t>LONG-TERM INVESTMENTS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800" w:type="dxa"/>
            <w:vAlign w:val="bottom"/>
          </w:tcPr>
          <w:p>
            <w:pPr>
              <w:spacing w:after="0"/>
              <w:rPr>
                <w:sz w:val="24"/>
                <w:szCs w:val="24"/>
                <w:color w:val="auto"/>
              </w:rPr>
            </w:pPr>
          </w:p>
        </w:tc>
        <w:tc>
          <w:tcPr>
            <w:tcW w:w="7900" w:type="dxa"/>
            <w:vAlign w:val="bottom"/>
            <w:gridSpan w:val="2"/>
          </w:tcPr>
          <w:p>
            <w:pPr>
              <w:ind w:left="180"/>
              <w:spacing w:after="0"/>
              <w:rPr>
                <w:sz w:val="20"/>
                <w:szCs w:val="20"/>
                <w:color w:val="auto"/>
              </w:rPr>
            </w:pPr>
            <w:r>
              <w:rPr>
                <w:rFonts w:ascii="Arial" w:cs="Arial" w:eastAsia="Arial" w:hAnsi="Arial"/>
                <w:sz w:val="16"/>
                <w:szCs w:val="16"/>
                <w:color w:val="auto"/>
              </w:rPr>
              <w:t>Long-term investments consist of the following as of December 31, 2021 and 2020: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800" w:type="dxa"/>
            <w:vAlign w:val="bottom"/>
          </w:tcPr>
          <w:p>
            <w:pPr>
              <w:spacing w:after="0"/>
              <w:rPr>
                <w:sz w:val="24"/>
                <w:szCs w:val="24"/>
                <w:color w:val="auto"/>
              </w:rPr>
            </w:pPr>
          </w:p>
        </w:tc>
        <w:tc>
          <w:tcPr>
            <w:tcW w:w="7900" w:type="dxa"/>
            <w:vAlign w:val="bottom"/>
            <w:gridSpan w:val="2"/>
          </w:tcPr>
          <w:p>
            <w:pPr>
              <w:ind w:left="180"/>
              <w:spacing w:after="0"/>
              <w:rPr>
                <w:sz w:val="20"/>
                <w:szCs w:val="20"/>
                <w:color w:val="auto"/>
              </w:rPr>
            </w:pPr>
            <w:r>
              <w:rPr>
                <w:rFonts w:ascii="Arial" w:cs="Arial" w:eastAsia="Arial" w:hAnsi="Arial"/>
                <w:sz w:val="16"/>
                <w:szCs w:val="16"/>
                <w:color w:val="auto"/>
              </w:rPr>
              <w:t>Details</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Severance-pay funds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10,472</w:t>
            </w:r>
          </w:p>
        </w:tc>
        <w:tc>
          <w:tcPr>
            <w:tcW w:w="0" w:type="dxa"/>
            <w:vAlign w:val="bottom"/>
          </w:tcPr>
          <w:p>
            <w:pPr>
              <w:spacing w:after="0"/>
              <w:rPr>
                <w:sz w:val="1"/>
                <w:szCs w:val="1"/>
                <w:color w:val="auto"/>
              </w:rPr>
            </w:pPr>
          </w:p>
        </w:tc>
      </w:tr>
      <w:tr>
        <w:trPr>
          <w:trHeight w:val="221"/>
        </w:trPr>
        <w:tc>
          <w:tcPr>
            <w:tcW w:w="800" w:type="dxa"/>
            <w:vAlign w:val="bottom"/>
          </w:tcPr>
          <w:p>
            <w:pPr>
              <w:spacing w:after="0"/>
              <w:rPr>
                <w:sz w:val="19"/>
                <w:szCs w:val="19"/>
                <w:color w:val="auto"/>
              </w:rPr>
            </w:pPr>
          </w:p>
        </w:tc>
        <w:tc>
          <w:tcPr>
            <w:tcW w:w="7900" w:type="dxa"/>
            <w:vAlign w:val="bottom"/>
            <w:gridSpan w:val="2"/>
          </w:tcPr>
          <w:p>
            <w:pPr>
              <w:ind w:left="180"/>
              <w:spacing w:after="0"/>
              <w:rPr>
                <w:sz w:val="20"/>
                <w:szCs w:val="20"/>
                <w:color w:val="auto"/>
              </w:rPr>
            </w:pPr>
            <w:r>
              <w:rPr>
                <w:rFonts w:ascii="Arial" w:cs="Arial" w:eastAsia="Arial" w:hAnsi="Arial"/>
                <w:sz w:val="16"/>
                <w:szCs w:val="16"/>
                <w:color w:val="auto"/>
              </w:rPr>
              <w:t>Long-term bank deposits</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12,500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Investments in privately held companies</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15,155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17,727</w:t>
            </w:r>
          </w:p>
        </w:tc>
        <w:tc>
          <w:tcPr>
            <w:tcW w:w="0" w:type="dxa"/>
            <w:vAlign w:val="bottom"/>
          </w:tcPr>
          <w:p>
            <w:pPr>
              <w:spacing w:after="0"/>
              <w:rPr>
                <w:sz w:val="1"/>
                <w:szCs w:val="1"/>
                <w:color w:val="auto"/>
              </w:rPr>
            </w:pPr>
          </w:p>
        </w:tc>
      </w:tr>
      <w:tr>
        <w:trPr>
          <w:trHeight w:val="25"/>
        </w:trPr>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7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39,597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40,699</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720" w:type="dxa"/>
            <w:vAlign w:val="bottom"/>
            <w:vMerge w:val="restart"/>
          </w:tcPr>
          <w:p>
            <w:pPr>
              <w:ind w:left="4440"/>
              <w:spacing w:after="0"/>
              <w:rPr>
                <w:sz w:val="20"/>
                <w:szCs w:val="20"/>
                <w:color w:val="auto"/>
              </w:rPr>
            </w:pPr>
            <w:r>
              <w:rPr>
                <w:rFonts w:ascii="Arial" w:cs="Arial" w:eastAsia="Arial" w:hAnsi="Arial"/>
                <w:sz w:val="16"/>
                <w:szCs w:val="16"/>
                <w:color w:val="auto"/>
              </w:rPr>
              <w:t>F - 19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772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880" w:type="dxa"/>
            <w:vAlign w:val="bottom"/>
            <w:tcBorders>
              <w:bottom w:val="single" w:sz="8" w:color="EEEEEE"/>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88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-35560</wp:posOffset>
            </wp:positionV>
            <wp:extent cx="7169785" cy="488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 w:type="dxa"/>
            <w:vAlign w:val="bottom"/>
          </w:tcPr>
          <w:p>
            <w:pPr>
              <w:spacing w:after="0"/>
              <w:rPr>
                <w:sz w:val="20"/>
                <w:szCs w:val="20"/>
                <w:color w:val="auto"/>
              </w:rPr>
            </w:pPr>
            <w:r>
              <w:rPr>
                <w:rFonts w:ascii="Arial" w:cs="Arial" w:eastAsia="Arial" w:hAnsi="Arial"/>
                <w:sz w:val="16"/>
                <w:szCs w:val="16"/>
                <w:b w:val="1"/>
                <w:bCs w:val="1"/>
                <w:color w:val="auto"/>
              </w:rPr>
              <w:t>NOTE 6:</w:t>
            </w:r>
          </w:p>
        </w:tc>
        <w:tc>
          <w:tcPr>
            <w:tcW w:w="7900" w:type="dxa"/>
            <w:vAlign w:val="bottom"/>
            <w:gridSpan w:val="2"/>
          </w:tcPr>
          <w:p>
            <w:pPr>
              <w:ind w:left="160"/>
              <w:spacing w:after="0"/>
              <w:rPr>
                <w:sz w:val="20"/>
                <w:szCs w:val="20"/>
                <w:color w:val="auto"/>
              </w:rPr>
            </w:pPr>
            <w:r>
              <w:rPr>
                <w:rFonts w:ascii="Arial" w:cs="Arial" w:eastAsia="Arial" w:hAnsi="Arial"/>
                <w:sz w:val="16"/>
                <w:szCs w:val="16"/>
                <w:b w:val="1"/>
                <w:bCs w:val="1"/>
                <w:color w:val="auto"/>
              </w:rPr>
              <w:t>PROPERTY AND EQUIPMENT, NET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69"/>
        </w:trPr>
        <w:tc>
          <w:tcPr>
            <w:tcW w:w="800" w:type="dxa"/>
            <w:vAlign w:val="bottom"/>
          </w:tcPr>
          <w:p>
            <w:pPr>
              <w:spacing w:after="0"/>
              <w:rPr>
                <w:sz w:val="24"/>
                <w:szCs w:val="24"/>
                <w:color w:val="auto"/>
              </w:rPr>
            </w:pPr>
          </w:p>
        </w:tc>
        <w:tc>
          <w:tcPr>
            <w:tcW w:w="7900" w:type="dxa"/>
            <w:vAlign w:val="bottom"/>
            <w:gridSpan w:val="2"/>
          </w:tcPr>
          <w:p>
            <w:pPr>
              <w:ind w:left="180"/>
              <w:spacing w:after="0"/>
              <w:rPr>
                <w:sz w:val="20"/>
                <w:szCs w:val="20"/>
                <w:color w:val="auto"/>
              </w:rPr>
            </w:pPr>
            <w:r>
              <w:rPr>
                <w:rFonts w:ascii="Arial" w:cs="Arial" w:eastAsia="Arial" w:hAnsi="Arial"/>
                <w:sz w:val="16"/>
                <w:szCs w:val="16"/>
                <w:color w:val="auto"/>
              </w:rPr>
              <w:t>Property and equipment consist of the following as of December 31, 2021 and 2020:</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7"/>
        </w:trPr>
        <w:tc>
          <w:tcPr>
            <w:tcW w:w="800" w:type="dxa"/>
            <w:vAlign w:val="bottom"/>
          </w:tcPr>
          <w:p>
            <w:pPr>
              <w:spacing w:after="0"/>
              <w:rPr>
                <w:sz w:val="24"/>
                <w:szCs w:val="24"/>
                <w:color w:val="auto"/>
              </w:rPr>
            </w:pPr>
          </w:p>
        </w:tc>
        <w:tc>
          <w:tcPr>
            <w:tcW w:w="7900" w:type="dxa"/>
            <w:vAlign w:val="bottom"/>
            <w:gridSpan w:val="2"/>
          </w:tcPr>
          <w:p>
            <w:pPr>
              <w:ind w:left="180"/>
              <w:spacing w:after="0"/>
              <w:rPr>
                <w:sz w:val="20"/>
                <w:szCs w:val="20"/>
                <w:color w:val="auto"/>
              </w:rPr>
            </w:pPr>
            <w:r>
              <w:rPr>
                <w:rFonts w:ascii="Arial" w:cs="Arial" w:eastAsia="Arial" w:hAnsi="Arial"/>
                <w:sz w:val="16"/>
                <w:szCs w:val="16"/>
                <w:color w:val="auto"/>
              </w:rPr>
              <w:t>Details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24"/>
                <w:szCs w:val="24"/>
                <w:color w:val="auto"/>
              </w:rPr>
            </w:pPr>
          </w:p>
        </w:tc>
      </w:tr>
      <w:tr>
        <w:trPr>
          <w:trHeight w:val="221"/>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Original cost: (*)</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1"/>
        </w:trPr>
        <w:tc>
          <w:tcPr>
            <w:tcW w:w="800" w:type="dxa"/>
            <w:vAlign w:val="bottom"/>
          </w:tcPr>
          <w:p>
            <w:pPr>
              <w:spacing w:after="0"/>
              <w:rPr>
                <w:sz w:val="19"/>
                <w:szCs w:val="19"/>
                <w:color w:val="auto"/>
              </w:rPr>
            </w:pPr>
          </w:p>
        </w:tc>
        <w:tc>
          <w:tcPr>
            <w:tcW w:w="7900" w:type="dxa"/>
            <w:vAlign w:val="bottom"/>
            <w:gridSpan w:val="2"/>
          </w:tcPr>
          <w:p>
            <w:pPr>
              <w:ind w:left="180"/>
              <w:spacing w:after="0"/>
              <w:rPr>
                <w:sz w:val="20"/>
                <w:szCs w:val="20"/>
                <w:color w:val="auto"/>
              </w:rPr>
            </w:pPr>
            <w:r>
              <w:rPr>
                <w:rFonts w:ascii="Arial" w:cs="Arial" w:eastAsia="Arial" w:hAnsi="Arial"/>
                <w:sz w:val="16"/>
                <w:szCs w:val="16"/>
                <w:color w:val="auto"/>
              </w:rPr>
              <w:t>Land and Buildings, including facility infrastructure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432,069</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430,258</w:t>
            </w:r>
          </w:p>
        </w:tc>
      </w:tr>
      <w:tr>
        <w:trPr>
          <w:trHeight w:val="227"/>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3,254,062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2,998,019</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1"/>
        </w:trPr>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3,686,131</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3,428,277</w:t>
            </w:r>
          </w:p>
        </w:tc>
        <w:tc>
          <w:tcPr>
            <w:tcW w:w="80" w:type="dxa"/>
            <w:vAlign w:val="bottom"/>
          </w:tcPr>
          <w:p>
            <w:pPr>
              <w:spacing w:after="0"/>
              <w:rPr>
                <w:sz w:val="17"/>
                <w:szCs w:val="17"/>
                <w:color w:val="auto"/>
              </w:rPr>
            </w:pPr>
          </w:p>
        </w:tc>
      </w:tr>
      <w:tr>
        <w:trPr>
          <w:trHeight w:val="221"/>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Accumulated depreciation:</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1"/>
        </w:trPr>
        <w:tc>
          <w:tcPr>
            <w:tcW w:w="800" w:type="dxa"/>
            <w:vAlign w:val="bottom"/>
          </w:tcPr>
          <w:p>
            <w:pPr>
              <w:spacing w:after="0"/>
              <w:rPr>
                <w:sz w:val="19"/>
                <w:szCs w:val="19"/>
                <w:color w:val="auto"/>
              </w:rPr>
            </w:pPr>
          </w:p>
        </w:tc>
        <w:tc>
          <w:tcPr>
            <w:tcW w:w="7900" w:type="dxa"/>
            <w:vAlign w:val="bottom"/>
            <w:gridSpan w:val="2"/>
          </w:tcPr>
          <w:p>
            <w:pPr>
              <w:ind w:left="180"/>
              <w:spacing w:after="0"/>
              <w:rPr>
                <w:sz w:val="20"/>
                <w:szCs w:val="20"/>
                <w:color w:val="auto"/>
              </w:rPr>
            </w:pPr>
            <w:r>
              <w:rPr>
                <w:rFonts w:ascii="Arial" w:cs="Arial" w:eastAsia="Arial" w:hAnsi="Arial"/>
                <w:sz w:val="16"/>
                <w:szCs w:val="16"/>
                <w:color w:val="auto"/>
              </w:rPr>
              <w:t>Buildings, including facility infrastructure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(267,942)</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(255,353)</w:t>
            </w:r>
          </w:p>
        </w:tc>
      </w:tr>
      <w:tr>
        <w:trPr>
          <w:trHeight w:val="222"/>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(2,541,506)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(2,333,753)</w:t>
            </w:r>
          </w:p>
        </w:tc>
      </w:tr>
      <w:tr>
        <w:trPr>
          <w:trHeight w:val="25"/>
        </w:trPr>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7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97"/>
        </w:trPr>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(2,809,448)</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(2,589,106)</w:t>
            </w: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876,683</w:t>
            </w:r>
          </w:p>
        </w:tc>
        <w:tc>
          <w:tcPr>
            <w:tcW w:w="1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line="174"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839,171</w:t>
            </w:r>
          </w:p>
        </w:tc>
        <w:tc>
          <w:tcPr>
            <w:tcW w:w="8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2" w:lineRule="exact"/>
        <w:rPr>
          <w:sz w:val="20"/>
          <w:szCs w:val="20"/>
          <w:color w:val="auto"/>
        </w:rPr>
      </w:pPr>
    </w:p>
    <w:p>
      <w:pPr>
        <w:ind w:left="980" w:firstLine="2"/>
        <w:spacing w:after="0" w:line="323" w:lineRule="auto"/>
        <w:tabs>
          <w:tab w:leader="none" w:pos="1212" w:val="left"/>
        </w:tabs>
        <w:numPr>
          <w:ilvl w:val="0"/>
          <w:numId w:val="12"/>
        </w:numPr>
        <w:rPr>
          <w:rFonts w:ascii="Arial" w:cs="Arial" w:eastAsia="Arial" w:hAnsi="Arial"/>
          <w:sz w:val="15"/>
          <w:szCs w:val="15"/>
          <w:color w:val="auto"/>
        </w:rPr>
      </w:pPr>
      <w:r>
        <w:rPr>
          <w:rFonts w:ascii="Arial" w:cs="Arial" w:eastAsia="Arial" w:hAnsi="Arial"/>
          <w:sz w:val="15"/>
          <w:szCs w:val="15"/>
          <w:color w:val="auto"/>
        </w:rPr>
        <w:t>Original cost includes ROU assets under capital lease in the amount of $211,790 and $213,683 as of December 31, 2021 and 2020, respectively. The depreciation expense of such assets amounted to $14,037 and $13,421 for the years ended December 31, 2021 and 2020, respectively.</w:t>
      </w:r>
    </w:p>
    <w:p>
      <w:pPr>
        <w:spacing w:after="0" w:line="101" w:lineRule="exact"/>
        <w:rPr>
          <w:sz w:val="20"/>
          <w:szCs w:val="20"/>
          <w:color w:val="auto"/>
        </w:rPr>
      </w:pPr>
    </w:p>
    <w:p>
      <w:pPr>
        <w:ind w:left="980"/>
        <w:spacing w:after="0" w:line="288" w:lineRule="auto"/>
        <w:rPr>
          <w:sz w:val="20"/>
          <w:szCs w:val="20"/>
          <w:color w:val="auto"/>
        </w:rPr>
      </w:pPr>
      <w:r>
        <w:rPr>
          <w:rFonts w:ascii="Arial" w:cs="Arial" w:eastAsia="Arial" w:hAnsi="Arial"/>
          <w:sz w:val="16"/>
          <w:szCs w:val="16"/>
          <w:color w:val="auto"/>
        </w:rPr>
        <w:t>As of December 31, 2021 and 2020, the original cost of land, buildings, machinery and equipment was reflected net of investment grants in the aggregate amount of approximately $285,000.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0" w:type="dxa"/>
            <w:vAlign w:val="bottom"/>
          </w:tcPr>
          <w:p>
            <w:pPr>
              <w:spacing w:after="0"/>
              <w:rPr>
                <w:sz w:val="20"/>
                <w:szCs w:val="20"/>
                <w:color w:val="auto"/>
              </w:rPr>
            </w:pPr>
            <w:r>
              <w:rPr>
                <w:rFonts w:ascii="Arial" w:cs="Arial" w:eastAsia="Arial" w:hAnsi="Arial"/>
                <w:sz w:val="16"/>
                <w:szCs w:val="16"/>
                <w:b w:val="1"/>
                <w:bCs w:val="1"/>
                <w:color w:val="auto"/>
              </w:rPr>
              <w:t>NOTE 7:</w:t>
            </w:r>
          </w:p>
        </w:tc>
        <w:tc>
          <w:tcPr>
            <w:tcW w:w="160" w:type="dxa"/>
            <w:vAlign w:val="bottom"/>
          </w:tcPr>
          <w:p>
            <w:pPr>
              <w:spacing w:after="0"/>
              <w:rPr>
                <w:sz w:val="18"/>
                <w:szCs w:val="18"/>
                <w:color w:val="auto"/>
              </w:rPr>
            </w:pPr>
          </w:p>
        </w:tc>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INTANGIBLE ASSETS, NET</w:t>
            </w: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820" w:type="dxa"/>
            <w:vAlign w:val="bottom"/>
          </w:tcPr>
          <w:p>
            <w:pPr>
              <w:spacing w:after="0"/>
              <w:rPr>
                <w:sz w:val="24"/>
                <w:szCs w:val="24"/>
                <w:color w:val="auto"/>
              </w:rPr>
            </w:pPr>
          </w:p>
        </w:tc>
        <w:tc>
          <w:tcPr>
            <w:tcW w:w="4600" w:type="dxa"/>
            <w:vAlign w:val="bottom"/>
            <w:gridSpan w:val="2"/>
          </w:tcPr>
          <w:p>
            <w:pPr>
              <w:ind w:left="160"/>
              <w:spacing w:after="0"/>
              <w:rPr>
                <w:sz w:val="20"/>
                <w:szCs w:val="20"/>
                <w:color w:val="auto"/>
              </w:rPr>
            </w:pPr>
            <w:r>
              <w:rPr>
                <w:rFonts w:ascii="Arial" w:cs="Arial" w:eastAsia="Arial" w:hAnsi="Arial"/>
                <w:sz w:val="16"/>
                <w:szCs w:val="16"/>
                <w:color w:val="auto"/>
                <w:w w:val="93"/>
              </w:rPr>
              <w:t>Intangible assets consist of the following as of December 31, 2021:</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820" w:type="dxa"/>
            <w:vAlign w:val="bottom"/>
          </w:tcPr>
          <w:p>
            <w:pPr>
              <w:spacing w:after="0"/>
              <w:rPr>
                <w:sz w:val="24"/>
                <w:szCs w:val="24"/>
                <w:color w:val="auto"/>
              </w:rPr>
            </w:pPr>
          </w:p>
        </w:tc>
        <w:tc>
          <w:tcPr>
            <w:tcW w:w="4600" w:type="dxa"/>
            <w:vAlign w:val="bottom"/>
            <w:gridSpan w:val="2"/>
            <w:vMerge w:val="restart"/>
          </w:tcPr>
          <w:p>
            <w:pPr>
              <w:ind w:left="160"/>
              <w:spacing w:after="0"/>
              <w:rPr>
                <w:sz w:val="20"/>
                <w:szCs w:val="20"/>
                <w:color w:val="auto"/>
              </w:rPr>
            </w:pPr>
            <w:r>
              <w:rPr>
                <w:rFonts w:ascii="Arial" w:cs="Arial" w:eastAsia="Arial" w:hAnsi="Arial"/>
                <w:sz w:val="16"/>
                <w:szCs w:val="16"/>
                <w:color w:val="auto"/>
              </w:rPr>
              <w:t>Details</w:t>
            </w:r>
          </w:p>
        </w:tc>
        <w:tc>
          <w:tcPr>
            <w:tcW w:w="7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Useful life</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color w:val="auto"/>
              </w:rPr>
              <w:t>Accumulated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460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2"/>
              </w:rPr>
              <w:t>(years)</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ind w:left="160"/>
              <w:spacing w:after="0"/>
              <w:rPr>
                <w:sz w:val="20"/>
                <w:szCs w:val="20"/>
                <w:color w:val="auto"/>
              </w:rPr>
            </w:pPr>
            <w:r>
              <w:rPr>
                <w:rFonts w:ascii="Arial" w:cs="Arial" w:eastAsia="Arial" w:hAnsi="Arial"/>
                <w:sz w:val="16"/>
                <w:szCs w:val="16"/>
                <w:color w:val="auto"/>
              </w:rPr>
              <w:t>Cost</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ind w:left="20"/>
              <w:spacing w:after="0"/>
              <w:rPr>
                <w:sz w:val="20"/>
                <w:szCs w:val="20"/>
                <w:color w:val="auto"/>
              </w:rPr>
            </w:pPr>
            <w:r>
              <w:rPr>
                <w:rFonts w:ascii="Arial" w:cs="Arial" w:eastAsia="Arial" w:hAnsi="Arial"/>
                <w:sz w:val="16"/>
                <w:szCs w:val="16"/>
                <w:color w:val="auto"/>
              </w:rPr>
              <w:t>Amortization</w:t>
            </w:r>
          </w:p>
        </w:tc>
        <w:tc>
          <w:tcPr>
            <w:tcW w:w="20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ind w:right="358"/>
              <w:spacing w:after="0"/>
              <w:rPr>
                <w:sz w:val="20"/>
                <w:szCs w:val="20"/>
                <w:color w:val="auto"/>
              </w:rPr>
            </w:pPr>
            <w:r>
              <w:rPr>
                <w:rFonts w:ascii="Arial" w:cs="Arial" w:eastAsia="Arial" w:hAnsi="Arial"/>
                <w:sz w:val="16"/>
                <w:szCs w:val="16"/>
                <w:color w:val="auto"/>
              </w:rPr>
              <w:t>Net</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Technologies</w:t>
            </w:r>
          </w:p>
        </w:tc>
        <w:tc>
          <w:tcPr>
            <w:tcW w:w="1740" w:type="dxa"/>
            <w:vAlign w:val="bottom"/>
            <w:gridSpan w:val="2"/>
            <w:shd w:val="clear" w:color="auto" w:fill="CCEEFF"/>
          </w:tcPr>
          <w:p>
            <w:pPr>
              <w:jc w:val="center"/>
              <w:ind w:left="638"/>
              <w:spacing w:after="0"/>
              <w:rPr>
                <w:sz w:val="20"/>
                <w:szCs w:val="20"/>
                <w:color w:val="auto"/>
              </w:rPr>
            </w:pPr>
            <w:r>
              <w:rPr>
                <w:rFonts w:ascii="Arial" w:cs="Arial" w:eastAsia="Arial" w:hAnsi="Arial"/>
                <w:sz w:val="16"/>
                <w:szCs w:val="16"/>
                <w:color w:val="auto"/>
                <w:w w:val="93"/>
              </w:rPr>
              <w:t>4-20</w:t>
            </w:r>
          </w:p>
        </w:tc>
        <w:tc>
          <w:tcPr>
            <w:tcW w:w="48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8,172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14"/>
              <w:spacing w:after="0"/>
              <w:rPr>
                <w:sz w:val="20"/>
                <w:szCs w:val="20"/>
                <w:color w:val="auto"/>
              </w:rPr>
            </w:pPr>
            <w:r>
              <w:rPr>
                <w:rFonts w:ascii="Arial" w:cs="Arial" w:eastAsia="Arial" w:hAnsi="Arial"/>
                <w:sz w:val="16"/>
                <w:szCs w:val="16"/>
                <w:color w:val="auto"/>
              </w:rPr>
              <w:t>(3,332)</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4,840</w:t>
            </w:r>
          </w:p>
        </w:tc>
        <w:tc>
          <w:tcPr>
            <w:tcW w:w="0" w:type="dxa"/>
            <w:vAlign w:val="bottom"/>
          </w:tcPr>
          <w:p>
            <w:pPr>
              <w:spacing w:after="0"/>
              <w:rPr>
                <w:sz w:val="1"/>
                <w:szCs w:val="1"/>
                <w:color w:val="auto"/>
              </w:rPr>
            </w:pPr>
          </w:p>
        </w:tc>
      </w:tr>
      <w:tr>
        <w:trPr>
          <w:trHeight w:val="221"/>
        </w:trPr>
        <w:tc>
          <w:tcPr>
            <w:tcW w:w="820" w:type="dxa"/>
            <w:vAlign w:val="bottom"/>
          </w:tcPr>
          <w:p>
            <w:pPr>
              <w:spacing w:after="0"/>
              <w:rPr>
                <w:sz w:val="19"/>
                <w:szCs w:val="19"/>
                <w:color w:val="auto"/>
              </w:rPr>
            </w:pPr>
          </w:p>
        </w:tc>
        <w:tc>
          <w:tcPr>
            <w:tcW w:w="4600" w:type="dxa"/>
            <w:vAlign w:val="bottom"/>
            <w:gridSpan w:val="2"/>
          </w:tcPr>
          <w:p>
            <w:pPr>
              <w:ind w:left="160"/>
              <w:spacing w:after="0"/>
              <w:rPr>
                <w:sz w:val="20"/>
                <w:szCs w:val="20"/>
                <w:color w:val="auto"/>
              </w:rPr>
            </w:pPr>
            <w:r>
              <w:rPr>
                <w:rFonts w:ascii="Arial" w:cs="Arial" w:eastAsia="Arial" w:hAnsi="Arial"/>
                <w:sz w:val="16"/>
                <w:szCs w:val="16"/>
                <w:color w:val="auto"/>
              </w:rPr>
              <w:t>Facilities’ lease</w:t>
            </w:r>
          </w:p>
        </w:tc>
        <w:tc>
          <w:tcPr>
            <w:tcW w:w="1740" w:type="dxa"/>
            <w:vAlign w:val="bottom"/>
            <w:gridSpan w:val="2"/>
          </w:tcPr>
          <w:p>
            <w:pPr>
              <w:jc w:val="center"/>
              <w:ind w:left="638"/>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33,500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14"/>
              <w:spacing w:after="0"/>
              <w:rPr>
                <w:sz w:val="20"/>
                <w:szCs w:val="20"/>
                <w:color w:val="auto"/>
              </w:rPr>
            </w:pPr>
            <w:r>
              <w:rPr>
                <w:rFonts w:ascii="Arial" w:cs="Arial" w:eastAsia="Arial" w:hAnsi="Arial"/>
                <w:sz w:val="16"/>
                <w:szCs w:val="16"/>
                <w:color w:val="auto"/>
              </w:rPr>
              <w:t>(26,817)</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6,683</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Customer relationships</w:t>
            </w:r>
          </w:p>
        </w:tc>
        <w:tc>
          <w:tcPr>
            <w:tcW w:w="1740" w:type="dxa"/>
            <w:vAlign w:val="bottom"/>
            <w:gridSpan w:val="2"/>
            <w:shd w:val="clear" w:color="auto" w:fill="CCEEFF"/>
          </w:tcPr>
          <w:p>
            <w:pPr>
              <w:jc w:val="center"/>
              <w:ind w:left="638"/>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14"/>
              <w:spacing w:after="0"/>
              <w:rPr>
                <w:sz w:val="20"/>
                <w:szCs w:val="20"/>
                <w:color w:val="auto"/>
              </w:rPr>
            </w:pPr>
            <w:r>
              <w:rPr>
                <w:rFonts w:ascii="Arial" w:cs="Arial" w:eastAsia="Arial" w:hAnsi="Arial"/>
                <w:sz w:val="16"/>
                <w:szCs w:val="16"/>
                <w:color w:val="auto"/>
              </w:rPr>
              <w:t>(2,303)</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5"/>
        </w:trPr>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Total identifiable intangible assets</w:t>
            </w: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44,272</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14"/>
              <w:spacing w:after="0"/>
              <w:rPr>
                <w:sz w:val="20"/>
                <w:szCs w:val="20"/>
                <w:color w:val="auto"/>
              </w:rPr>
            </w:pPr>
            <w:r>
              <w:rPr>
                <w:rFonts w:ascii="Arial" w:cs="Arial" w:eastAsia="Arial" w:hAnsi="Arial"/>
                <w:sz w:val="16"/>
                <w:szCs w:val="16"/>
                <w:color w:val="auto"/>
              </w:rPr>
              <w:t>(32,452)</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11,820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0" w:type="dxa"/>
            <w:vAlign w:val="bottom"/>
            <w:gridSpan w:val="2"/>
            <w:vMerge w:val="restart"/>
          </w:tcPr>
          <w:p>
            <w:pPr>
              <w:ind w:left="160"/>
              <w:spacing w:after="0"/>
              <w:rPr>
                <w:sz w:val="20"/>
                <w:szCs w:val="20"/>
                <w:color w:val="auto"/>
              </w:rPr>
            </w:pPr>
            <w:r>
              <w:rPr>
                <w:rFonts w:ascii="Arial" w:cs="Arial" w:eastAsia="Arial" w:hAnsi="Arial"/>
                <w:sz w:val="16"/>
                <w:szCs w:val="16"/>
                <w:color w:val="auto"/>
                <w:w w:val="93"/>
              </w:rPr>
              <w:t>Intangible assets consist of the following as of December 31, 2020:</w:t>
            </w: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20" w:type="dxa"/>
            <w:vAlign w:val="bottom"/>
          </w:tcPr>
          <w:p>
            <w:pPr>
              <w:spacing w:after="0"/>
              <w:rPr>
                <w:sz w:val="24"/>
                <w:szCs w:val="24"/>
                <w:color w:val="auto"/>
              </w:rPr>
            </w:pPr>
          </w:p>
        </w:tc>
        <w:tc>
          <w:tcPr>
            <w:tcW w:w="460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820" w:type="dxa"/>
            <w:vAlign w:val="bottom"/>
          </w:tcPr>
          <w:p>
            <w:pPr>
              <w:spacing w:after="0"/>
              <w:rPr>
                <w:sz w:val="24"/>
                <w:szCs w:val="24"/>
                <w:color w:val="auto"/>
              </w:rPr>
            </w:pPr>
          </w:p>
        </w:tc>
        <w:tc>
          <w:tcPr>
            <w:tcW w:w="4600" w:type="dxa"/>
            <w:vAlign w:val="bottom"/>
            <w:gridSpan w:val="2"/>
            <w:vMerge w:val="restart"/>
          </w:tcPr>
          <w:p>
            <w:pPr>
              <w:ind w:left="160"/>
              <w:spacing w:after="0"/>
              <w:rPr>
                <w:sz w:val="20"/>
                <w:szCs w:val="20"/>
                <w:color w:val="auto"/>
              </w:rPr>
            </w:pPr>
            <w:r>
              <w:rPr>
                <w:rFonts w:ascii="Arial" w:cs="Arial" w:eastAsia="Arial" w:hAnsi="Arial"/>
                <w:sz w:val="16"/>
                <w:szCs w:val="16"/>
                <w:color w:val="auto"/>
              </w:rPr>
              <w:t>Details</w:t>
            </w:r>
          </w:p>
        </w:tc>
        <w:tc>
          <w:tcPr>
            <w:tcW w:w="7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Useful life</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auto"/>
              </w:rPr>
              <w:t>Accumulated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460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2"/>
              </w:rPr>
              <w:t>(years)</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ind w:left="160"/>
              <w:spacing w:after="0"/>
              <w:rPr>
                <w:sz w:val="20"/>
                <w:szCs w:val="20"/>
                <w:color w:val="auto"/>
              </w:rPr>
            </w:pPr>
            <w:r>
              <w:rPr>
                <w:rFonts w:ascii="Arial" w:cs="Arial" w:eastAsia="Arial" w:hAnsi="Arial"/>
                <w:sz w:val="16"/>
                <w:szCs w:val="16"/>
                <w:color w:val="auto"/>
              </w:rPr>
              <w:t>Cost</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ind w:left="20"/>
              <w:spacing w:after="0"/>
              <w:rPr>
                <w:sz w:val="20"/>
                <w:szCs w:val="20"/>
                <w:color w:val="auto"/>
              </w:rPr>
            </w:pPr>
            <w:r>
              <w:rPr>
                <w:rFonts w:ascii="Arial" w:cs="Arial" w:eastAsia="Arial" w:hAnsi="Arial"/>
                <w:sz w:val="16"/>
                <w:szCs w:val="16"/>
                <w:color w:val="auto"/>
              </w:rPr>
              <w:t>Amortization</w:t>
            </w:r>
          </w:p>
        </w:tc>
        <w:tc>
          <w:tcPr>
            <w:tcW w:w="20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ind w:right="358"/>
              <w:spacing w:after="0"/>
              <w:rPr>
                <w:sz w:val="20"/>
                <w:szCs w:val="20"/>
                <w:color w:val="auto"/>
              </w:rPr>
            </w:pPr>
            <w:r>
              <w:rPr>
                <w:rFonts w:ascii="Arial" w:cs="Arial" w:eastAsia="Arial" w:hAnsi="Arial"/>
                <w:sz w:val="16"/>
                <w:szCs w:val="16"/>
                <w:color w:val="auto"/>
              </w:rPr>
              <w:t>Net</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Technologies</w:t>
            </w:r>
          </w:p>
        </w:tc>
        <w:tc>
          <w:tcPr>
            <w:tcW w:w="1740" w:type="dxa"/>
            <w:vAlign w:val="bottom"/>
            <w:gridSpan w:val="2"/>
            <w:shd w:val="clear" w:color="auto" w:fill="CCEEFF"/>
          </w:tcPr>
          <w:p>
            <w:pPr>
              <w:jc w:val="center"/>
              <w:ind w:left="638"/>
              <w:spacing w:after="0"/>
              <w:rPr>
                <w:sz w:val="20"/>
                <w:szCs w:val="20"/>
                <w:color w:val="auto"/>
              </w:rPr>
            </w:pPr>
            <w:r>
              <w:rPr>
                <w:rFonts w:ascii="Arial" w:cs="Arial" w:eastAsia="Arial" w:hAnsi="Arial"/>
                <w:sz w:val="16"/>
                <w:szCs w:val="16"/>
                <w:color w:val="auto"/>
                <w:w w:val="93"/>
              </w:rPr>
              <w:t>4-20</w:t>
            </w:r>
          </w:p>
        </w:tc>
        <w:tc>
          <w:tcPr>
            <w:tcW w:w="48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5,320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14"/>
              <w:spacing w:after="0"/>
              <w:rPr>
                <w:sz w:val="20"/>
                <w:szCs w:val="20"/>
                <w:color w:val="auto"/>
              </w:rPr>
            </w:pPr>
            <w:r>
              <w:rPr>
                <w:rFonts w:ascii="Arial" w:cs="Arial" w:eastAsia="Arial" w:hAnsi="Arial"/>
                <w:sz w:val="16"/>
                <w:szCs w:val="16"/>
                <w:color w:val="auto"/>
              </w:rPr>
              <w:t>(2,799)</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2,521</w:t>
            </w:r>
          </w:p>
        </w:tc>
        <w:tc>
          <w:tcPr>
            <w:tcW w:w="0" w:type="dxa"/>
            <w:vAlign w:val="bottom"/>
          </w:tcPr>
          <w:p>
            <w:pPr>
              <w:spacing w:after="0"/>
              <w:rPr>
                <w:sz w:val="1"/>
                <w:szCs w:val="1"/>
                <w:color w:val="auto"/>
              </w:rPr>
            </w:pPr>
          </w:p>
        </w:tc>
      </w:tr>
      <w:tr>
        <w:trPr>
          <w:trHeight w:val="221"/>
        </w:trPr>
        <w:tc>
          <w:tcPr>
            <w:tcW w:w="820" w:type="dxa"/>
            <w:vAlign w:val="bottom"/>
          </w:tcPr>
          <w:p>
            <w:pPr>
              <w:spacing w:after="0"/>
              <w:rPr>
                <w:sz w:val="19"/>
                <w:szCs w:val="19"/>
                <w:color w:val="auto"/>
              </w:rPr>
            </w:pPr>
          </w:p>
        </w:tc>
        <w:tc>
          <w:tcPr>
            <w:tcW w:w="4600" w:type="dxa"/>
            <w:vAlign w:val="bottom"/>
            <w:gridSpan w:val="2"/>
          </w:tcPr>
          <w:p>
            <w:pPr>
              <w:ind w:left="160"/>
              <w:spacing w:after="0"/>
              <w:rPr>
                <w:sz w:val="20"/>
                <w:szCs w:val="20"/>
                <w:color w:val="auto"/>
              </w:rPr>
            </w:pPr>
            <w:r>
              <w:rPr>
                <w:rFonts w:ascii="Arial" w:cs="Arial" w:eastAsia="Arial" w:hAnsi="Arial"/>
                <w:sz w:val="16"/>
                <w:szCs w:val="16"/>
                <w:color w:val="auto"/>
              </w:rPr>
              <w:t>Facilities’ lease</w:t>
            </w:r>
          </w:p>
        </w:tc>
        <w:tc>
          <w:tcPr>
            <w:tcW w:w="1740" w:type="dxa"/>
            <w:vAlign w:val="bottom"/>
            <w:gridSpan w:val="2"/>
          </w:tcPr>
          <w:p>
            <w:pPr>
              <w:jc w:val="center"/>
              <w:ind w:left="638"/>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33,500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14"/>
              <w:spacing w:after="0"/>
              <w:rPr>
                <w:sz w:val="20"/>
                <w:szCs w:val="20"/>
                <w:color w:val="auto"/>
              </w:rPr>
            </w:pPr>
            <w:r>
              <w:rPr>
                <w:rFonts w:ascii="Arial" w:cs="Arial" w:eastAsia="Arial" w:hAnsi="Arial"/>
                <w:sz w:val="16"/>
                <w:szCs w:val="16"/>
                <w:color w:val="auto"/>
              </w:rPr>
              <w:t>(25,529)</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7,971</w:t>
            </w:r>
          </w:p>
        </w:tc>
        <w:tc>
          <w:tcPr>
            <w:tcW w:w="0" w:type="dxa"/>
            <w:vAlign w:val="bottom"/>
          </w:tcPr>
          <w:p>
            <w:pPr>
              <w:spacing w:after="0"/>
              <w:rPr>
                <w:sz w:val="1"/>
                <w:szCs w:val="1"/>
                <w:color w:val="auto"/>
              </w:rPr>
            </w:pPr>
          </w:p>
        </w:tc>
      </w:tr>
      <w:tr>
        <w:trPr>
          <w:trHeight w:val="17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Customer relationships</w:t>
            </w:r>
          </w:p>
        </w:tc>
        <w:tc>
          <w:tcPr>
            <w:tcW w:w="1740" w:type="dxa"/>
            <w:vAlign w:val="bottom"/>
            <w:gridSpan w:val="2"/>
            <w:vMerge w:val="restart"/>
            <w:shd w:val="clear" w:color="auto" w:fill="CCEEFF"/>
          </w:tcPr>
          <w:p>
            <w:pPr>
              <w:jc w:val="center"/>
              <w:ind w:left="638"/>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line="173" w:lineRule="exact"/>
              <w:rPr>
                <w:sz w:val="20"/>
                <w:szCs w:val="20"/>
                <w:color w:val="auto"/>
              </w:rPr>
            </w:pPr>
            <w:r>
              <w:rPr>
                <w:rFonts w:ascii="Arial" w:cs="Arial" w:eastAsia="Arial" w:hAnsi="Arial"/>
                <w:sz w:val="16"/>
                <w:szCs w:val="16"/>
                <w:color w:val="auto"/>
              </w:rPr>
              <w:t>2,600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74"/>
              <w:spacing w:after="0" w:line="173" w:lineRule="exact"/>
              <w:rPr>
                <w:sz w:val="20"/>
                <w:szCs w:val="20"/>
                <w:color w:val="auto"/>
              </w:rPr>
            </w:pPr>
            <w:r>
              <w:rPr>
                <w:rFonts w:ascii="Arial" w:cs="Arial" w:eastAsia="Arial" w:hAnsi="Arial"/>
                <w:sz w:val="16"/>
                <w:szCs w:val="16"/>
                <w:color w:val="auto"/>
              </w:rPr>
              <w:t>(2,130</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line="173" w:lineRule="exact"/>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40" w:type="dxa"/>
            <w:vAlign w:val="bottom"/>
            <w:tcBorders>
              <w:bottom w:val="single" w:sz="8" w:color="CCEEFF"/>
            </w:tcBorders>
            <w:vMerge w:val="continue"/>
            <w:shd w:val="clear" w:color="auto" w:fill="CCEEFF"/>
          </w:tcPr>
          <w:p>
            <w:pPr>
              <w:spacing w:after="0"/>
              <w:rPr>
                <w:sz w:val="4"/>
                <w:szCs w:val="4"/>
                <w:color w:val="auto"/>
              </w:rPr>
            </w:pPr>
          </w:p>
        </w:tc>
        <w:tc>
          <w:tcPr>
            <w:tcW w:w="1740" w:type="dxa"/>
            <w:vAlign w:val="bottom"/>
            <w:tcBorders>
              <w:bottom w:val="single" w:sz="8" w:color="CCEEFF"/>
            </w:tcBorders>
            <w:gridSpan w:val="2"/>
            <w:vMerge w:val="continue"/>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auto"/>
            </w:tcBorders>
            <w:shd w:val="clear" w:color="auto" w:fill="CCEEFF"/>
          </w:tcPr>
          <w:p>
            <w:pPr>
              <w:spacing w:after="0"/>
              <w:rPr>
                <w:sz w:val="4"/>
                <w:szCs w:val="4"/>
                <w:color w:val="auto"/>
              </w:rPr>
            </w:pPr>
          </w:p>
        </w:tc>
        <w:tc>
          <w:tcPr>
            <w:tcW w:w="860" w:type="dxa"/>
            <w:vAlign w:val="bottom"/>
            <w:tcBorders>
              <w:bottom w:val="single" w:sz="8" w:color="auto"/>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auto"/>
            </w:tcBorders>
            <w:shd w:val="clear" w:color="auto" w:fill="CCEEFF"/>
          </w:tcPr>
          <w:p>
            <w:pPr>
              <w:spacing w:after="0"/>
              <w:rPr>
                <w:sz w:val="4"/>
                <w:szCs w:val="4"/>
                <w:color w:val="auto"/>
              </w:rPr>
            </w:pPr>
          </w:p>
        </w:tc>
        <w:tc>
          <w:tcPr>
            <w:tcW w:w="1020" w:type="dxa"/>
            <w:vAlign w:val="bottom"/>
            <w:tcBorders>
              <w:bottom w:val="single" w:sz="8" w:color="auto"/>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jc w:val="right"/>
              <w:ind w:right="114"/>
              <w:spacing w:after="0" w:line="50" w:lineRule="exact"/>
              <w:rPr>
                <w:sz w:val="20"/>
                <w:szCs w:val="20"/>
                <w:color w:val="auto"/>
              </w:rPr>
            </w:pPr>
            <w:r>
              <w:rPr>
                <w:rFonts w:ascii="Arial" w:cs="Arial" w:eastAsia="Arial" w:hAnsi="Arial"/>
                <w:sz w:val="5"/>
                <w:szCs w:val="5"/>
                <w:color w:val="auto"/>
              </w:rPr>
              <w:t>)</w:t>
            </w:r>
          </w:p>
        </w:tc>
        <w:tc>
          <w:tcPr>
            <w:tcW w:w="260" w:type="dxa"/>
            <w:vAlign w:val="bottom"/>
            <w:tcBorders>
              <w:bottom w:val="single" w:sz="8" w:color="auto"/>
            </w:tcBorders>
            <w:shd w:val="clear" w:color="auto" w:fill="CCEEFF"/>
          </w:tcPr>
          <w:p>
            <w:pPr>
              <w:spacing w:after="0"/>
              <w:rPr>
                <w:sz w:val="4"/>
                <w:szCs w:val="4"/>
                <w:color w:val="auto"/>
              </w:rPr>
            </w:pPr>
          </w:p>
        </w:tc>
        <w:tc>
          <w:tcPr>
            <w:tcW w:w="860" w:type="dxa"/>
            <w:vAlign w:val="bottom"/>
            <w:tcBorders>
              <w:bottom w:val="single" w:sz="8" w:color="auto"/>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820" w:type="dxa"/>
            <w:vAlign w:val="bottom"/>
          </w:tcPr>
          <w:p>
            <w:pPr>
              <w:spacing w:after="0"/>
              <w:rPr>
                <w:sz w:val="17"/>
                <w:szCs w:val="17"/>
                <w:color w:val="auto"/>
              </w:rPr>
            </w:pPr>
          </w:p>
        </w:tc>
        <w:tc>
          <w:tcPr>
            <w:tcW w:w="4600" w:type="dxa"/>
            <w:vAlign w:val="bottom"/>
            <w:gridSpan w:val="2"/>
          </w:tcPr>
          <w:p>
            <w:pPr>
              <w:ind w:left="160"/>
              <w:spacing w:after="0"/>
              <w:rPr>
                <w:sz w:val="20"/>
                <w:szCs w:val="20"/>
                <w:color w:val="auto"/>
              </w:rPr>
            </w:pPr>
            <w:r>
              <w:rPr>
                <w:rFonts w:ascii="Arial" w:cs="Arial" w:eastAsia="Arial" w:hAnsi="Arial"/>
                <w:sz w:val="16"/>
                <w:szCs w:val="16"/>
                <w:color w:val="auto"/>
              </w:rPr>
              <w:t>Total identifiable intangible assets</w:t>
            </w: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41,420</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14"/>
              <w:spacing w:after="0"/>
              <w:rPr>
                <w:sz w:val="20"/>
                <w:szCs w:val="20"/>
                <w:color w:val="auto"/>
              </w:rPr>
            </w:pPr>
            <w:r>
              <w:rPr>
                <w:rFonts w:ascii="Arial" w:cs="Arial" w:eastAsia="Arial" w:hAnsi="Arial"/>
                <w:sz w:val="16"/>
                <w:szCs w:val="16"/>
                <w:color w:val="auto"/>
              </w:rPr>
              <w:t>(30,458)</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10,962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740" w:type="dxa"/>
            <w:vAlign w:val="bottom"/>
            <w:gridSpan w:val="2"/>
            <w:vMerge w:val="restart"/>
          </w:tcPr>
          <w:p>
            <w:pPr>
              <w:spacing w:after="0"/>
              <w:rPr>
                <w:sz w:val="20"/>
                <w:szCs w:val="20"/>
                <w:color w:val="auto"/>
              </w:rPr>
            </w:pPr>
            <w:r>
              <w:rPr>
                <w:rFonts w:ascii="Arial" w:cs="Arial" w:eastAsia="Arial" w:hAnsi="Arial"/>
                <w:sz w:val="16"/>
                <w:szCs w:val="16"/>
                <w:color w:val="auto"/>
              </w:rPr>
              <w:t>F - 20</w:t>
            </w: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7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2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4440" w:type="dxa"/>
            <w:vAlign w:val="bottom"/>
            <w:tcBorders>
              <w:bottom w:val="single" w:sz="8" w:color="EEEEEE"/>
            </w:tcBorders>
          </w:tcPr>
          <w:p>
            <w:pPr>
              <w:spacing w:after="0"/>
              <w:rPr>
                <w:sz w:val="19"/>
                <w:szCs w:val="19"/>
                <w:color w:val="auto"/>
              </w:rPr>
            </w:pPr>
          </w:p>
        </w:tc>
        <w:tc>
          <w:tcPr>
            <w:tcW w:w="720" w:type="dxa"/>
            <w:vAlign w:val="bottom"/>
            <w:tcBorders>
              <w:bottom w:val="single" w:sz="8" w:color="EEEEEE"/>
            </w:tcBorders>
          </w:tcPr>
          <w:p>
            <w:pPr>
              <w:spacing w:after="0"/>
              <w:rPr>
                <w:sz w:val="19"/>
                <w:szCs w:val="19"/>
                <w:color w:val="auto"/>
              </w:rPr>
            </w:pPr>
          </w:p>
        </w:tc>
        <w:tc>
          <w:tcPr>
            <w:tcW w:w="102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60" w:type="dxa"/>
            <w:vAlign w:val="bottom"/>
            <w:tcBorders>
              <w:bottom w:val="single" w:sz="8" w:color="EEEEEE"/>
            </w:tcBorders>
          </w:tcPr>
          <w:p>
            <w:pPr>
              <w:spacing w:after="0"/>
              <w:rPr>
                <w:sz w:val="19"/>
                <w:szCs w:val="19"/>
                <w:color w:val="auto"/>
              </w:rPr>
            </w:pPr>
          </w:p>
        </w:tc>
        <w:tc>
          <w:tcPr>
            <w:tcW w:w="86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1020" w:type="dxa"/>
            <w:vAlign w:val="bottom"/>
            <w:tcBorders>
              <w:bottom w:val="single" w:sz="8" w:color="EEEEEE"/>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260" w:type="dxa"/>
            <w:vAlign w:val="bottom"/>
            <w:tcBorders>
              <w:bottom w:val="single" w:sz="8" w:color="EEEEEE"/>
            </w:tcBorders>
          </w:tcPr>
          <w:p>
            <w:pPr>
              <w:spacing w:after="0"/>
              <w:rPr>
                <w:sz w:val="19"/>
                <w:szCs w:val="19"/>
                <w:color w:val="auto"/>
              </w:rPr>
            </w:pPr>
          </w:p>
        </w:tc>
        <w:tc>
          <w:tcPr>
            <w:tcW w:w="86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-35560</wp:posOffset>
            </wp:positionV>
            <wp:extent cx="7169785" cy="488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 w:type="dxa"/>
            <w:vAlign w:val="bottom"/>
          </w:tcPr>
          <w:p>
            <w:pPr>
              <w:spacing w:after="0"/>
              <w:rPr>
                <w:sz w:val="20"/>
                <w:szCs w:val="20"/>
                <w:color w:val="auto"/>
              </w:rPr>
            </w:pPr>
            <w:r>
              <w:rPr>
                <w:rFonts w:ascii="Arial" w:cs="Arial" w:eastAsia="Arial" w:hAnsi="Arial"/>
                <w:sz w:val="16"/>
                <w:szCs w:val="16"/>
                <w:b w:val="1"/>
                <w:bCs w:val="1"/>
                <w:color w:val="auto"/>
              </w:rPr>
              <w:t>NOTE 8:</w:t>
            </w:r>
          </w:p>
        </w:tc>
        <w:tc>
          <w:tcPr>
            <w:tcW w:w="7900" w:type="dxa"/>
            <w:vAlign w:val="bottom"/>
            <w:gridSpan w:val="2"/>
          </w:tcPr>
          <w:p>
            <w:pPr>
              <w:ind w:left="160"/>
              <w:spacing w:after="0"/>
              <w:rPr>
                <w:sz w:val="20"/>
                <w:szCs w:val="20"/>
                <w:color w:val="auto"/>
              </w:rPr>
            </w:pPr>
            <w:r>
              <w:rPr>
                <w:rFonts w:ascii="Arial" w:cs="Arial" w:eastAsia="Arial" w:hAnsi="Arial"/>
                <w:sz w:val="16"/>
                <w:szCs w:val="16"/>
                <w:b w:val="1"/>
                <w:bCs w:val="1"/>
                <w:color w:val="auto"/>
              </w:rPr>
              <w:t>DEFERRED TAX AND OTHER LONG-TERM ASSETS, NET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1"/>
        </w:trPr>
        <w:tc>
          <w:tcPr>
            <w:tcW w:w="800" w:type="dxa"/>
            <w:vAlign w:val="bottom"/>
          </w:tcPr>
          <w:p>
            <w:pPr>
              <w:spacing w:after="0"/>
              <w:rPr>
                <w:sz w:val="24"/>
                <w:szCs w:val="24"/>
                <w:color w:val="auto"/>
              </w:rPr>
            </w:pPr>
          </w:p>
        </w:tc>
        <w:tc>
          <w:tcPr>
            <w:tcW w:w="7900" w:type="dxa"/>
            <w:vAlign w:val="bottom"/>
            <w:gridSpan w:val="2"/>
          </w:tcPr>
          <w:p>
            <w:pPr>
              <w:ind w:left="180"/>
              <w:spacing w:after="0"/>
              <w:rPr>
                <w:sz w:val="20"/>
                <w:szCs w:val="20"/>
                <w:color w:val="auto"/>
              </w:rPr>
            </w:pPr>
            <w:r>
              <w:rPr>
                <w:rFonts w:ascii="Arial" w:cs="Arial" w:eastAsia="Arial" w:hAnsi="Arial"/>
                <w:sz w:val="16"/>
                <w:szCs w:val="16"/>
                <w:color w:val="auto"/>
              </w:rPr>
              <w:t>Deferred tax and other long-term assets, net consist of the following as of December 31, 2021 and 2020: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5"/>
        </w:trPr>
        <w:tc>
          <w:tcPr>
            <w:tcW w:w="800" w:type="dxa"/>
            <w:vAlign w:val="bottom"/>
          </w:tcPr>
          <w:p>
            <w:pPr>
              <w:spacing w:after="0"/>
              <w:rPr>
                <w:sz w:val="24"/>
                <w:szCs w:val="24"/>
                <w:color w:val="auto"/>
              </w:rPr>
            </w:pPr>
          </w:p>
        </w:tc>
        <w:tc>
          <w:tcPr>
            <w:tcW w:w="7900" w:type="dxa"/>
            <w:vAlign w:val="bottom"/>
            <w:gridSpan w:val="2"/>
          </w:tcPr>
          <w:p>
            <w:pPr>
              <w:ind w:left="180"/>
              <w:spacing w:after="0"/>
              <w:rPr>
                <w:sz w:val="20"/>
                <w:szCs w:val="20"/>
                <w:color w:val="auto"/>
              </w:rPr>
            </w:pPr>
            <w:r>
              <w:rPr>
                <w:rFonts w:ascii="Arial" w:cs="Arial" w:eastAsia="Arial" w:hAnsi="Arial"/>
                <w:sz w:val="16"/>
                <w:szCs w:val="16"/>
                <w:color w:val="auto"/>
              </w:rPr>
              <w:t>Details</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4"/>
                <w:szCs w:val="24"/>
                <w:color w:val="auto"/>
              </w:rPr>
            </w:pPr>
          </w:p>
        </w:tc>
      </w:tr>
      <w:tr>
        <w:trPr>
          <w:trHeight w:val="221"/>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 (see Note 19)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53,526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57,802</w:t>
            </w:r>
          </w:p>
        </w:tc>
      </w:tr>
      <w:tr>
        <w:trPr>
          <w:trHeight w:val="221"/>
        </w:trPr>
        <w:tc>
          <w:tcPr>
            <w:tcW w:w="800" w:type="dxa"/>
            <w:vAlign w:val="bottom"/>
          </w:tcPr>
          <w:p>
            <w:pPr>
              <w:spacing w:after="0"/>
              <w:rPr>
                <w:sz w:val="19"/>
                <w:szCs w:val="19"/>
                <w:color w:val="auto"/>
              </w:rPr>
            </w:pPr>
          </w:p>
        </w:tc>
        <w:tc>
          <w:tcPr>
            <w:tcW w:w="7900" w:type="dxa"/>
            <w:vAlign w:val="bottom"/>
            <w:gridSpan w:val="2"/>
          </w:tcPr>
          <w:p>
            <w:pPr>
              <w:ind w:left="180"/>
              <w:spacing w:after="0"/>
              <w:rPr>
                <w:sz w:val="20"/>
                <w:szCs w:val="20"/>
                <w:color w:val="auto"/>
              </w:rPr>
            </w:pPr>
            <w:r>
              <w:rPr>
                <w:rFonts w:ascii="Arial" w:cs="Arial" w:eastAsia="Arial" w:hAnsi="Arial"/>
                <w:sz w:val="16"/>
                <w:szCs w:val="16"/>
                <w:color w:val="auto"/>
              </w:rPr>
              <w:t>Right of use - assets under operating leases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14,113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18,990</w:t>
            </w:r>
          </w:p>
        </w:tc>
      </w:tr>
      <w:tr>
        <w:trPr>
          <w:trHeight w:val="222"/>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Fair value of cross-currency interest rate swap (see Note 12D)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10,661</w:t>
            </w:r>
          </w:p>
        </w:tc>
      </w:tr>
      <w:tr>
        <w:trPr>
          <w:trHeight w:val="221"/>
        </w:trPr>
        <w:tc>
          <w:tcPr>
            <w:tcW w:w="800" w:type="dxa"/>
            <w:vAlign w:val="bottom"/>
          </w:tcPr>
          <w:p>
            <w:pPr>
              <w:spacing w:after="0"/>
              <w:rPr>
                <w:sz w:val="19"/>
                <w:szCs w:val="19"/>
                <w:color w:val="auto"/>
              </w:rPr>
            </w:pPr>
          </w:p>
        </w:tc>
        <w:tc>
          <w:tcPr>
            <w:tcW w:w="7900" w:type="dxa"/>
            <w:vAlign w:val="bottom"/>
            <w:gridSpan w:val="2"/>
          </w:tcPr>
          <w:p>
            <w:pPr>
              <w:ind w:left="180"/>
              <w:spacing w:after="0"/>
              <w:rPr>
                <w:sz w:val="20"/>
                <w:szCs w:val="20"/>
                <w:color w:val="auto"/>
              </w:rPr>
            </w:pPr>
            <w:r>
              <w:rPr>
                <w:rFonts w:ascii="Arial" w:cs="Arial" w:eastAsia="Arial" w:hAnsi="Arial"/>
                <w:sz w:val="16"/>
                <w:szCs w:val="16"/>
                <w:color w:val="auto"/>
              </w:rPr>
              <w:t>Prepaid long-term land lease,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2,934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3,055</w:t>
            </w:r>
          </w:p>
        </w:tc>
      </w:tr>
      <w:tr>
        <w:trPr>
          <w:trHeight w:val="227"/>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Long-term prepaid expenses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24,993</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7"/>
        </w:trPr>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99,938</w:t>
            </w:r>
          </w:p>
        </w:tc>
        <w:tc>
          <w:tcPr>
            <w:tcW w:w="20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93,401</w:t>
            </w: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 w:type="dxa"/>
            <w:vAlign w:val="bottom"/>
          </w:tcPr>
          <w:p>
            <w:pPr>
              <w:spacing w:after="0"/>
              <w:rPr>
                <w:sz w:val="20"/>
                <w:szCs w:val="20"/>
                <w:color w:val="auto"/>
              </w:rPr>
            </w:pPr>
            <w:r>
              <w:rPr>
                <w:rFonts w:ascii="Arial" w:cs="Arial" w:eastAsia="Arial" w:hAnsi="Arial"/>
                <w:sz w:val="16"/>
                <w:szCs w:val="16"/>
                <w:b w:val="1"/>
                <w:bCs w:val="1"/>
                <w:color w:val="auto"/>
              </w:rPr>
              <w:t>NOTE 9:</w:t>
            </w:r>
          </w:p>
        </w:tc>
        <w:tc>
          <w:tcPr>
            <w:tcW w:w="79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 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1"/>
        </w:trPr>
        <w:tc>
          <w:tcPr>
            <w:tcW w:w="800" w:type="dxa"/>
            <w:vAlign w:val="bottom"/>
          </w:tcPr>
          <w:p>
            <w:pPr>
              <w:spacing w:after="0"/>
              <w:rPr>
                <w:sz w:val="24"/>
                <w:szCs w:val="24"/>
                <w:color w:val="auto"/>
              </w:rPr>
            </w:pPr>
          </w:p>
        </w:tc>
        <w:tc>
          <w:tcPr>
            <w:tcW w:w="7900" w:type="dxa"/>
            <w:vAlign w:val="bottom"/>
            <w:gridSpan w:val="2"/>
          </w:tcPr>
          <w:p>
            <w:pPr>
              <w:ind w:left="180"/>
              <w:spacing w:after="0"/>
              <w:rPr>
                <w:sz w:val="20"/>
                <w:szCs w:val="20"/>
                <w:color w:val="auto"/>
              </w:rPr>
            </w:pPr>
            <w:r>
              <w:rPr>
                <w:rFonts w:ascii="Arial" w:cs="Arial" w:eastAsia="Arial" w:hAnsi="Arial"/>
                <w:sz w:val="16"/>
                <w:szCs w:val="16"/>
                <w:color w:val="auto"/>
              </w:rPr>
              <w:t>Other current liabilities consist of the following as of December 31, 2021 and 2020: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800" w:type="dxa"/>
            <w:vAlign w:val="bottom"/>
          </w:tcPr>
          <w:p>
            <w:pPr>
              <w:spacing w:after="0"/>
              <w:rPr>
                <w:sz w:val="24"/>
                <w:szCs w:val="24"/>
                <w:color w:val="auto"/>
              </w:rPr>
            </w:pPr>
          </w:p>
        </w:tc>
        <w:tc>
          <w:tcPr>
            <w:tcW w:w="7900" w:type="dxa"/>
            <w:vAlign w:val="bottom"/>
            <w:gridSpan w:val="2"/>
          </w:tcPr>
          <w:p>
            <w:pPr>
              <w:ind w:left="180"/>
              <w:spacing w:after="0"/>
              <w:rPr>
                <w:sz w:val="20"/>
                <w:szCs w:val="20"/>
                <w:color w:val="auto"/>
              </w:rPr>
            </w:pPr>
            <w:r>
              <w:rPr>
                <w:rFonts w:ascii="Arial" w:cs="Arial" w:eastAsia="Arial" w:hAnsi="Arial"/>
                <w:sz w:val="16"/>
                <w:szCs w:val="16"/>
                <w:color w:val="auto"/>
              </w:rPr>
              <w:t>Details</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4"/>
                <w:szCs w:val="24"/>
                <w:color w:val="auto"/>
              </w:rPr>
            </w:pPr>
          </w:p>
        </w:tc>
      </w:tr>
      <w:tr>
        <w:trPr>
          <w:trHeight w:val="221"/>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Tax payables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10,272</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4,935</w:t>
            </w:r>
          </w:p>
        </w:tc>
      </w:tr>
      <w:tr>
        <w:trPr>
          <w:trHeight w:val="221"/>
        </w:trPr>
        <w:tc>
          <w:tcPr>
            <w:tcW w:w="800" w:type="dxa"/>
            <w:vAlign w:val="bottom"/>
          </w:tcPr>
          <w:p>
            <w:pPr>
              <w:spacing w:after="0"/>
              <w:rPr>
                <w:sz w:val="19"/>
                <w:szCs w:val="19"/>
                <w:color w:val="auto"/>
              </w:rPr>
            </w:pPr>
          </w:p>
        </w:tc>
        <w:tc>
          <w:tcPr>
            <w:tcW w:w="7900" w:type="dxa"/>
            <w:vAlign w:val="bottom"/>
            <w:gridSpan w:val="2"/>
          </w:tcPr>
          <w:p>
            <w:pPr>
              <w:ind w:left="180"/>
              <w:spacing w:after="0"/>
              <w:rPr>
                <w:sz w:val="20"/>
                <w:szCs w:val="20"/>
                <w:color w:val="auto"/>
              </w:rPr>
            </w:pPr>
            <w:r>
              <w:rPr>
                <w:rFonts w:ascii="Arial" w:cs="Arial" w:eastAsia="Arial" w:hAnsi="Arial"/>
                <w:sz w:val="16"/>
                <w:szCs w:val="16"/>
                <w:color w:val="auto"/>
              </w:rPr>
              <w:t>Hedging transactions payables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3,040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22"/>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Interest payable on debt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588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868</w:t>
            </w:r>
          </w:p>
        </w:tc>
      </w:tr>
      <w:tr>
        <w:trPr>
          <w:trHeight w:val="226"/>
        </w:trPr>
        <w:tc>
          <w:tcPr>
            <w:tcW w:w="800" w:type="dxa"/>
            <w:vAlign w:val="bottom"/>
          </w:tcPr>
          <w:p>
            <w:pPr>
              <w:spacing w:after="0"/>
              <w:rPr>
                <w:sz w:val="19"/>
                <w:szCs w:val="19"/>
                <w:color w:val="auto"/>
              </w:rPr>
            </w:pPr>
          </w:p>
        </w:tc>
        <w:tc>
          <w:tcPr>
            <w:tcW w:w="7900" w:type="dxa"/>
            <w:vAlign w:val="bottom"/>
            <w:gridSpan w:val="2"/>
          </w:tcPr>
          <w:p>
            <w:pPr>
              <w:ind w:left="180"/>
              <w:spacing w:after="0"/>
              <w:rPr>
                <w:sz w:val="20"/>
                <w:szCs w:val="20"/>
                <w:color w:val="auto"/>
              </w:rPr>
            </w:pPr>
            <w:r>
              <w:rPr>
                <w:rFonts w:ascii="Arial" w:cs="Arial" w:eastAsia="Arial" w:hAnsi="Arial"/>
                <w:sz w:val="16"/>
                <w:szCs w:val="16"/>
                <w:color w:val="auto"/>
              </w:rPr>
              <w:t>Others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2,102</w:t>
            </w:r>
          </w:p>
        </w:tc>
      </w:tr>
      <w:tr>
        <w:trPr>
          <w:trHeight w:val="237"/>
        </w:trPr>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7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16,009</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7,905</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5"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10:</w:t>
        <w:tab/>
        <w:t>SERIES G DEBENTURES</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5"/>
          <w:szCs w:val="15"/>
          <w:color w:val="auto"/>
        </w:rPr>
        <w:t>In June 2016, Tower raised approximately $115,000 through the issuance of long-term unsecured non-convertible debentures (“Series G Debentures”).</w:t>
      </w:r>
    </w:p>
    <w:p>
      <w:pPr>
        <w:spacing w:after="0" w:line="209" w:lineRule="exact"/>
        <w:rPr>
          <w:sz w:val="20"/>
          <w:szCs w:val="20"/>
          <w:color w:val="auto"/>
        </w:rPr>
      </w:pPr>
    </w:p>
    <w:p>
      <w:pPr>
        <w:jc w:val="both"/>
        <w:ind w:left="980"/>
        <w:spacing w:after="0" w:line="267" w:lineRule="auto"/>
        <w:rPr>
          <w:sz w:val="20"/>
          <w:szCs w:val="20"/>
          <w:color w:val="auto"/>
        </w:rPr>
      </w:pPr>
      <w:r>
        <w:rPr>
          <w:rFonts w:ascii="Arial" w:cs="Arial" w:eastAsia="Arial" w:hAnsi="Arial"/>
          <w:sz w:val="16"/>
          <w:szCs w:val="16"/>
          <w:color w:val="auto"/>
        </w:rPr>
        <w:t>The Series G Debentures are payable in seven semi-annual consecutive equal installments from March 2020 to March 2023 and carry an annual interest rate of 2.79%, payable semi-annually. The principal and interest amounts are denominated in NIS and are not linked to any index or to any other currency. The Company entered into cash flow hedging transactions to mitigate the foreign exchange rate differences on the principal and interest using a cross-currency swap.</w:t>
      </w:r>
    </w:p>
    <w:p>
      <w:pPr>
        <w:spacing w:after="0" w:line="153" w:lineRule="exact"/>
        <w:rPr>
          <w:sz w:val="20"/>
          <w:szCs w:val="20"/>
          <w:color w:val="auto"/>
        </w:rPr>
      </w:pPr>
    </w:p>
    <w:p>
      <w:pPr>
        <w:jc w:val="both"/>
        <w:ind w:left="980"/>
        <w:spacing w:after="0" w:line="262" w:lineRule="auto"/>
        <w:rPr>
          <w:sz w:val="20"/>
          <w:szCs w:val="20"/>
          <w:color w:val="auto"/>
        </w:rPr>
      </w:pPr>
      <w:r>
        <w:rPr>
          <w:rFonts w:ascii="Arial" w:cs="Arial" w:eastAsia="Arial" w:hAnsi="Arial"/>
          <w:sz w:val="16"/>
          <w:szCs w:val="16"/>
          <w:color w:val="auto"/>
        </w:rPr>
        <w:t>As of December 31, 2021 and December 31, 2020, the outstanding principal amount of Series G Debentures was NIS 201 million and NIS 334 million, respectively (approximately $64,000 and $104,000, respectively), with related hedging transactions net asset fair value of approximately $13,000 and $17,000, respectively. The changes in the fair value of outstanding principal amount of the debentures and in the fair value of the hedging transaction are attributed to the corresponding changes in the exchange rates during the reported periods (see Note 12D). The Series G Debentures’ indenture includes customary financial and other terms and conditions, including a negative pledge and financial covenants. As of December 31, 2021, the Company was in compliance with all of the financial covenants under the indenture.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60" w:type="dxa"/>
            <w:vAlign w:val="bottom"/>
            <w:gridSpan w:val="2"/>
          </w:tcPr>
          <w:p>
            <w:pPr>
              <w:ind w:left="980"/>
              <w:spacing w:after="0"/>
              <w:rPr>
                <w:sz w:val="20"/>
                <w:szCs w:val="20"/>
                <w:color w:val="auto"/>
              </w:rPr>
            </w:pPr>
            <w:r>
              <w:rPr>
                <w:rFonts w:ascii="Arial" w:cs="Arial" w:eastAsia="Arial" w:hAnsi="Arial"/>
                <w:sz w:val="16"/>
                <w:szCs w:val="16"/>
                <w:color w:val="auto"/>
                <w:w w:val="95"/>
              </w:rPr>
              <w:t>Composition by repayment schedule as of December 31, 2021:</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5260" w:type="dxa"/>
            <w:vAlign w:val="bottom"/>
            <w:gridSpan w:val="2"/>
            <w:vMerge w:val="restart"/>
          </w:tcPr>
          <w:p>
            <w:pPr>
              <w:ind w:left="980"/>
              <w:spacing w:after="0"/>
              <w:rPr>
                <w:sz w:val="20"/>
                <w:szCs w:val="20"/>
                <w:color w:val="auto"/>
              </w:rPr>
            </w:pPr>
            <w:r>
              <w:rPr>
                <w:rFonts w:ascii="Arial" w:cs="Arial" w:eastAsia="Arial" w:hAnsi="Arial"/>
                <w:sz w:val="16"/>
                <w:szCs w:val="16"/>
                <w:color w:val="auto"/>
              </w:rPr>
              <w:t>Details</w:t>
            </w:r>
          </w:p>
        </w:tc>
        <w:tc>
          <w:tcPr>
            <w:tcW w:w="500" w:type="dxa"/>
            <w:vAlign w:val="bottom"/>
          </w:tcPr>
          <w:p>
            <w:pPr>
              <w:spacing w:after="0"/>
              <w:rPr>
                <w:sz w:val="24"/>
                <w:szCs w:val="24"/>
                <w:color w:val="auto"/>
              </w:rPr>
            </w:pPr>
          </w:p>
        </w:tc>
        <w:tc>
          <w:tcPr>
            <w:tcW w:w="840" w:type="dxa"/>
            <w:vAlign w:val="bottom"/>
          </w:tcPr>
          <w:p>
            <w:pPr>
              <w:jc w:val="center"/>
              <w:ind w:left="218"/>
              <w:spacing w:after="0"/>
              <w:rPr>
                <w:sz w:val="20"/>
                <w:szCs w:val="20"/>
                <w:color w:val="auto"/>
              </w:rPr>
            </w:pPr>
            <w:r>
              <w:rPr>
                <w:rFonts w:ascii="Arial" w:cs="Arial" w:eastAsia="Arial" w:hAnsi="Arial"/>
                <w:sz w:val="16"/>
                <w:szCs w:val="16"/>
                <w:color w:val="auto"/>
                <w:w w:val="93"/>
              </w:rPr>
              <w:t>Interest</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52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vMerge w:val="restart"/>
          </w:tcPr>
          <w:p>
            <w:pPr>
              <w:jc w:val="center"/>
              <w:ind w:left="218"/>
              <w:spacing w:after="0"/>
              <w:rPr>
                <w:sz w:val="20"/>
                <w:szCs w:val="20"/>
                <w:color w:val="auto"/>
              </w:rPr>
            </w:pPr>
            <w:r>
              <w:rPr>
                <w:rFonts w:ascii="Arial" w:cs="Arial" w:eastAsia="Arial" w:hAnsi="Arial"/>
                <w:sz w:val="16"/>
                <w:szCs w:val="16"/>
                <w:color w:val="auto"/>
                <w:w w:val="88"/>
              </w:rPr>
              <w:t>Rate</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right"/>
              <w:ind w:right="338"/>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right"/>
              <w:ind w:right="338"/>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vMerge w:val="restart"/>
          </w:tcPr>
          <w:p>
            <w:pPr>
              <w:ind w:left="160"/>
              <w:spacing w:after="0"/>
              <w:rPr>
                <w:sz w:val="20"/>
                <w:szCs w:val="20"/>
                <w:color w:val="auto"/>
              </w:rPr>
            </w:pPr>
            <w:r>
              <w:rPr>
                <w:rFonts w:ascii="Arial" w:cs="Arial" w:eastAsia="Arial" w:hAnsi="Arial"/>
                <w:sz w:val="16"/>
                <w:szCs w:val="16"/>
                <w:color w:val="auto"/>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980" w:type="dxa"/>
            <w:vAlign w:val="bottom"/>
          </w:tcPr>
          <w:p>
            <w:pPr>
              <w:spacing w:after="0"/>
              <w:rPr>
                <w:sz w:val="7"/>
                <w:szCs w:val="7"/>
                <w:color w:val="auto"/>
              </w:rPr>
            </w:pPr>
          </w:p>
        </w:tc>
        <w:tc>
          <w:tcPr>
            <w:tcW w:w="4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98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Series G Debentures</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2.79%  $</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42,996</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21,495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94"/>
              <w:spacing w:after="0"/>
              <w:rPr>
                <w:sz w:val="20"/>
                <w:szCs w:val="20"/>
                <w:color w:val="auto"/>
              </w:rPr>
            </w:pPr>
            <w:r>
              <w:rPr>
                <w:rFonts w:ascii="Arial" w:cs="Arial" w:eastAsia="Arial" w:hAnsi="Arial"/>
                <w:sz w:val="16"/>
                <w:szCs w:val="16"/>
                <w:color w:val="auto"/>
              </w:rPr>
              <w:t>64,491</w:t>
            </w:r>
          </w:p>
        </w:tc>
        <w:tc>
          <w:tcPr>
            <w:tcW w:w="0" w:type="dxa"/>
            <w:vAlign w:val="bottom"/>
          </w:tcPr>
          <w:p>
            <w:pPr>
              <w:spacing w:after="0"/>
              <w:rPr>
                <w:sz w:val="1"/>
                <w:szCs w:val="1"/>
                <w:color w:val="auto"/>
              </w:rPr>
            </w:pPr>
          </w:p>
        </w:tc>
      </w:tr>
      <w:tr>
        <w:trPr>
          <w:trHeight w:val="172"/>
        </w:trPr>
        <w:tc>
          <w:tcPr>
            <w:tcW w:w="5260" w:type="dxa"/>
            <w:vAlign w:val="bottom"/>
            <w:gridSpan w:val="2"/>
            <w:vMerge w:val="restart"/>
          </w:tcPr>
          <w:p>
            <w:pPr>
              <w:ind w:left="980"/>
              <w:spacing w:after="0"/>
              <w:rPr>
                <w:sz w:val="20"/>
                <w:szCs w:val="20"/>
                <w:color w:val="auto"/>
              </w:rPr>
            </w:pPr>
            <w:r>
              <w:rPr>
                <w:rFonts w:ascii="Arial" w:cs="Arial" w:eastAsia="Arial" w:hAnsi="Arial"/>
                <w:sz w:val="16"/>
                <w:szCs w:val="16"/>
                <w:color w:val="auto"/>
              </w:rPr>
              <w:t>Accretion of carrying amount to principal amount</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94"/>
              <w:spacing w:after="0" w:line="172" w:lineRule="exact"/>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54"/>
        </w:trPr>
        <w:tc>
          <w:tcPr>
            <w:tcW w:w="526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jc w:val="right"/>
              <w:ind w:right="34"/>
              <w:spacing w:after="0" w:line="50" w:lineRule="exact"/>
              <w:rPr>
                <w:sz w:val="20"/>
                <w:szCs w:val="20"/>
                <w:color w:val="auto"/>
              </w:rPr>
            </w:pPr>
            <w:r>
              <w:rPr>
                <w:rFonts w:ascii="Arial" w:cs="Arial" w:eastAsia="Arial" w:hAnsi="Arial"/>
                <w:sz w:val="5"/>
                <w:szCs w:val="5"/>
                <w:color w:val="auto"/>
              </w:rPr>
              <w:t>)</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Carrying amount</w:t>
            </w: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94"/>
              <w:spacing w:after="0"/>
              <w:rPr>
                <w:sz w:val="20"/>
                <w:szCs w:val="20"/>
                <w:color w:val="auto"/>
              </w:rPr>
            </w:pPr>
            <w:r>
              <w:rPr>
                <w:rFonts w:ascii="Arial" w:cs="Arial" w:eastAsia="Arial" w:hAnsi="Arial"/>
                <w:sz w:val="16"/>
                <w:szCs w:val="16"/>
                <w:color w:val="auto"/>
              </w:rPr>
              <w:t>64,082</w:t>
            </w:r>
          </w:p>
        </w:tc>
        <w:tc>
          <w:tcPr>
            <w:tcW w:w="0" w:type="dxa"/>
            <w:vAlign w:val="bottom"/>
          </w:tcPr>
          <w:p>
            <w:pPr>
              <w:spacing w:after="0"/>
              <w:rPr>
                <w:sz w:val="1"/>
                <w:szCs w:val="1"/>
                <w:color w:val="auto"/>
              </w:rPr>
            </w:pPr>
          </w:p>
        </w:tc>
      </w:tr>
      <w:tr>
        <w:trPr>
          <w:trHeight w:val="369"/>
        </w:trPr>
        <w:tc>
          <w:tcPr>
            <w:tcW w:w="980" w:type="dxa"/>
            <w:vAlign w:val="bottom"/>
          </w:tcPr>
          <w:p>
            <w:pPr>
              <w:spacing w:after="0"/>
              <w:rPr>
                <w:sz w:val="24"/>
                <w:szCs w:val="24"/>
                <w:color w:val="auto"/>
              </w:rPr>
            </w:pPr>
          </w:p>
        </w:tc>
        <w:tc>
          <w:tcPr>
            <w:tcW w:w="428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gridSpan w:val="2"/>
          </w:tcPr>
          <w:p>
            <w:pPr>
              <w:ind w:left="160"/>
              <w:spacing w:after="0"/>
              <w:rPr>
                <w:sz w:val="20"/>
                <w:szCs w:val="20"/>
                <w:color w:val="auto"/>
              </w:rPr>
            </w:pPr>
            <w:r>
              <w:rPr>
                <w:rFonts w:ascii="Arial" w:cs="Arial" w:eastAsia="Arial" w:hAnsi="Arial"/>
                <w:sz w:val="16"/>
                <w:szCs w:val="16"/>
                <w:color w:val="auto"/>
              </w:rPr>
              <w:t>F - 21</w:t>
            </w:r>
          </w:p>
        </w:tc>
        <w:tc>
          <w:tcPr>
            <w:tcW w:w="3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Borders>
              <w:bottom w:val="single" w:sz="8" w:color="EEEEEE"/>
            </w:tcBorders>
          </w:tcPr>
          <w:p>
            <w:pPr>
              <w:spacing w:after="0"/>
              <w:rPr>
                <w:sz w:val="19"/>
                <w:szCs w:val="19"/>
                <w:color w:val="auto"/>
              </w:rPr>
            </w:pPr>
          </w:p>
        </w:tc>
        <w:tc>
          <w:tcPr>
            <w:tcW w:w="4280" w:type="dxa"/>
            <w:vAlign w:val="bottom"/>
            <w:tcBorders>
              <w:bottom w:val="single" w:sz="8" w:color="EEEEEE"/>
            </w:tcBorders>
          </w:tcPr>
          <w:p>
            <w:pPr>
              <w:spacing w:after="0"/>
              <w:rPr>
                <w:sz w:val="19"/>
                <w:szCs w:val="19"/>
                <w:color w:val="auto"/>
              </w:rPr>
            </w:pPr>
          </w:p>
        </w:tc>
        <w:tc>
          <w:tcPr>
            <w:tcW w:w="500" w:type="dxa"/>
            <w:vAlign w:val="bottom"/>
            <w:tcBorders>
              <w:bottom w:val="single" w:sz="8" w:color="EEEEEE"/>
            </w:tcBorders>
          </w:tcPr>
          <w:p>
            <w:pPr>
              <w:spacing w:after="0"/>
              <w:rPr>
                <w:sz w:val="19"/>
                <w:szCs w:val="19"/>
                <w:color w:val="auto"/>
              </w:rPr>
            </w:pPr>
          </w:p>
        </w:tc>
        <w:tc>
          <w:tcPr>
            <w:tcW w:w="840" w:type="dxa"/>
            <w:vAlign w:val="bottom"/>
            <w:tcBorders>
              <w:bottom w:val="single" w:sz="8" w:color="EEEEEE"/>
            </w:tcBorders>
          </w:tcPr>
          <w:p>
            <w:pPr>
              <w:spacing w:after="0"/>
              <w:rPr>
                <w:sz w:val="19"/>
                <w:szCs w:val="19"/>
                <w:color w:val="auto"/>
              </w:rPr>
            </w:pPr>
          </w:p>
        </w:tc>
        <w:tc>
          <w:tcPr>
            <w:tcW w:w="300" w:type="dxa"/>
            <w:vAlign w:val="bottom"/>
            <w:tcBorders>
              <w:bottom w:val="single" w:sz="8" w:color="EEEEEE"/>
            </w:tcBorders>
          </w:tcPr>
          <w:p>
            <w:pPr>
              <w:spacing w:after="0"/>
              <w:rPr>
                <w:sz w:val="19"/>
                <w:szCs w:val="19"/>
                <w:color w:val="auto"/>
              </w:rPr>
            </w:pPr>
          </w:p>
        </w:tc>
        <w:tc>
          <w:tcPr>
            <w:tcW w:w="28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92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92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260" w:type="dxa"/>
            <w:vAlign w:val="bottom"/>
            <w:tcBorders>
              <w:bottom w:val="single" w:sz="8" w:color="EEEEEE"/>
            </w:tcBorders>
          </w:tcPr>
          <w:p>
            <w:pPr>
              <w:spacing w:after="0"/>
              <w:rPr>
                <w:sz w:val="19"/>
                <w:szCs w:val="19"/>
                <w:color w:val="auto"/>
              </w:rPr>
            </w:pPr>
          </w:p>
        </w:tc>
        <w:tc>
          <w:tcPr>
            <w:tcW w:w="92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-35560</wp:posOffset>
            </wp:positionV>
            <wp:extent cx="7169785" cy="488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11:</w:t>
        <w:tab/>
        <w:t>OTHER LONG-TERM DEBT</w:t>
      </w:r>
    </w:p>
    <w:p>
      <w:pPr>
        <w:spacing w:after="0" w:line="185" w:lineRule="exact"/>
        <w:rPr>
          <w:sz w:val="20"/>
          <w:szCs w:val="20"/>
          <w:color w:val="auto"/>
        </w:rPr>
      </w:pPr>
    </w:p>
    <w:p>
      <w:pPr>
        <w:ind w:left="1300" w:hanging="318"/>
        <w:spacing w:after="0"/>
        <w:tabs>
          <w:tab w:leader="none" w:pos="130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Composition</w:t>
      </w:r>
    </w:p>
    <w:p>
      <w:pPr>
        <w:spacing w:after="0" w:line="201"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6"/>
          <w:szCs w:val="16"/>
          <w:color w:val="auto"/>
        </w:rPr>
        <w:t>As of December 31, 2021 and 2020:</w:t>
      </w:r>
    </w:p>
    <w:p>
      <w:pPr>
        <w:spacing w:after="0" w:line="197" w:lineRule="exact"/>
        <w:rPr>
          <w:sz w:val="20"/>
          <w:szCs w:val="20"/>
          <w:color w:val="auto"/>
        </w:rPr>
      </w:pPr>
    </w:p>
    <w:tbl>
      <w:tblPr>
        <w:tblLayout w:type="fixed"/>
        <w:tblInd w:w="980" w:type="dxa"/>
        <w:tblCellMar>
          <w:top w:w="0" w:type="dxa"/>
          <w:left w:w="0" w:type="dxa"/>
          <w:bottom w:w="0" w:type="dxa"/>
          <w:right w:w="0" w:type="dxa"/>
        </w:tblCellMar>
      </w:tblPr>
      <w:tr>
        <w:trPr>
          <w:trHeight w:val="214"/>
        </w:trPr>
        <w:tc>
          <w:tcPr>
            <w:tcW w:w="2440" w:type="dxa"/>
            <w:vAlign w:val="bottom"/>
            <w:gridSpan w:val="2"/>
          </w:tcPr>
          <w:p>
            <w:pPr>
              <w:ind w:left="320"/>
              <w:spacing w:after="0"/>
              <w:rPr>
                <w:sz w:val="20"/>
                <w:szCs w:val="20"/>
                <w:color w:val="auto"/>
              </w:rPr>
            </w:pPr>
            <w:r>
              <w:rPr>
                <w:rFonts w:ascii="Arial" w:cs="Arial" w:eastAsia="Arial" w:hAnsi="Arial"/>
                <w:sz w:val="16"/>
                <w:szCs w:val="16"/>
                <w:color w:val="auto"/>
              </w:rPr>
              <w:t>Details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080" w:type="dxa"/>
            <w:vAlign w:val="bottom"/>
            <w:tcBorders>
              <w:bottom w:val="single" w:sz="8" w:color="auto"/>
            </w:tcBorders>
            <w:gridSpan w:val="3"/>
          </w:tcPr>
          <w:p>
            <w:pPr>
              <w:jc w:val="right"/>
              <w:ind w:right="298"/>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98"/>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r>
      <w:tr>
        <w:trPr>
          <w:trHeight w:val="221"/>
        </w:trPr>
        <w:tc>
          <w:tcPr>
            <w:tcW w:w="340" w:type="dxa"/>
            <w:vAlign w:val="bottom"/>
          </w:tcPr>
          <w:p>
            <w:pPr>
              <w:spacing w:after="0"/>
              <w:rPr>
                <w:sz w:val="19"/>
                <w:szCs w:val="19"/>
                <w:color w:val="auto"/>
              </w:rPr>
            </w:pPr>
          </w:p>
        </w:tc>
        <w:tc>
          <w:tcPr>
            <w:tcW w:w="4920" w:type="dxa"/>
            <w:vAlign w:val="bottom"/>
            <w:gridSpan w:val="8"/>
            <w:shd w:val="clear" w:color="auto" w:fill="CCEEFF"/>
          </w:tcPr>
          <w:p>
            <w:pPr>
              <w:spacing w:after="0"/>
              <w:rPr>
                <w:sz w:val="20"/>
                <w:szCs w:val="20"/>
                <w:color w:val="auto"/>
              </w:rPr>
            </w:pPr>
            <w:r>
              <w:rPr>
                <w:rFonts w:ascii="Arial" w:cs="Arial" w:eastAsia="Arial" w:hAnsi="Arial"/>
                <w:sz w:val="16"/>
                <w:szCs w:val="16"/>
                <w:color w:val="auto"/>
                <w:w w:val="97"/>
              </w:rPr>
              <w:t>Long-term JPY loan - principal amount - see Notes 11B and 11C below</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95,572</w:t>
            </w: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106,719</w:t>
            </w:r>
          </w:p>
        </w:tc>
        <w:tc>
          <w:tcPr>
            <w:tcW w:w="100" w:type="dxa"/>
            <w:vAlign w:val="bottom"/>
            <w:tcBorders>
              <w:left w:val="single" w:sz="8" w:color="CCEEFF"/>
            </w:tcBorders>
            <w:shd w:val="clear" w:color="auto" w:fill="CCEEFF"/>
          </w:tcPr>
          <w:p>
            <w:pPr>
              <w:spacing w:after="0"/>
              <w:rPr>
                <w:sz w:val="19"/>
                <w:szCs w:val="19"/>
                <w:color w:val="auto"/>
              </w:rPr>
            </w:pPr>
          </w:p>
        </w:tc>
      </w:tr>
      <w:tr>
        <w:trPr>
          <w:trHeight w:val="221"/>
        </w:trPr>
        <w:tc>
          <w:tcPr>
            <w:tcW w:w="4700" w:type="dxa"/>
            <w:vAlign w:val="bottom"/>
            <w:gridSpan w:val="8"/>
          </w:tcPr>
          <w:p>
            <w:pPr>
              <w:ind w:left="320"/>
              <w:spacing w:after="0"/>
              <w:rPr>
                <w:sz w:val="20"/>
                <w:szCs w:val="20"/>
                <w:color w:val="auto"/>
              </w:rPr>
            </w:pPr>
            <w:r>
              <w:rPr>
                <w:rFonts w:ascii="Arial" w:cs="Arial" w:eastAsia="Arial" w:hAnsi="Arial"/>
                <w:sz w:val="16"/>
                <w:szCs w:val="16"/>
                <w:color w:val="auto"/>
                <w:w w:val="93"/>
              </w:rPr>
              <w:t>Capital leases and other long-term liabilities - see Note 11D below</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141,073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162,171</w:t>
            </w:r>
          </w:p>
        </w:tc>
        <w:tc>
          <w:tcPr>
            <w:tcW w:w="100" w:type="dxa"/>
            <w:vAlign w:val="bottom"/>
          </w:tcPr>
          <w:p>
            <w:pPr>
              <w:spacing w:after="0"/>
              <w:rPr>
                <w:sz w:val="19"/>
                <w:szCs w:val="19"/>
                <w:color w:val="auto"/>
              </w:rPr>
            </w:pPr>
          </w:p>
        </w:tc>
      </w:tr>
      <w:tr>
        <w:trPr>
          <w:trHeight w:val="222"/>
        </w:trPr>
        <w:tc>
          <w:tcPr>
            <w:tcW w:w="340" w:type="dxa"/>
            <w:vAlign w:val="bottom"/>
          </w:tcPr>
          <w:p>
            <w:pPr>
              <w:spacing w:after="0"/>
              <w:rPr>
                <w:sz w:val="19"/>
                <w:szCs w:val="19"/>
                <w:color w:val="auto"/>
              </w:rPr>
            </w:pPr>
          </w:p>
        </w:tc>
        <w:tc>
          <w:tcPr>
            <w:tcW w:w="33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Operating leases - see Note 11E below</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14,113</w:t>
            </w: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18,990</w:t>
            </w:r>
          </w:p>
        </w:tc>
        <w:tc>
          <w:tcPr>
            <w:tcW w:w="100" w:type="dxa"/>
            <w:vAlign w:val="bottom"/>
            <w:tcBorders>
              <w:left w:val="single" w:sz="8" w:color="CCEEFF"/>
            </w:tcBorders>
            <w:shd w:val="clear" w:color="auto" w:fill="CCEEFF"/>
          </w:tcPr>
          <w:p>
            <w:pPr>
              <w:spacing w:after="0"/>
              <w:rPr>
                <w:sz w:val="19"/>
                <w:szCs w:val="19"/>
                <w:color w:val="auto"/>
              </w:rPr>
            </w:pPr>
          </w:p>
        </w:tc>
      </w:tr>
      <w:tr>
        <w:trPr>
          <w:trHeight w:val="221"/>
        </w:trPr>
        <w:tc>
          <w:tcPr>
            <w:tcW w:w="2440" w:type="dxa"/>
            <w:vAlign w:val="bottom"/>
            <w:gridSpan w:val="2"/>
          </w:tcPr>
          <w:p>
            <w:pPr>
              <w:ind w:left="320"/>
              <w:spacing w:after="0"/>
              <w:rPr>
                <w:sz w:val="20"/>
                <w:szCs w:val="20"/>
                <w:color w:val="auto"/>
              </w:rPr>
            </w:pPr>
            <w:r>
              <w:rPr>
                <w:rFonts w:ascii="Arial" w:cs="Arial" w:eastAsia="Arial" w:hAnsi="Arial"/>
                <w:sz w:val="16"/>
                <w:szCs w:val="16"/>
                <w:color w:val="auto"/>
              </w:rPr>
              <w:t>Less - current maturities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(41,324)</w:t>
            </w:r>
          </w:p>
        </w:tc>
        <w:tc>
          <w:tcPr>
            <w:tcW w:w="10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6"/>
                <w:szCs w:val="16"/>
                <w:color w:val="auto"/>
              </w:rPr>
              <w:t>(65,658)</w:t>
            </w:r>
          </w:p>
        </w:tc>
      </w:tr>
      <w:tr>
        <w:trPr>
          <w:trHeight w:val="25"/>
        </w:trPr>
        <w:tc>
          <w:tcPr>
            <w:tcW w:w="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209,434</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222,222</w:t>
            </w:r>
          </w:p>
        </w:tc>
        <w:tc>
          <w:tcPr>
            <w:tcW w:w="100" w:type="dxa"/>
            <w:vAlign w:val="bottom"/>
            <w:tcBorders>
              <w:left w:val="single" w:sz="8" w:color="CCEEFF"/>
            </w:tcBorders>
            <w:shd w:val="clear" w:color="auto" w:fill="CCEEFF"/>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345"/>
        </w:trPr>
        <w:tc>
          <w:tcPr>
            <w:tcW w:w="3640" w:type="dxa"/>
            <w:vAlign w:val="bottom"/>
            <w:gridSpan w:val="5"/>
          </w:tcPr>
          <w:p>
            <w:pPr>
              <w:spacing w:after="0"/>
              <w:rPr>
                <w:sz w:val="20"/>
                <w:szCs w:val="20"/>
                <w:color w:val="auto"/>
              </w:rPr>
            </w:pPr>
            <w:r>
              <w:rPr>
                <w:rFonts w:ascii="Arial" w:cs="Arial" w:eastAsia="Arial" w:hAnsi="Arial"/>
                <w:sz w:val="16"/>
                <w:szCs w:val="16"/>
                <w:b w:val="1"/>
                <w:bCs w:val="1"/>
                <w:color w:val="auto"/>
                <w:w w:val="98"/>
              </w:rPr>
              <w:t>B.  Repayment Schedule of Long-term JPY Loan</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1"/>
        </w:trPr>
        <w:tc>
          <w:tcPr>
            <w:tcW w:w="2440" w:type="dxa"/>
            <w:vAlign w:val="bottom"/>
            <w:gridSpan w:val="2"/>
          </w:tcPr>
          <w:p>
            <w:pPr>
              <w:ind w:left="320"/>
              <w:spacing w:after="0"/>
              <w:rPr>
                <w:sz w:val="20"/>
                <w:szCs w:val="20"/>
                <w:color w:val="auto"/>
              </w:rPr>
            </w:pPr>
            <w:r>
              <w:rPr>
                <w:rFonts w:ascii="Arial" w:cs="Arial" w:eastAsia="Arial" w:hAnsi="Arial"/>
                <w:sz w:val="16"/>
                <w:szCs w:val="16"/>
                <w:color w:val="auto"/>
              </w:rPr>
              <w:t>As of December 31, 2021:</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7"/>
        </w:trPr>
        <w:tc>
          <w:tcPr>
            <w:tcW w:w="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6"/>
                <w:szCs w:val="16"/>
                <w:color w:val="auto"/>
                <w:w w:val="93"/>
              </w:rPr>
              <w:t>Interest</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2440" w:type="dxa"/>
            <w:vAlign w:val="bottom"/>
            <w:gridSpan w:val="2"/>
          </w:tcPr>
          <w:p>
            <w:pPr>
              <w:ind w:left="320"/>
              <w:spacing w:after="0"/>
              <w:rPr>
                <w:sz w:val="20"/>
                <w:szCs w:val="20"/>
                <w:color w:val="auto"/>
              </w:rPr>
            </w:pPr>
            <w:r>
              <w:rPr>
                <w:rFonts w:ascii="Arial" w:cs="Arial" w:eastAsia="Arial" w:hAnsi="Arial"/>
                <w:sz w:val="16"/>
                <w:szCs w:val="16"/>
                <w:color w:val="auto"/>
              </w:rPr>
              <w:t>Details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Rate</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w w:val="84"/>
              </w:rPr>
              <w:t>2023</w:t>
            </w: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2025</w:t>
            </w:r>
          </w:p>
        </w:tc>
        <w:tc>
          <w:tcPr>
            <w:tcW w:w="20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138"/>
              <w:spacing w:after="0"/>
              <w:rPr>
                <w:sz w:val="20"/>
                <w:szCs w:val="20"/>
                <w:color w:val="auto"/>
              </w:rPr>
            </w:pPr>
            <w:r>
              <w:rPr>
                <w:rFonts w:ascii="Arial" w:cs="Arial" w:eastAsia="Arial" w:hAnsi="Arial"/>
                <w:sz w:val="16"/>
                <w:szCs w:val="16"/>
                <w:color w:val="auto"/>
              </w:rPr>
              <w:t>2026</w:t>
            </w:r>
          </w:p>
        </w:tc>
        <w:tc>
          <w:tcPr>
            <w:tcW w:w="200" w:type="dxa"/>
            <w:vAlign w:val="bottom"/>
          </w:tcPr>
          <w:p>
            <w:pPr>
              <w:spacing w:after="0"/>
              <w:rPr>
                <w:sz w:val="18"/>
                <w:szCs w:val="18"/>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2027</w:t>
            </w:r>
          </w:p>
        </w:tc>
        <w:tc>
          <w:tcPr>
            <w:tcW w:w="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8"/>
                <w:szCs w:val="18"/>
                <w:color w:val="auto"/>
              </w:rPr>
            </w:pPr>
          </w:p>
        </w:tc>
      </w:tr>
      <w:tr>
        <w:trPr>
          <w:trHeight w:val="217"/>
        </w:trPr>
        <w:tc>
          <w:tcPr>
            <w:tcW w:w="34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Long-term JPY loan</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1.95%  $</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13,654</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27,306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27,306</w:t>
            </w: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27,306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95,572</w:t>
            </w:r>
          </w:p>
        </w:tc>
        <w:tc>
          <w:tcPr>
            <w:tcW w:w="100" w:type="dxa"/>
            <w:vAlign w:val="bottom"/>
            <w:tcBorders>
              <w:left w:val="single" w:sz="8" w:color="CCEEFF"/>
            </w:tcBorders>
            <w:shd w:val="clear" w:color="auto" w:fill="CCEEFF"/>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shd w:val="clear" w:color="auto" w:fill="CCEEFF"/>
          </w:tcPr>
          <w:p>
            <w:pPr>
              <w:spacing w:after="0" w:line="20" w:lineRule="exact"/>
              <w:rPr>
                <w:sz w:val="1"/>
                <w:szCs w:val="1"/>
                <w:color w:val="auto"/>
              </w:rPr>
            </w:pPr>
          </w:p>
        </w:tc>
      </w:tr>
    </w:tbl>
    <w:p>
      <w:pPr>
        <w:spacing w:after="0" w:line="389" w:lineRule="exact"/>
        <w:rPr>
          <w:sz w:val="20"/>
          <w:szCs w:val="20"/>
          <w:color w:val="auto"/>
        </w:rPr>
      </w:pPr>
    </w:p>
    <w:p>
      <w:pPr>
        <w:ind w:left="1300" w:hanging="318"/>
        <w:spacing w:after="0"/>
        <w:tabs>
          <w:tab w:leader="none" w:pos="130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Long-term JPY Loan</w:t>
      </w:r>
    </w:p>
    <w:p>
      <w:pPr>
        <w:spacing w:after="0" w:line="188" w:lineRule="exact"/>
        <w:rPr>
          <w:rFonts w:ascii="Arial" w:cs="Arial" w:eastAsia="Arial" w:hAnsi="Arial"/>
          <w:sz w:val="16"/>
          <w:szCs w:val="16"/>
          <w:b w:val="1"/>
          <w:bCs w:val="1"/>
          <w:color w:val="auto"/>
        </w:rPr>
      </w:pPr>
    </w:p>
    <w:p>
      <w:pPr>
        <w:jc w:val="both"/>
        <w:ind w:left="1300"/>
        <w:spacing w:after="0" w:line="286" w:lineRule="auto"/>
        <w:rPr>
          <w:rFonts w:ascii="Arial" w:cs="Arial" w:eastAsia="Arial" w:hAnsi="Arial"/>
          <w:sz w:val="16"/>
          <w:szCs w:val="16"/>
          <w:b w:val="1"/>
          <w:bCs w:val="1"/>
          <w:color w:val="auto"/>
        </w:rPr>
      </w:pPr>
      <w:r>
        <w:rPr>
          <w:rFonts w:ascii="Arial" w:cs="Arial" w:eastAsia="Arial" w:hAnsi="Arial"/>
          <w:sz w:val="15"/>
          <w:szCs w:val="15"/>
          <w:color w:val="auto"/>
        </w:rPr>
        <w:t>In December 2021, TPSCo refinanced its then existing loan with an 11 billion JPY (approximately $96,000) new asset-based loan with a consortium of financial institutions consisted of (i) JA Mitsui Leasing, Ltd., (ii) Mitsubishi HC Capital Inc., (iii) Taishin International Bank Co., Ltd. Tokyo Branch; and (iv) BOT lease Co. Ltd. (“JP Loan”). The JP Loan carries a fixed interest rate of 1.95% per annum with principal payable in seven semiannual payments from December 2024 until December 2027. The JP Loan is secured mainly by a lien over the machinery and equipment of TPSCo located in the Uozu and Tonami manufacturing facilities. Outstanding principal amount was $95,572 as of December 31, 2021.</w:t>
      </w:r>
    </w:p>
    <w:p>
      <w:pPr>
        <w:spacing w:after="0" w:line="128" w:lineRule="exact"/>
        <w:rPr>
          <w:rFonts w:ascii="Arial" w:cs="Arial" w:eastAsia="Arial" w:hAnsi="Arial"/>
          <w:sz w:val="16"/>
          <w:szCs w:val="16"/>
          <w:b w:val="1"/>
          <w:bCs w:val="1"/>
          <w:color w:val="auto"/>
        </w:rPr>
      </w:pPr>
    </w:p>
    <w:p>
      <w:pPr>
        <w:ind w:left="130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The JP Loan also contains certain financial ratios and covenants, as well as customary definitions of events of default and acceleration of the repayment schedule. TPSCo’s obligations pursuant to the JP Loan are not guaranteed by Tower, NTCJ, or any of their affiliates.</w:t>
      </w:r>
    </w:p>
    <w:p>
      <w:pPr>
        <w:spacing w:after="0" w:line="136"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6"/>
          <w:szCs w:val="16"/>
          <w:color w:val="auto"/>
        </w:rPr>
        <w:t>As of December 31, 2021, TPSCo was in compliance with all of the financial ratios and covenants under the JP Loan.</w:t>
      </w:r>
    </w:p>
    <w:p>
      <w:pPr>
        <w:spacing w:after="0" w:line="193" w:lineRule="exact"/>
        <w:rPr>
          <w:rFonts w:ascii="Arial" w:cs="Arial" w:eastAsia="Arial" w:hAnsi="Arial"/>
          <w:sz w:val="16"/>
          <w:szCs w:val="16"/>
          <w:b w:val="1"/>
          <w:bCs w:val="1"/>
          <w:color w:val="auto"/>
        </w:rPr>
      </w:pPr>
    </w:p>
    <w:p>
      <w:pPr>
        <w:ind w:left="1300" w:hanging="318"/>
        <w:spacing w:after="0"/>
        <w:tabs>
          <w:tab w:leader="none" w:pos="130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Capital Lease Agreements and other Long-term Liabilities</w:t>
      </w:r>
    </w:p>
    <w:p>
      <w:pPr>
        <w:spacing w:after="0" w:line="213" w:lineRule="exact"/>
        <w:rPr>
          <w:rFonts w:ascii="Arial" w:cs="Arial" w:eastAsia="Arial" w:hAnsi="Arial"/>
          <w:sz w:val="16"/>
          <w:szCs w:val="16"/>
          <w:b w:val="1"/>
          <w:bCs w:val="1"/>
          <w:color w:val="auto"/>
        </w:rPr>
      </w:pPr>
    </w:p>
    <w:p>
      <w:pPr>
        <w:jc w:val="both"/>
        <w:ind w:left="1300"/>
        <w:spacing w:after="0" w:line="264" w:lineRule="auto"/>
        <w:rPr>
          <w:rFonts w:ascii="Arial" w:cs="Arial" w:eastAsia="Arial" w:hAnsi="Arial"/>
          <w:sz w:val="16"/>
          <w:szCs w:val="16"/>
          <w:b w:val="1"/>
          <w:bCs w:val="1"/>
          <w:color w:val="auto"/>
        </w:rPr>
      </w:pPr>
      <w:r>
        <w:rPr>
          <w:rFonts w:ascii="Arial" w:cs="Arial" w:eastAsia="Arial" w:hAnsi="Arial"/>
          <w:sz w:val="16"/>
          <w:szCs w:val="16"/>
          <w:color w:val="auto"/>
        </w:rPr>
        <w:t>Certain of the Company’s subsidiaries enter into capital lease agreements from time to time for certain machinery and equipment, usually for a period of four years, with an option to buy the machinery and equipment after a period of between three to four years from the start of the lease period. The lease agreements contain annual interest rates of approximately 2% and the assets under the lease agreements are pledged to the lender until the time at which the respective subsidiary acquires the assets. The obligations under the capital lease agreements are guaranteed by Tower, except for TPSCo’s obligations under its capital lease agreements.</w:t>
      </w:r>
    </w:p>
    <w:p>
      <w:pPr>
        <w:spacing w:after="0" w:line="143" w:lineRule="exact"/>
        <w:rPr>
          <w:rFonts w:ascii="Arial" w:cs="Arial" w:eastAsia="Arial" w:hAnsi="Arial"/>
          <w:sz w:val="16"/>
          <w:szCs w:val="16"/>
          <w:b w:val="1"/>
          <w:bCs w:val="1"/>
          <w:color w:val="auto"/>
        </w:rPr>
      </w:pPr>
    </w:p>
    <w:p>
      <w:pPr>
        <w:ind w:left="130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TPSCo leases its fabrication facility buildings in Japan from NTCJ under a long-term capital lease that was renewed in 2020 for continuation of the lease until at least March 2032.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11:</w:t>
        <w:tab/>
        <w:t>OTHER LONG-TERM DEBT (Continued)</w:t>
      </w:r>
    </w:p>
    <w:p>
      <w:pPr>
        <w:spacing w:after="0" w:line="214" w:lineRule="exact"/>
        <w:rPr>
          <w:sz w:val="20"/>
          <w:szCs w:val="20"/>
          <w:color w:val="auto"/>
        </w:rPr>
      </w:pPr>
    </w:p>
    <w:p>
      <w:pPr>
        <w:ind w:left="1300"/>
        <w:spacing w:after="0" w:line="288" w:lineRule="auto"/>
        <w:rPr>
          <w:sz w:val="20"/>
          <w:szCs w:val="20"/>
          <w:color w:val="auto"/>
        </w:rPr>
      </w:pPr>
      <w:r>
        <w:rPr>
          <w:rFonts w:ascii="Arial" w:cs="Arial" w:eastAsia="Arial" w:hAnsi="Arial"/>
          <w:sz w:val="16"/>
          <w:szCs w:val="16"/>
          <w:color w:val="auto"/>
        </w:rPr>
        <w:t>As of December 31, 2021 and 2020, the Company’s total outstanding capital lease liabilities for fixed assets were $139,037 and $159,650, respectively, of which $36,282 and $34,863 respectively, were included under current maturities of long-term debt.</w:t>
      </w:r>
    </w:p>
    <w:p>
      <w:pPr>
        <w:spacing w:after="0" w:line="124" w:lineRule="exact"/>
        <w:rPr>
          <w:sz w:val="20"/>
          <w:szCs w:val="20"/>
          <w:color w:val="auto"/>
        </w:rPr>
      </w:pPr>
    </w:p>
    <w:tbl>
      <w:tblPr>
        <w:tblLayout w:type="fixed"/>
        <w:tblInd w:w="1300" w:type="dxa"/>
        <w:tblCellMar>
          <w:top w:w="0" w:type="dxa"/>
          <w:left w:w="0" w:type="dxa"/>
          <w:bottom w:w="0" w:type="dxa"/>
          <w:right w:w="0" w:type="dxa"/>
        </w:tblCellMar>
      </w:tblPr>
      <w:tr>
        <w:trPr>
          <w:trHeight w:val="208"/>
        </w:trPr>
        <w:tc>
          <w:tcPr>
            <w:tcW w:w="8660" w:type="dxa"/>
            <w:vAlign w:val="bottom"/>
            <w:gridSpan w:val="2"/>
          </w:tcPr>
          <w:p>
            <w:pPr>
              <w:spacing w:after="0"/>
              <w:rPr>
                <w:sz w:val="20"/>
                <w:szCs w:val="20"/>
                <w:color w:val="auto"/>
              </w:rPr>
            </w:pPr>
            <w:r>
              <w:rPr>
                <w:rFonts w:ascii="Arial" w:cs="Arial" w:eastAsia="Arial" w:hAnsi="Arial"/>
                <w:sz w:val="16"/>
                <w:szCs w:val="16"/>
                <w:color w:val="auto"/>
              </w:rPr>
              <w:t>The following presents the maturity of capital lease and other long-term liabilities as of December 31, 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2"/>
        </w:trPr>
        <w:tc>
          <w:tcPr>
            <w:tcW w:w="8660" w:type="dxa"/>
            <w:vAlign w:val="bottom"/>
            <w:gridSpan w:val="2"/>
          </w:tcPr>
          <w:p>
            <w:pPr>
              <w:spacing w:after="0"/>
              <w:rPr>
                <w:sz w:val="20"/>
                <w:szCs w:val="20"/>
                <w:color w:val="auto"/>
              </w:rPr>
            </w:pPr>
            <w:r>
              <w:rPr>
                <w:rFonts w:ascii="Arial" w:cs="Arial" w:eastAsia="Arial" w:hAnsi="Arial"/>
                <w:sz w:val="16"/>
                <w:szCs w:val="16"/>
                <w:color w:val="auto"/>
              </w:rPr>
              <w:t>Fiscal Year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w w:val="98"/>
              </w:rPr>
              <w:t>Amount ($)</w:t>
            </w:r>
          </w:p>
        </w:tc>
      </w:tr>
      <w:tr>
        <w:trPr>
          <w:trHeight w:val="25"/>
        </w:trPr>
        <w:tc>
          <w:tcPr>
            <w:tcW w:w="20" w:type="dxa"/>
            <w:vAlign w:val="bottom"/>
          </w:tcPr>
          <w:p>
            <w:pPr>
              <w:spacing w:after="0"/>
              <w:rPr>
                <w:sz w:val="2"/>
                <w:szCs w:val="2"/>
                <w:color w:val="auto"/>
              </w:rPr>
            </w:pPr>
          </w:p>
        </w:tc>
        <w:tc>
          <w:tcPr>
            <w:tcW w:w="8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20" w:type="dxa"/>
            <w:vAlign w:val="bottom"/>
          </w:tcPr>
          <w:p>
            <w:pPr>
              <w:spacing w:after="0"/>
              <w:rPr>
                <w:sz w:val="19"/>
                <w:szCs w:val="19"/>
                <w:color w:val="auto"/>
              </w:rPr>
            </w:pPr>
          </w:p>
        </w:tc>
        <w:tc>
          <w:tcPr>
            <w:tcW w:w="8640" w:type="dxa"/>
            <w:vAlign w:val="bottom"/>
            <w:shd w:val="clear" w:color="auto" w:fill="CCEEFF"/>
          </w:tcPr>
          <w:p>
            <w:pPr>
              <w:jc w:val="right"/>
              <w:ind w:right="8238"/>
              <w:spacing w:after="0"/>
              <w:rPr>
                <w:sz w:val="20"/>
                <w:szCs w:val="20"/>
                <w:color w:val="auto"/>
              </w:rPr>
            </w:pPr>
            <w:r>
              <w:rPr>
                <w:rFonts w:ascii="Arial" w:cs="Arial" w:eastAsia="Arial" w:hAnsi="Arial"/>
                <w:sz w:val="16"/>
                <w:szCs w:val="16"/>
                <w:color w:val="auto"/>
                <w:w w:val="84"/>
              </w:rPr>
              <w:t>2022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39,167</w:t>
            </w:r>
          </w:p>
        </w:tc>
        <w:tc>
          <w:tcPr>
            <w:tcW w:w="100" w:type="dxa"/>
            <w:vAlign w:val="bottom"/>
            <w:shd w:val="clear" w:color="auto" w:fill="CCEEFF"/>
          </w:tcPr>
          <w:p>
            <w:pPr>
              <w:spacing w:after="0"/>
              <w:rPr>
                <w:sz w:val="19"/>
                <w:szCs w:val="19"/>
                <w:color w:val="auto"/>
              </w:rPr>
            </w:pPr>
          </w:p>
        </w:tc>
      </w:tr>
      <w:tr>
        <w:trPr>
          <w:trHeight w:val="221"/>
        </w:trPr>
        <w:tc>
          <w:tcPr>
            <w:tcW w:w="8660" w:type="dxa"/>
            <w:vAlign w:val="bottom"/>
            <w:gridSpan w:val="2"/>
          </w:tcPr>
          <w:p>
            <w:pPr>
              <w:jc w:val="right"/>
              <w:ind w:right="8238"/>
              <w:spacing w:after="0"/>
              <w:rPr>
                <w:sz w:val="20"/>
                <w:szCs w:val="20"/>
                <w:color w:val="auto"/>
              </w:rPr>
            </w:pPr>
            <w:r>
              <w:rPr>
                <w:rFonts w:ascii="Arial" w:cs="Arial" w:eastAsia="Arial" w:hAnsi="Arial"/>
                <w:sz w:val="16"/>
                <w:szCs w:val="16"/>
                <w:color w:val="auto"/>
                <w:w w:val="89"/>
              </w:rPr>
              <w:t>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29,086</w:t>
            </w:r>
          </w:p>
        </w:tc>
        <w:tc>
          <w:tcPr>
            <w:tcW w:w="10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8640" w:type="dxa"/>
            <w:vAlign w:val="bottom"/>
            <w:shd w:val="clear" w:color="auto" w:fill="CCEEFF"/>
          </w:tcPr>
          <w:p>
            <w:pPr>
              <w:jc w:val="right"/>
              <w:ind w:right="8238"/>
              <w:spacing w:after="0"/>
              <w:rPr>
                <w:sz w:val="20"/>
                <w:szCs w:val="20"/>
                <w:color w:val="auto"/>
              </w:rPr>
            </w:pPr>
            <w:r>
              <w:rPr>
                <w:rFonts w:ascii="Arial" w:cs="Arial" w:eastAsia="Arial" w:hAnsi="Arial"/>
                <w:sz w:val="16"/>
                <w:szCs w:val="16"/>
                <w:color w:val="auto"/>
                <w:w w:val="84"/>
              </w:rPr>
              <w:t>2024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30,391</w:t>
            </w:r>
          </w:p>
        </w:tc>
        <w:tc>
          <w:tcPr>
            <w:tcW w:w="100" w:type="dxa"/>
            <w:vAlign w:val="bottom"/>
            <w:shd w:val="clear" w:color="auto" w:fill="CCEEFF"/>
          </w:tcPr>
          <w:p>
            <w:pPr>
              <w:spacing w:after="0"/>
              <w:rPr>
                <w:sz w:val="19"/>
                <w:szCs w:val="19"/>
                <w:color w:val="auto"/>
              </w:rPr>
            </w:pPr>
          </w:p>
        </w:tc>
      </w:tr>
      <w:tr>
        <w:trPr>
          <w:trHeight w:val="221"/>
        </w:trPr>
        <w:tc>
          <w:tcPr>
            <w:tcW w:w="8660" w:type="dxa"/>
            <w:vAlign w:val="bottom"/>
            <w:gridSpan w:val="2"/>
          </w:tcPr>
          <w:p>
            <w:pPr>
              <w:jc w:val="right"/>
              <w:ind w:right="8238"/>
              <w:spacing w:after="0"/>
              <w:rPr>
                <w:sz w:val="20"/>
                <w:szCs w:val="20"/>
                <w:color w:val="auto"/>
              </w:rPr>
            </w:pPr>
            <w:r>
              <w:rPr>
                <w:rFonts w:ascii="Arial" w:cs="Arial" w:eastAsia="Arial" w:hAnsi="Arial"/>
                <w:sz w:val="16"/>
                <w:szCs w:val="16"/>
                <w:color w:val="auto"/>
                <w:w w:val="89"/>
              </w:rPr>
              <w:t>2025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15,599</w:t>
            </w:r>
          </w:p>
        </w:tc>
        <w:tc>
          <w:tcPr>
            <w:tcW w:w="10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8640" w:type="dxa"/>
            <w:vAlign w:val="bottom"/>
            <w:shd w:val="clear" w:color="auto" w:fill="CCEEFF"/>
          </w:tcPr>
          <w:p>
            <w:pPr>
              <w:jc w:val="right"/>
              <w:ind w:right="8238"/>
              <w:spacing w:after="0"/>
              <w:rPr>
                <w:sz w:val="20"/>
                <w:szCs w:val="20"/>
                <w:color w:val="auto"/>
              </w:rPr>
            </w:pPr>
            <w:r>
              <w:rPr>
                <w:rFonts w:ascii="Arial" w:cs="Arial" w:eastAsia="Arial" w:hAnsi="Arial"/>
                <w:sz w:val="16"/>
                <w:szCs w:val="16"/>
                <w:color w:val="auto"/>
                <w:w w:val="84"/>
              </w:rPr>
              <w:t>2026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5,604</w:t>
            </w:r>
          </w:p>
        </w:tc>
        <w:tc>
          <w:tcPr>
            <w:tcW w:w="100" w:type="dxa"/>
            <w:vAlign w:val="bottom"/>
            <w:shd w:val="clear" w:color="auto" w:fill="CCEEFF"/>
          </w:tcPr>
          <w:p>
            <w:pPr>
              <w:spacing w:after="0"/>
              <w:rPr>
                <w:sz w:val="19"/>
                <w:szCs w:val="19"/>
                <w:color w:val="auto"/>
              </w:rPr>
            </w:pPr>
          </w:p>
        </w:tc>
      </w:tr>
      <w:tr>
        <w:trPr>
          <w:trHeight w:val="226"/>
        </w:trPr>
        <w:tc>
          <w:tcPr>
            <w:tcW w:w="8660" w:type="dxa"/>
            <w:vAlign w:val="bottom"/>
            <w:gridSpan w:val="2"/>
          </w:tcPr>
          <w:p>
            <w:pPr>
              <w:spacing w:after="0"/>
              <w:rPr>
                <w:sz w:val="20"/>
                <w:szCs w:val="20"/>
                <w:color w:val="auto"/>
              </w:rPr>
            </w:pPr>
            <w:r>
              <w:rPr>
                <w:rFonts w:ascii="Arial" w:cs="Arial" w:eastAsia="Arial" w:hAnsi="Arial"/>
                <w:sz w:val="16"/>
                <w:szCs w:val="16"/>
                <w:color w:val="auto"/>
              </w:rPr>
              <w:t>2027 and on</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29,422</w:t>
            </w:r>
          </w:p>
        </w:tc>
        <w:tc>
          <w:tcPr>
            <w:tcW w:w="10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149,269</w:t>
            </w:r>
          </w:p>
        </w:tc>
        <w:tc>
          <w:tcPr>
            <w:tcW w:w="100" w:type="dxa"/>
            <w:vAlign w:val="bottom"/>
            <w:shd w:val="clear" w:color="auto" w:fill="CCEEFF"/>
          </w:tcPr>
          <w:p>
            <w:pPr>
              <w:spacing w:after="0"/>
              <w:rPr>
                <w:sz w:val="19"/>
                <w:szCs w:val="19"/>
                <w:color w:val="auto"/>
              </w:rPr>
            </w:pPr>
          </w:p>
        </w:tc>
      </w:tr>
      <w:tr>
        <w:trPr>
          <w:trHeight w:val="221"/>
        </w:trPr>
        <w:tc>
          <w:tcPr>
            <w:tcW w:w="8660" w:type="dxa"/>
            <w:vAlign w:val="bottom"/>
            <w:gridSpan w:val="2"/>
          </w:tcPr>
          <w:p>
            <w:pPr>
              <w:spacing w:after="0"/>
              <w:rPr>
                <w:sz w:val="20"/>
                <w:szCs w:val="20"/>
                <w:color w:val="auto"/>
              </w:rPr>
            </w:pPr>
            <w:r>
              <w:rPr>
                <w:rFonts w:ascii="Arial" w:cs="Arial" w:eastAsia="Arial" w:hAnsi="Arial"/>
                <w:sz w:val="16"/>
                <w:szCs w:val="16"/>
                <w:color w:val="auto"/>
              </w:rPr>
              <w:t>Less - imputed interest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(8,196)</w:t>
            </w:r>
          </w:p>
        </w:tc>
      </w:tr>
      <w:tr>
        <w:trPr>
          <w:trHeight w:val="25"/>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141,073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8" w:lineRule="exact"/>
        <w:rPr>
          <w:sz w:val="20"/>
          <w:szCs w:val="20"/>
          <w:color w:val="auto"/>
        </w:rPr>
      </w:pPr>
    </w:p>
    <w:p>
      <w:pPr>
        <w:ind w:left="1300" w:hanging="318"/>
        <w:spacing w:after="0"/>
        <w:tabs>
          <w:tab w:leader="none" w:pos="130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Lease Agreements</w:t>
      </w:r>
    </w:p>
    <w:p>
      <w:pPr>
        <w:spacing w:after="0" w:line="201" w:lineRule="exact"/>
        <w:rPr>
          <w:rFonts w:ascii="Arial" w:cs="Arial" w:eastAsia="Arial" w:hAnsi="Arial"/>
          <w:sz w:val="16"/>
          <w:szCs w:val="16"/>
          <w:b w:val="1"/>
          <w:bCs w:val="1"/>
          <w:color w:val="auto"/>
        </w:rPr>
      </w:pPr>
    </w:p>
    <w:p>
      <w:pPr>
        <w:ind w:left="1300"/>
        <w:spacing w:after="0" w:line="363" w:lineRule="auto"/>
        <w:rPr>
          <w:rFonts w:ascii="Arial" w:cs="Arial" w:eastAsia="Arial" w:hAnsi="Arial"/>
          <w:sz w:val="16"/>
          <w:szCs w:val="16"/>
          <w:b w:val="1"/>
          <w:bCs w:val="1"/>
          <w:color w:val="auto"/>
        </w:rPr>
      </w:pPr>
      <w:r>
        <w:rPr>
          <w:rFonts w:ascii="Arial" w:cs="Arial" w:eastAsia="Arial" w:hAnsi="Arial"/>
          <w:sz w:val="14"/>
          <w:szCs w:val="14"/>
          <w:color w:val="auto"/>
        </w:rPr>
        <w:t>The Company enters into operating leases from time to time for office space, operating facilities and vehicles. Operating lease cost for the years ended December 31, 2021, 2020 and 2019 was $7,535, $7,627 and $8,045, respectively. During 2021, cash paid for operating lease liabilities was $7,069.</w:t>
      </w:r>
    </w:p>
    <w:p>
      <w:pPr>
        <w:spacing w:after="0" w:line="78"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6"/>
          <w:szCs w:val="16"/>
          <w:color w:val="auto"/>
        </w:rPr>
        <w:t>The following presents the composition of operating leases in the balance sheets: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6"/>
                <w:szCs w:val="16"/>
                <w:color w:val="auto"/>
                <w:w w:val="89"/>
              </w:rPr>
              <w:t>December 31,</w:t>
            </w:r>
          </w:p>
        </w:tc>
        <w:tc>
          <w:tcPr>
            <w:tcW w:w="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December 31,</w:t>
            </w:r>
          </w:p>
        </w:tc>
      </w:tr>
      <w:tr>
        <w:trPr>
          <w:trHeight w:val="214"/>
        </w:trPr>
        <w:tc>
          <w:tcPr>
            <w:tcW w:w="4660" w:type="dxa"/>
            <w:vAlign w:val="bottom"/>
            <w:gridSpan w:val="2"/>
          </w:tcPr>
          <w:p>
            <w:pPr>
              <w:ind w:left="1300"/>
              <w:spacing w:after="0"/>
              <w:rPr>
                <w:sz w:val="20"/>
                <w:szCs w:val="20"/>
                <w:color w:val="auto"/>
              </w:rPr>
            </w:pPr>
            <w:r>
              <w:rPr>
                <w:rFonts w:ascii="Arial" w:cs="Arial" w:eastAsia="Arial" w:hAnsi="Arial"/>
                <w:sz w:val="16"/>
                <w:szCs w:val="16"/>
                <w:color w:val="auto"/>
              </w:rPr>
              <w:t>Details</w:t>
            </w:r>
          </w:p>
        </w:tc>
        <w:tc>
          <w:tcPr>
            <w:tcW w:w="280" w:type="dxa"/>
            <w:vAlign w:val="bottom"/>
          </w:tcPr>
          <w:p>
            <w:pPr>
              <w:spacing w:after="0"/>
              <w:rPr>
                <w:sz w:val="18"/>
                <w:szCs w:val="18"/>
                <w:color w:val="auto"/>
              </w:rPr>
            </w:pPr>
          </w:p>
        </w:tc>
        <w:tc>
          <w:tcPr>
            <w:tcW w:w="36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w w:val="97"/>
              </w:rPr>
              <w:t>Classification in the Consolidated Balance Sheets</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2021</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18"/>
                <w:szCs w:val="18"/>
                <w:color w:val="auto"/>
              </w:rPr>
            </w:pPr>
          </w:p>
        </w:tc>
      </w:tr>
      <w:tr>
        <w:trPr>
          <w:trHeight w:val="217"/>
        </w:trPr>
        <w:tc>
          <w:tcPr>
            <w:tcW w:w="13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Right of use - assets under operating leases</w:t>
            </w:r>
          </w:p>
        </w:tc>
        <w:tc>
          <w:tcPr>
            <w:tcW w:w="3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tax and other long-term assets, net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14,113</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18,990</w:t>
            </w:r>
          </w:p>
        </w:tc>
        <w:tc>
          <w:tcPr>
            <w:tcW w:w="140" w:type="dxa"/>
            <w:vAlign w:val="bottom"/>
            <w:shd w:val="clear" w:color="auto" w:fill="CCEEFF"/>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4660" w:type="dxa"/>
            <w:vAlign w:val="bottom"/>
            <w:gridSpan w:val="2"/>
          </w:tcPr>
          <w:p>
            <w:pPr>
              <w:ind w:left="1300"/>
              <w:spacing w:after="0"/>
              <w:rPr>
                <w:sz w:val="20"/>
                <w:szCs w:val="20"/>
                <w:color w:val="auto"/>
              </w:rPr>
            </w:pPr>
            <w:r>
              <w:rPr>
                <w:rFonts w:ascii="Arial" w:cs="Arial" w:eastAsia="Arial" w:hAnsi="Arial"/>
                <w:sz w:val="16"/>
                <w:szCs w:val="16"/>
                <w:color w:val="auto"/>
              </w:rPr>
              <w:t>Lease liabilities:</w:t>
            </w:r>
          </w:p>
        </w:tc>
        <w:tc>
          <w:tcPr>
            <w:tcW w:w="2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2"/>
        </w:trPr>
        <w:tc>
          <w:tcPr>
            <w:tcW w:w="132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Current operating lease liabilities</w:t>
            </w:r>
          </w:p>
        </w:tc>
        <w:tc>
          <w:tcPr>
            <w:tcW w:w="3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Current maturities of long-term debt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4,512</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6,550</w:t>
            </w:r>
          </w:p>
        </w:tc>
        <w:tc>
          <w:tcPr>
            <w:tcW w:w="140" w:type="dxa"/>
            <w:vAlign w:val="bottom"/>
            <w:shd w:val="clear" w:color="auto" w:fill="CCEEFF"/>
          </w:tcPr>
          <w:p>
            <w:pPr>
              <w:spacing w:after="0"/>
              <w:rPr>
                <w:sz w:val="19"/>
                <w:szCs w:val="19"/>
                <w:color w:val="auto"/>
              </w:rPr>
            </w:pPr>
          </w:p>
        </w:tc>
      </w:tr>
      <w:tr>
        <w:trPr>
          <w:trHeight w:val="226"/>
        </w:trPr>
        <w:tc>
          <w:tcPr>
            <w:tcW w:w="4660" w:type="dxa"/>
            <w:vAlign w:val="bottom"/>
            <w:gridSpan w:val="2"/>
          </w:tcPr>
          <w:p>
            <w:pPr>
              <w:ind w:left="1300"/>
              <w:spacing w:after="0"/>
              <w:rPr>
                <w:sz w:val="20"/>
                <w:szCs w:val="20"/>
                <w:color w:val="auto"/>
              </w:rPr>
            </w:pPr>
            <w:r>
              <w:rPr>
                <w:rFonts w:ascii="Arial" w:cs="Arial" w:eastAsia="Arial" w:hAnsi="Arial"/>
                <w:sz w:val="16"/>
                <w:szCs w:val="16"/>
                <w:color w:val="auto"/>
              </w:rPr>
              <w:t>Long-term operating lease liabilities</w:t>
            </w:r>
          </w:p>
        </w:tc>
        <w:tc>
          <w:tcPr>
            <w:tcW w:w="3940" w:type="dxa"/>
            <w:vAlign w:val="bottom"/>
            <w:gridSpan w:val="2"/>
          </w:tcPr>
          <w:p>
            <w:pPr>
              <w:ind w:left="280"/>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9,601</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12,440</w:t>
            </w:r>
          </w:p>
        </w:tc>
        <w:tc>
          <w:tcPr>
            <w:tcW w:w="140" w:type="dxa"/>
            <w:vAlign w:val="bottom"/>
          </w:tcPr>
          <w:p>
            <w:pPr>
              <w:spacing w:after="0"/>
              <w:rPr>
                <w:sz w:val="19"/>
                <w:szCs w:val="19"/>
                <w:color w:val="auto"/>
              </w:rPr>
            </w:pPr>
          </w:p>
        </w:tc>
      </w:tr>
      <w:tr>
        <w:trPr>
          <w:trHeight w:val="217"/>
        </w:trPr>
        <w:tc>
          <w:tcPr>
            <w:tcW w:w="13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lease liabilities</w:t>
            </w:r>
          </w:p>
        </w:tc>
        <w:tc>
          <w:tcPr>
            <w:tcW w:w="2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14,113</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18,990</w:t>
            </w:r>
          </w:p>
        </w:tc>
        <w:tc>
          <w:tcPr>
            <w:tcW w:w="140" w:type="dxa"/>
            <w:vAlign w:val="bottom"/>
            <w:shd w:val="clear" w:color="auto" w:fill="CCEEFF"/>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4660" w:type="dxa"/>
            <w:vAlign w:val="bottom"/>
            <w:gridSpan w:val="2"/>
          </w:tcPr>
          <w:p>
            <w:pPr>
              <w:ind w:left="1300"/>
              <w:spacing w:after="0"/>
              <w:rPr>
                <w:sz w:val="20"/>
                <w:szCs w:val="20"/>
                <w:color w:val="auto"/>
              </w:rPr>
            </w:pPr>
            <w:r>
              <w:rPr>
                <w:rFonts w:ascii="Arial" w:cs="Arial" w:eastAsia="Arial" w:hAnsi="Arial"/>
                <w:sz w:val="16"/>
                <w:szCs w:val="16"/>
                <w:color w:val="auto"/>
                <w:w w:val="98"/>
              </w:rPr>
              <w:t>Weighted average remaining lease term (years)</w:t>
            </w:r>
          </w:p>
        </w:tc>
        <w:tc>
          <w:tcPr>
            <w:tcW w:w="2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4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8"/>
        </w:trPr>
        <w:tc>
          <w:tcPr>
            <w:tcW w:w="13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discount rate</w:t>
            </w:r>
          </w:p>
        </w:tc>
        <w:tc>
          <w:tcPr>
            <w:tcW w:w="28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1.94%</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1.94%</w:t>
            </w:r>
          </w:p>
        </w:tc>
      </w:tr>
      <w:tr>
        <w:trPr>
          <w:trHeight w:val="369"/>
        </w:trPr>
        <w:tc>
          <w:tcPr>
            <w:tcW w:w="1320" w:type="dxa"/>
            <w:vAlign w:val="bottom"/>
          </w:tcPr>
          <w:p>
            <w:pPr>
              <w:spacing w:after="0"/>
              <w:rPr>
                <w:sz w:val="24"/>
                <w:szCs w:val="24"/>
                <w:color w:val="auto"/>
              </w:rPr>
            </w:pPr>
          </w:p>
        </w:tc>
        <w:tc>
          <w:tcPr>
            <w:tcW w:w="33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660" w:type="dxa"/>
            <w:vAlign w:val="bottom"/>
            <w:tcBorders>
              <w:top w:val="single" w:sz="8" w:color="CCEEFF"/>
            </w:tcBorders>
          </w:tcPr>
          <w:p>
            <w:pPr>
              <w:ind w:left="480"/>
              <w:spacing w:after="0"/>
              <w:rPr>
                <w:sz w:val="20"/>
                <w:szCs w:val="20"/>
                <w:color w:val="auto"/>
              </w:rPr>
            </w:pPr>
            <w:r>
              <w:rPr>
                <w:rFonts w:ascii="Arial" w:cs="Arial" w:eastAsia="Arial" w:hAnsi="Arial"/>
                <w:sz w:val="16"/>
                <w:szCs w:val="16"/>
                <w:color w:val="auto"/>
              </w:rPr>
              <w:t>F - 23</w:t>
            </w:r>
          </w:p>
        </w:tc>
        <w:tc>
          <w:tcPr>
            <w:tcW w:w="16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223"/>
        </w:trPr>
        <w:tc>
          <w:tcPr>
            <w:tcW w:w="1320" w:type="dxa"/>
            <w:vAlign w:val="bottom"/>
            <w:tcBorders>
              <w:bottom w:val="single" w:sz="8" w:color="EEEEEE"/>
            </w:tcBorders>
          </w:tcPr>
          <w:p>
            <w:pPr>
              <w:spacing w:after="0"/>
              <w:rPr>
                <w:sz w:val="19"/>
                <w:szCs w:val="19"/>
                <w:color w:val="auto"/>
              </w:rPr>
            </w:pPr>
          </w:p>
        </w:tc>
        <w:tc>
          <w:tcPr>
            <w:tcW w:w="3340" w:type="dxa"/>
            <w:vAlign w:val="bottom"/>
            <w:tcBorders>
              <w:bottom w:val="single" w:sz="8" w:color="EEEEEE"/>
            </w:tcBorders>
          </w:tcPr>
          <w:p>
            <w:pPr>
              <w:spacing w:after="0"/>
              <w:rPr>
                <w:sz w:val="19"/>
                <w:szCs w:val="19"/>
                <w:color w:val="auto"/>
              </w:rPr>
            </w:pPr>
          </w:p>
        </w:tc>
        <w:tc>
          <w:tcPr>
            <w:tcW w:w="280" w:type="dxa"/>
            <w:vAlign w:val="bottom"/>
            <w:tcBorders>
              <w:bottom w:val="single" w:sz="8" w:color="EEEEEE"/>
            </w:tcBorders>
          </w:tcPr>
          <w:p>
            <w:pPr>
              <w:spacing w:after="0"/>
              <w:rPr>
                <w:sz w:val="19"/>
                <w:szCs w:val="19"/>
                <w:color w:val="auto"/>
              </w:rPr>
            </w:pPr>
          </w:p>
        </w:tc>
        <w:tc>
          <w:tcPr>
            <w:tcW w:w="366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02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10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-35560</wp:posOffset>
            </wp:positionV>
            <wp:extent cx="7169785" cy="488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7"/>
        </w:trPr>
        <w:tc>
          <w:tcPr>
            <w:tcW w:w="1320" w:type="dxa"/>
            <w:vAlign w:val="bottom"/>
          </w:tcPr>
          <w:p>
            <w:pPr>
              <w:spacing w:after="0"/>
              <w:rPr>
                <w:sz w:val="17"/>
                <w:szCs w:val="17"/>
                <w:color w:val="auto"/>
              </w:rPr>
            </w:pPr>
          </w:p>
        </w:tc>
        <w:tc>
          <w:tcPr>
            <w:tcW w:w="8640" w:type="dxa"/>
            <w:vAlign w:val="bottom"/>
          </w:tcPr>
          <w:p>
            <w:pPr>
              <w:jc w:val="center"/>
              <w:spacing w:after="0"/>
              <w:rPr>
                <w:sz w:val="20"/>
                <w:szCs w:val="20"/>
                <w:color w:val="auto"/>
              </w:rPr>
            </w:pPr>
            <w:r>
              <w:rPr>
                <w:rFonts w:ascii="Arial" w:cs="Arial" w:eastAsia="Arial" w:hAnsi="Arial"/>
                <w:sz w:val="16"/>
                <w:szCs w:val="16"/>
                <w:b w:val="1"/>
                <w:bCs w:val="1"/>
                <w:color w:val="auto"/>
              </w:rPr>
              <w:t>TOWER SEMICONDUCTOR LTD. AND SUBSIDIARIES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320" w:type="dxa"/>
            <w:vAlign w:val="bottom"/>
          </w:tcPr>
          <w:p>
            <w:pPr>
              <w:spacing w:after="0"/>
              <w:rPr>
                <w:sz w:val="17"/>
                <w:szCs w:val="17"/>
                <w:color w:val="auto"/>
              </w:rPr>
            </w:pPr>
          </w:p>
        </w:tc>
        <w:tc>
          <w:tcPr>
            <w:tcW w:w="8640" w:type="dxa"/>
            <w:vAlign w:val="bottom"/>
          </w:tcPr>
          <w:p>
            <w:pPr>
              <w:jc w:val="center"/>
              <w:spacing w:after="0"/>
              <w:rPr>
                <w:sz w:val="20"/>
                <w:szCs w:val="20"/>
                <w:color w:val="auto"/>
              </w:rPr>
            </w:pPr>
            <w:r>
              <w:rPr>
                <w:rFonts w:ascii="Arial" w:cs="Arial" w:eastAsia="Arial" w:hAnsi="Arial"/>
                <w:sz w:val="16"/>
                <w:szCs w:val="16"/>
                <w:b w:val="1"/>
                <w:bCs w:val="1"/>
                <w:color w:val="auto"/>
              </w:rPr>
              <w:t>NOTES TO CONSOLIDATED FINANCIAL STATEMENTS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1320" w:type="dxa"/>
            <w:vAlign w:val="bottom"/>
          </w:tcPr>
          <w:p>
            <w:pPr>
              <w:spacing w:after="0"/>
              <w:rPr>
                <w:sz w:val="17"/>
                <w:szCs w:val="17"/>
                <w:color w:val="auto"/>
              </w:rPr>
            </w:pPr>
          </w:p>
        </w:tc>
        <w:tc>
          <w:tcPr>
            <w:tcW w:w="8640" w:type="dxa"/>
            <w:vAlign w:val="bottom"/>
          </w:tcPr>
          <w:p>
            <w:pPr>
              <w:jc w:val="center"/>
              <w:spacing w:after="0"/>
              <w:rPr>
                <w:sz w:val="20"/>
                <w:szCs w:val="20"/>
                <w:color w:val="auto"/>
              </w:rPr>
            </w:pPr>
            <w:r>
              <w:rPr>
                <w:rFonts w:ascii="Arial" w:cs="Arial" w:eastAsia="Arial" w:hAnsi="Arial"/>
                <w:sz w:val="16"/>
                <w:szCs w:val="16"/>
                <w:b w:val="1"/>
                <w:bCs w:val="1"/>
                <w:color w:val="auto"/>
                <w:w w:val="98"/>
              </w:rPr>
              <w:t>AS OF DECEMBER 31, 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1320" w:type="dxa"/>
            <w:vAlign w:val="bottom"/>
          </w:tcPr>
          <w:p>
            <w:pPr>
              <w:spacing w:after="0"/>
              <w:rPr>
                <w:sz w:val="18"/>
                <w:szCs w:val="18"/>
                <w:color w:val="auto"/>
              </w:rPr>
            </w:pPr>
          </w:p>
        </w:tc>
        <w:tc>
          <w:tcPr>
            <w:tcW w:w="8640" w:type="dxa"/>
            <w:vAlign w:val="bottom"/>
          </w:tcPr>
          <w:p>
            <w:pPr>
              <w:jc w:val="center"/>
              <w:spacing w:after="0"/>
              <w:rPr>
                <w:sz w:val="20"/>
                <w:szCs w:val="20"/>
                <w:color w:val="auto"/>
              </w:rPr>
            </w:pPr>
            <w:r>
              <w:rPr>
                <w:rFonts w:ascii="Arial" w:cs="Arial" w:eastAsia="Arial" w:hAnsi="Arial"/>
                <w:sz w:val="16"/>
                <w:szCs w:val="16"/>
                <w:color w:val="auto"/>
                <w:w w:val="90"/>
              </w:rPr>
              <w:t>(dollars in thousands, except per share data)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1"/>
        </w:trPr>
        <w:tc>
          <w:tcPr>
            <w:tcW w:w="9960" w:type="dxa"/>
            <w:vAlign w:val="bottom"/>
            <w:gridSpan w:val="2"/>
          </w:tcPr>
          <w:p>
            <w:pPr>
              <w:jc w:val="right"/>
              <w:ind w:right="5878"/>
              <w:spacing w:after="0"/>
              <w:rPr>
                <w:sz w:val="20"/>
                <w:szCs w:val="20"/>
                <w:color w:val="auto"/>
              </w:rPr>
            </w:pPr>
            <w:r>
              <w:rPr>
                <w:rFonts w:ascii="Arial" w:cs="Arial" w:eastAsia="Arial" w:hAnsi="Arial"/>
                <w:sz w:val="16"/>
                <w:szCs w:val="16"/>
                <w:b w:val="1"/>
                <w:bCs w:val="1"/>
                <w:color w:val="auto"/>
              </w:rPr>
              <w:t>NOTE 11:   OTHER LONG-TERM DEBT (Continued)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9960" w:type="dxa"/>
            <w:vAlign w:val="bottom"/>
            <w:gridSpan w:val="2"/>
          </w:tcPr>
          <w:p>
            <w:pPr>
              <w:ind w:left="1300"/>
              <w:spacing w:after="0"/>
              <w:rPr>
                <w:sz w:val="20"/>
                <w:szCs w:val="20"/>
                <w:color w:val="auto"/>
              </w:rPr>
            </w:pPr>
            <w:r>
              <w:rPr>
                <w:rFonts w:ascii="Arial" w:cs="Arial" w:eastAsia="Arial" w:hAnsi="Arial"/>
                <w:sz w:val="16"/>
                <w:szCs w:val="16"/>
                <w:color w:val="auto"/>
              </w:rPr>
              <w:t>The following presents the maturity presentation of operating lease liabilities as of December 31, 2021: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2"/>
        </w:trPr>
        <w:tc>
          <w:tcPr>
            <w:tcW w:w="9960" w:type="dxa"/>
            <w:vAlign w:val="bottom"/>
            <w:gridSpan w:val="2"/>
          </w:tcPr>
          <w:p>
            <w:pPr>
              <w:ind w:left="1300"/>
              <w:spacing w:after="0"/>
              <w:rPr>
                <w:sz w:val="20"/>
                <w:szCs w:val="20"/>
                <w:color w:val="auto"/>
              </w:rPr>
            </w:pPr>
            <w:r>
              <w:rPr>
                <w:rFonts w:ascii="Arial" w:cs="Arial" w:eastAsia="Arial" w:hAnsi="Arial"/>
                <w:sz w:val="16"/>
                <w:szCs w:val="16"/>
                <w:color w:val="auto"/>
              </w:rPr>
              <w:t>Fiscal Year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w w:val="98"/>
              </w:rPr>
              <w:t>Amount ($)</w:t>
            </w:r>
          </w:p>
        </w:tc>
      </w:tr>
      <w:tr>
        <w:trPr>
          <w:trHeight w:val="25"/>
        </w:trPr>
        <w:tc>
          <w:tcPr>
            <w:tcW w:w="1320" w:type="dxa"/>
            <w:vAlign w:val="bottom"/>
          </w:tcPr>
          <w:p>
            <w:pPr>
              <w:spacing w:after="0"/>
              <w:rPr>
                <w:sz w:val="2"/>
                <w:szCs w:val="2"/>
                <w:color w:val="auto"/>
              </w:rPr>
            </w:pPr>
          </w:p>
        </w:tc>
        <w:tc>
          <w:tcPr>
            <w:tcW w:w="8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1320" w:type="dxa"/>
            <w:vAlign w:val="bottom"/>
          </w:tcPr>
          <w:p>
            <w:pPr>
              <w:spacing w:after="0"/>
              <w:rPr>
                <w:sz w:val="19"/>
                <w:szCs w:val="19"/>
                <w:color w:val="auto"/>
              </w:rPr>
            </w:pPr>
          </w:p>
        </w:tc>
        <w:tc>
          <w:tcPr>
            <w:tcW w:w="8640" w:type="dxa"/>
            <w:vAlign w:val="bottom"/>
            <w:shd w:val="clear" w:color="auto" w:fill="CCEEFF"/>
          </w:tcPr>
          <w:p>
            <w:pPr>
              <w:jc w:val="right"/>
              <w:ind w:right="8238"/>
              <w:spacing w:after="0"/>
              <w:rPr>
                <w:sz w:val="20"/>
                <w:szCs w:val="20"/>
                <w:color w:val="auto"/>
              </w:rPr>
            </w:pPr>
            <w:r>
              <w:rPr>
                <w:rFonts w:ascii="Arial" w:cs="Arial" w:eastAsia="Arial" w:hAnsi="Arial"/>
                <w:sz w:val="16"/>
                <w:szCs w:val="16"/>
                <w:color w:val="auto"/>
                <w:w w:val="84"/>
              </w:rPr>
              <w:t>2022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4,532</w:t>
            </w:r>
          </w:p>
        </w:tc>
        <w:tc>
          <w:tcPr>
            <w:tcW w:w="100" w:type="dxa"/>
            <w:vAlign w:val="bottom"/>
            <w:shd w:val="clear" w:color="auto" w:fill="CCEEFF"/>
          </w:tcPr>
          <w:p>
            <w:pPr>
              <w:spacing w:after="0"/>
              <w:rPr>
                <w:sz w:val="19"/>
                <w:szCs w:val="19"/>
                <w:color w:val="auto"/>
              </w:rPr>
            </w:pPr>
          </w:p>
        </w:tc>
      </w:tr>
      <w:tr>
        <w:trPr>
          <w:trHeight w:val="221"/>
        </w:trPr>
        <w:tc>
          <w:tcPr>
            <w:tcW w:w="9960" w:type="dxa"/>
            <w:vAlign w:val="bottom"/>
            <w:gridSpan w:val="2"/>
          </w:tcPr>
          <w:p>
            <w:pPr>
              <w:jc w:val="right"/>
              <w:ind w:right="8238"/>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2,711</w:t>
            </w:r>
          </w:p>
        </w:tc>
        <w:tc>
          <w:tcPr>
            <w:tcW w:w="100" w:type="dxa"/>
            <w:vAlign w:val="bottom"/>
          </w:tcPr>
          <w:p>
            <w:pPr>
              <w:spacing w:after="0"/>
              <w:rPr>
                <w:sz w:val="19"/>
                <w:szCs w:val="19"/>
                <w:color w:val="auto"/>
              </w:rPr>
            </w:pPr>
          </w:p>
        </w:tc>
      </w:tr>
      <w:tr>
        <w:trPr>
          <w:trHeight w:val="222"/>
        </w:trPr>
        <w:tc>
          <w:tcPr>
            <w:tcW w:w="1320" w:type="dxa"/>
            <w:vAlign w:val="bottom"/>
          </w:tcPr>
          <w:p>
            <w:pPr>
              <w:spacing w:after="0"/>
              <w:rPr>
                <w:sz w:val="19"/>
                <w:szCs w:val="19"/>
                <w:color w:val="auto"/>
              </w:rPr>
            </w:pPr>
          </w:p>
        </w:tc>
        <w:tc>
          <w:tcPr>
            <w:tcW w:w="8640" w:type="dxa"/>
            <w:vAlign w:val="bottom"/>
            <w:shd w:val="clear" w:color="auto" w:fill="CCEEFF"/>
          </w:tcPr>
          <w:p>
            <w:pPr>
              <w:jc w:val="right"/>
              <w:ind w:right="8238"/>
              <w:spacing w:after="0"/>
              <w:rPr>
                <w:sz w:val="20"/>
                <w:szCs w:val="20"/>
                <w:color w:val="auto"/>
              </w:rPr>
            </w:pPr>
            <w:r>
              <w:rPr>
                <w:rFonts w:ascii="Arial" w:cs="Arial" w:eastAsia="Arial" w:hAnsi="Arial"/>
                <w:sz w:val="16"/>
                <w:szCs w:val="16"/>
                <w:color w:val="auto"/>
                <w:w w:val="84"/>
              </w:rPr>
              <w:t>2024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100" w:type="dxa"/>
            <w:vAlign w:val="bottom"/>
            <w:shd w:val="clear" w:color="auto" w:fill="CCEEFF"/>
          </w:tcPr>
          <w:p>
            <w:pPr>
              <w:spacing w:after="0"/>
              <w:rPr>
                <w:sz w:val="19"/>
                <w:szCs w:val="19"/>
                <w:color w:val="auto"/>
              </w:rPr>
            </w:pPr>
          </w:p>
        </w:tc>
      </w:tr>
      <w:tr>
        <w:trPr>
          <w:trHeight w:val="221"/>
        </w:trPr>
        <w:tc>
          <w:tcPr>
            <w:tcW w:w="9960" w:type="dxa"/>
            <w:vAlign w:val="bottom"/>
            <w:gridSpan w:val="2"/>
          </w:tcPr>
          <w:p>
            <w:pPr>
              <w:jc w:val="right"/>
              <w:ind w:right="8238"/>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2,202</w:t>
            </w:r>
          </w:p>
        </w:tc>
        <w:tc>
          <w:tcPr>
            <w:tcW w:w="100" w:type="dxa"/>
            <w:vAlign w:val="bottom"/>
          </w:tcPr>
          <w:p>
            <w:pPr>
              <w:spacing w:after="0"/>
              <w:rPr>
                <w:sz w:val="19"/>
                <w:szCs w:val="19"/>
                <w:color w:val="auto"/>
              </w:rPr>
            </w:pPr>
          </w:p>
        </w:tc>
      </w:tr>
      <w:tr>
        <w:trPr>
          <w:trHeight w:val="222"/>
        </w:trPr>
        <w:tc>
          <w:tcPr>
            <w:tcW w:w="1320" w:type="dxa"/>
            <w:vAlign w:val="bottom"/>
          </w:tcPr>
          <w:p>
            <w:pPr>
              <w:spacing w:after="0"/>
              <w:rPr>
                <w:sz w:val="19"/>
                <w:szCs w:val="19"/>
                <w:color w:val="auto"/>
              </w:rPr>
            </w:pPr>
          </w:p>
        </w:tc>
        <w:tc>
          <w:tcPr>
            <w:tcW w:w="8640" w:type="dxa"/>
            <w:vAlign w:val="bottom"/>
            <w:shd w:val="clear" w:color="auto" w:fill="CCEEFF"/>
          </w:tcPr>
          <w:p>
            <w:pPr>
              <w:jc w:val="right"/>
              <w:ind w:right="8238"/>
              <w:spacing w:after="0"/>
              <w:rPr>
                <w:sz w:val="20"/>
                <w:szCs w:val="20"/>
                <w:color w:val="auto"/>
              </w:rPr>
            </w:pPr>
            <w:r>
              <w:rPr>
                <w:rFonts w:ascii="Arial" w:cs="Arial" w:eastAsia="Arial" w:hAnsi="Arial"/>
                <w:sz w:val="16"/>
                <w:szCs w:val="16"/>
                <w:color w:val="auto"/>
                <w:w w:val="84"/>
              </w:rPr>
              <w:t>2026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w:t>
            </w:r>
          </w:p>
        </w:tc>
        <w:tc>
          <w:tcPr>
            <w:tcW w:w="100" w:type="dxa"/>
            <w:vAlign w:val="bottom"/>
            <w:shd w:val="clear" w:color="auto" w:fill="CCEEFF"/>
          </w:tcPr>
          <w:p>
            <w:pPr>
              <w:spacing w:after="0"/>
              <w:rPr>
                <w:sz w:val="19"/>
                <w:szCs w:val="19"/>
                <w:color w:val="auto"/>
              </w:rPr>
            </w:pPr>
          </w:p>
        </w:tc>
      </w:tr>
      <w:tr>
        <w:trPr>
          <w:trHeight w:val="226"/>
        </w:trPr>
        <w:tc>
          <w:tcPr>
            <w:tcW w:w="9960" w:type="dxa"/>
            <w:vAlign w:val="bottom"/>
            <w:gridSpan w:val="2"/>
          </w:tcPr>
          <w:p>
            <w:pPr>
              <w:ind w:left="1300"/>
              <w:spacing w:after="0"/>
              <w:rPr>
                <w:sz w:val="20"/>
                <w:szCs w:val="20"/>
                <w:color w:val="auto"/>
              </w:rPr>
            </w:pPr>
            <w:r>
              <w:rPr>
                <w:rFonts w:ascii="Arial" w:cs="Arial" w:eastAsia="Arial" w:hAnsi="Arial"/>
                <w:sz w:val="16"/>
                <w:szCs w:val="16"/>
                <w:color w:val="auto"/>
              </w:rPr>
              <w:t>Thereafter</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19"/>
                <w:szCs w:val="19"/>
                <w:color w:val="auto"/>
              </w:rPr>
            </w:pPr>
          </w:p>
        </w:tc>
      </w:tr>
      <w:tr>
        <w:trPr>
          <w:trHeight w:val="221"/>
        </w:trPr>
        <w:tc>
          <w:tcPr>
            <w:tcW w:w="1320" w:type="dxa"/>
            <w:vAlign w:val="bottom"/>
          </w:tcPr>
          <w:p>
            <w:pPr>
              <w:spacing w:after="0"/>
              <w:rPr>
                <w:sz w:val="19"/>
                <w:szCs w:val="19"/>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14,565</w:t>
            </w:r>
          </w:p>
        </w:tc>
        <w:tc>
          <w:tcPr>
            <w:tcW w:w="100" w:type="dxa"/>
            <w:vAlign w:val="bottom"/>
            <w:shd w:val="clear" w:color="auto" w:fill="CCEEFF"/>
          </w:tcPr>
          <w:p>
            <w:pPr>
              <w:spacing w:after="0"/>
              <w:rPr>
                <w:sz w:val="19"/>
                <w:szCs w:val="19"/>
                <w:color w:val="auto"/>
              </w:rPr>
            </w:pPr>
          </w:p>
        </w:tc>
      </w:tr>
      <w:tr>
        <w:trPr>
          <w:trHeight w:val="221"/>
        </w:trPr>
        <w:tc>
          <w:tcPr>
            <w:tcW w:w="9960" w:type="dxa"/>
            <w:vAlign w:val="bottom"/>
            <w:gridSpan w:val="2"/>
          </w:tcPr>
          <w:p>
            <w:pPr>
              <w:ind w:left="1300"/>
              <w:spacing w:after="0"/>
              <w:rPr>
                <w:sz w:val="20"/>
                <w:szCs w:val="20"/>
                <w:color w:val="auto"/>
              </w:rPr>
            </w:pPr>
            <w:r>
              <w:rPr>
                <w:rFonts w:ascii="Arial" w:cs="Arial" w:eastAsia="Arial" w:hAnsi="Arial"/>
                <w:sz w:val="16"/>
                <w:szCs w:val="16"/>
                <w:color w:val="auto"/>
              </w:rPr>
              <w:t>Less – imputed interest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(452)</w:t>
            </w:r>
          </w:p>
        </w:tc>
      </w:tr>
      <w:tr>
        <w:trPr>
          <w:trHeight w:val="25"/>
        </w:trPr>
        <w:tc>
          <w:tcPr>
            <w:tcW w:w="13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13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14,113</w:t>
            </w:r>
          </w:p>
        </w:tc>
        <w:tc>
          <w:tcPr>
            <w:tcW w:w="100" w:type="dxa"/>
            <w:vAlign w:val="bottom"/>
            <w:shd w:val="clear" w:color="auto" w:fill="CCEEFF"/>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8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8" w:lineRule="exact"/>
        <w:rPr>
          <w:sz w:val="20"/>
          <w:szCs w:val="20"/>
          <w:color w:val="auto"/>
        </w:rPr>
      </w:pPr>
    </w:p>
    <w:p>
      <w:pPr>
        <w:ind w:left="1300" w:hanging="318"/>
        <w:spacing w:after="0"/>
        <w:tabs>
          <w:tab w:leader="none" w:pos="130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Wells Fargo Credit Line</w:t>
      </w:r>
    </w:p>
    <w:p>
      <w:pPr>
        <w:spacing w:after="0" w:line="213" w:lineRule="exact"/>
        <w:rPr>
          <w:rFonts w:ascii="Arial" w:cs="Arial" w:eastAsia="Arial" w:hAnsi="Arial"/>
          <w:sz w:val="16"/>
          <w:szCs w:val="16"/>
          <w:b w:val="1"/>
          <w:bCs w:val="1"/>
          <w:color w:val="auto"/>
        </w:rPr>
      </w:pPr>
    </w:p>
    <w:p>
      <w:pPr>
        <w:jc w:val="both"/>
        <w:ind w:left="1300"/>
        <w:spacing w:after="0" w:line="267" w:lineRule="auto"/>
        <w:rPr>
          <w:rFonts w:ascii="Arial" w:cs="Arial" w:eastAsia="Arial" w:hAnsi="Arial"/>
          <w:sz w:val="16"/>
          <w:szCs w:val="16"/>
          <w:b w:val="1"/>
          <w:bCs w:val="1"/>
          <w:color w:val="auto"/>
        </w:rPr>
      </w:pPr>
      <w:r>
        <w:rPr>
          <w:rFonts w:ascii="Arial" w:cs="Arial" w:eastAsia="Arial" w:hAnsi="Arial"/>
          <w:sz w:val="16"/>
          <w:szCs w:val="16"/>
          <w:color w:val="auto"/>
        </w:rPr>
        <w:t>TSNB entered into an agreement with Wells Fargo Capital Finance, part of Wells Fargo &amp; Company (“Wells Fargo”), for a secured asset-based revolving credit line in the total amount of up to $70,000, maturing in 2023 (the “TSNB Credit Line Agreement”). The applicable interest on loans under the TSNB Credit Line Agreement is at a rate equal to, at lender’s option, either the lender’s prime rate plus a margin ranging from 0.0% to 0.5% or the LIBOR rate plus a margin ranging from 1.25% to 1.75% per annum.</w:t>
      </w:r>
    </w:p>
    <w:p>
      <w:pPr>
        <w:spacing w:after="0" w:line="140" w:lineRule="exact"/>
        <w:rPr>
          <w:rFonts w:ascii="Arial" w:cs="Arial" w:eastAsia="Arial" w:hAnsi="Arial"/>
          <w:sz w:val="16"/>
          <w:szCs w:val="16"/>
          <w:b w:val="1"/>
          <w:bCs w:val="1"/>
          <w:color w:val="auto"/>
        </w:rPr>
      </w:pPr>
    </w:p>
    <w:p>
      <w:pPr>
        <w:jc w:val="both"/>
        <w:ind w:left="1300"/>
        <w:spacing w:after="0" w:line="264" w:lineRule="auto"/>
        <w:rPr>
          <w:rFonts w:ascii="Arial" w:cs="Arial" w:eastAsia="Arial" w:hAnsi="Arial"/>
          <w:sz w:val="16"/>
          <w:szCs w:val="16"/>
          <w:b w:val="1"/>
          <w:bCs w:val="1"/>
          <w:color w:val="auto"/>
        </w:rPr>
      </w:pPr>
      <w:r>
        <w:rPr>
          <w:rFonts w:ascii="Arial" w:cs="Arial" w:eastAsia="Arial" w:hAnsi="Arial"/>
          <w:sz w:val="16"/>
          <w:szCs w:val="16"/>
          <w:color w:val="auto"/>
        </w:rPr>
        <w:t>The outstanding borrowing availability varies from time to time based on the levels of TSNB’s eligible accounts receivable, eligible equipment, eligible inventories and other terms and conditions described in the TSNB Credit Line Agreement. The obligations of TSNB under the TSNB Credit Line Agreement are secured by a continuing security interest in, and a lien upon, TSNB’s assets as set forth in the TSNB Credit Line Agreement. The TSNB Credit Line Agreement contains customary covenants and other terms, including customary events of default. TSNB’s obligations pursuant to the TSNB Credit Line Agreement are not guaranteed by Tower or any of its affiliates.</w:t>
      </w:r>
    </w:p>
    <w:p>
      <w:pPr>
        <w:spacing w:after="0" w:line="156"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6"/>
          <w:szCs w:val="16"/>
          <w:color w:val="auto"/>
        </w:rPr>
        <w:t>As of December 31, 2021, TSNB was in compliance with all of the covenants under the TSNB Credit Line Agreement.</w:t>
      </w:r>
    </w:p>
    <w:p>
      <w:pPr>
        <w:spacing w:after="0" w:line="197" w:lineRule="exact"/>
        <w:rPr>
          <w:sz w:val="20"/>
          <w:szCs w:val="20"/>
          <w:color w:val="auto"/>
        </w:rPr>
      </w:pPr>
    </w:p>
    <w:p>
      <w:pPr>
        <w:ind w:left="1300"/>
        <w:spacing w:after="0" w:line="288" w:lineRule="auto"/>
        <w:rPr>
          <w:sz w:val="20"/>
          <w:szCs w:val="20"/>
          <w:color w:val="auto"/>
        </w:rPr>
      </w:pPr>
      <w:r>
        <w:rPr>
          <w:rFonts w:ascii="Arial" w:cs="Arial" w:eastAsia="Arial" w:hAnsi="Arial"/>
          <w:sz w:val="16"/>
          <w:szCs w:val="16"/>
          <w:color w:val="auto"/>
        </w:rPr>
        <w:t>As of December 31, 2021, borrowing availability under the TSNB Credit Line Agreement was approximately $56,000, of which approximately $500 was utilized through letters of credit.</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As of December 31, 2021, and 2020, no loan amounts were outstanding under the TSNB Credit Line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12:</w:t>
        <w:tab/>
        <w:t>FINANCIAL INSTRUMENTS AND FAIR VALUE MEASUREMENTS</w:t>
      </w:r>
    </w:p>
    <w:p>
      <w:pPr>
        <w:spacing w:after="0" w:line="189" w:lineRule="exact"/>
        <w:rPr>
          <w:sz w:val="20"/>
          <w:szCs w:val="20"/>
          <w:color w:val="auto"/>
        </w:rPr>
      </w:pPr>
    </w:p>
    <w:p>
      <w:pPr>
        <w:jc w:val="both"/>
        <w:ind w:left="1300"/>
        <w:spacing w:after="0" w:line="272" w:lineRule="auto"/>
        <w:rPr>
          <w:sz w:val="20"/>
          <w:szCs w:val="20"/>
          <w:color w:val="auto"/>
        </w:rPr>
      </w:pPr>
      <w:r>
        <w:rPr>
          <w:rFonts w:ascii="Arial" w:cs="Arial" w:eastAsia="Arial" w:hAnsi="Arial"/>
          <w:sz w:val="16"/>
          <w:szCs w:val="16"/>
          <w:color w:val="auto"/>
        </w:rPr>
        <w:t>The Company makes certain disclosures as detailed below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45" w:lineRule="exact"/>
        <w:rPr>
          <w:sz w:val="20"/>
          <w:szCs w:val="20"/>
          <w:color w:val="auto"/>
        </w:rPr>
      </w:pPr>
    </w:p>
    <w:p>
      <w:pPr>
        <w:ind w:left="1300" w:hanging="318"/>
        <w:spacing w:after="0"/>
        <w:tabs>
          <w:tab w:leader="none" w:pos="130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Non-Designated Exchange Rate Transactions</w:t>
      </w:r>
    </w:p>
    <w:p>
      <w:pPr>
        <w:spacing w:after="0" w:line="201" w:lineRule="exact"/>
        <w:rPr>
          <w:rFonts w:ascii="Arial" w:cs="Arial" w:eastAsia="Arial" w:hAnsi="Arial"/>
          <w:sz w:val="16"/>
          <w:szCs w:val="16"/>
          <w:b w:val="1"/>
          <w:bCs w:val="1"/>
          <w:color w:val="auto"/>
        </w:rPr>
      </w:pPr>
    </w:p>
    <w:p>
      <w:pPr>
        <w:jc w:val="both"/>
        <w:ind w:left="1300"/>
        <w:spacing w:after="0" w:line="272" w:lineRule="auto"/>
        <w:rPr>
          <w:rFonts w:ascii="Arial" w:cs="Arial" w:eastAsia="Arial" w:hAnsi="Arial"/>
          <w:sz w:val="16"/>
          <w:szCs w:val="16"/>
          <w:b w:val="1"/>
          <w:bCs w:val="1"/>
          <w:color w:val="auto"/>
        </w:rPr>
      </w:pPr>
      <w:r>
        <w:rPr>
          <w:rFonts w:ascii="Arial" w:cs="Arial" w:eastAsia="Arial" w:hAnsi="Arial"/>
          <w:sz w:val="16"/>
          <w:szCs w:val="16"/>
          <w:color w:val="auto"/>
        </w:rPr>
        <w:t>As the functional currency of Tower is the USD and part of Tower’s expenses are denominated in NIS, Tower enters into exchange rate agreements from time to time to partially protect against the volatility of future cash flows caused by changes in foreign exchange rates on NIS-denominated expenses.</w:t>
      </w:r>
    </w:p>
    <w:p>
      <w:pPr>
        <w:spacing w:after="0" w:line="136" w:lineRule="exact"/>
        <w:rPr>
          <w:rFonts w:ascii="Arial" w:cs="Arial" w:eastAsia="Arial" w:hAnsi="Arial"/>
          <w:sz w:val="16"/>
          <w:szCs w:val="16"/>
          <w:b w:val="1"/>
          <w:bCs w:val="1"/>
          <w:color w:val="auto"/>
        </w:rPr>
      </w:pPr>
    </w:p>
    <w:p>
      <w:pPr>
        <w:jc w:val="both"/>
        <w:ind w:left="1300"/>
        <w:spacing w:after="0" w:line="272" w:lineRule="auto"/>
        <w:rPr>
          <w:rFonts w:ascii="Arial" w:cs="Arial" w:eastAsia="Arial" w:hAnsi="Arial"/>
          <w:sz w:val="16"/>
          <w:szCs w:val="16"/>
          <w:b w:val="1"/>
          <w:bCs w:val="1"/>
          <w:color w:val="auto"/>
        </w:rPr>
      </w:pPr>
      <w:r>
        <w:rPr>
          <w:rFonts w:ascii="Arial" w:cs="Arial" w:eastAsia="Arial" w:hAnsi="Arial"/>
          <w:sz w:val="16"/>
          <w:szCs w:val="16"/>
          <w:color w:val="auto"/>
        </w:rPr>
        <w:t>As of December 31, 2021, the fair value amounts of such exchange rate agreements were $2,134 in an asset position, presented in other current assets with a face value of $67,500. As of December 31, 2020, the fair value amounts of such exchange rate agreements were $5,143 in an asset position, presented in other current assets with a face value of $51,000.</w:t>
      </w:r>
    </w:p>
    <w:p>
      <w:pPr>
        <w:spacing w:after="0" w:line="149"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6"/>
          <w:szCs w:val="16"/>
          <w:color w:val="auto"/>
        </w:rPr>
        <w:t>Changes in the fair values of such derivatives are presented in the statements of operations.</w:t>
      </w:r>
    </w:p>
    <w:p>
      <w:pPr>
        <w:spacing w:after="0" w:line="197" w:lineRule="exact"/>
        <w:rPr>
          <w:rFonts w:ascii="Arial" w:cs="Arial" w:eastAsia="Arial" w:hAnsi="Arial"/>
          <w:sz w:val="16"/>
          <w:szCs w:val="16"/>
          <w:b w:val="1"/>
          <w:bCs w:val="1"/>
          <w:color w:val="auto"/>
        </w:rPr>
      </w:pPr>
    </w:p>
    <w:p>
      <w:pPr>
        <w:jc w:val="both"/>
        <w:ind w:left="1300"/>
        <w:spacing w:after="0" w:line="286" w:lineRule="auto"/>
        <w:rPr>
          <w:rFonts w:ascii="Arial" w:cs="Arial" w:eastAsia="Arial" w:hAnsi="Arial"/>
          <w:sz w:val="16"/>
          <w:szCs w:val="16"/>
          <w:b w:val="1"/>
          <w:bCs w:val="1"/>
          <w:color w:val="auto"/>
        </w:rPr>
      </w:pPr>
      <w:r>
        <w:rPr>
          <w:rFonts w:ascii="Arial" w:cs="Arial" w:eastAsia="Arial" w:hAnsi="Arial"/>
          <w:sz w:val="15"/>
          <w:szCs w:val="15"/>
          <w:color w:val="auto"/>
        </w:rPr>
        <w:t>As the functional currency of the Company is the USD and part of TPSCo revenues and expenses are denominated in JPY, the Company enters into exchange rate agreements from time to time to protect against the volatility of future cash flows caused by changes in foreign exchange rates on JPY-denominated amounts. As of December 31, 2021, and 2020, the fair value amounts of such exchange rate agreements were $3,040 in a liability position and $150 in an asset position, respectively, presented in other current liabilities and other current assets, respectively, with a face value of $164,000 and $40,000, respectively. Changes in the fair value of such derivatives are presented in the statements of operations.</w:t>
      </w:r>
    </w:p>
    <w:p>
      <w:pPr>
        <w:spacing w:after="0" w:line="124" w:lineRule="exact"/>
        <w:rPr>
          <w:rFonts w:ascii="Arial" w:cs="Arial" w:eastAsia="Arial" w:hAnsi="Arial"/>
          <w:sz w:val="16"/>
          <w:szCs w:val="16"/>
          <w:b w:val="1"/>
          <w:bCs w:val="1"/>
          <w:color w:val="auto"/>
        </w:rPr>
      </w:pPr>
    </w:p>
    <w:p>
      <w:pPr>
        <w:ind w:left="1300" w:hanging="318"/>
        <w:spacing w:after="0"/>
        <w:tabs>
          <w:tab w:leader="none" w:pos="130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Concentration of Credit Risks</w:t>
      </w:r>
    </w:p>
    <w:p>
      <w:pPr>
        <w:spacing w:after="0" w:line="201" w:lineRule="exact"/>
        <w:rPr>
          <w:rFonts w:ascii="Arial" w:cs="Arial" w:eastAsia="Arial" w:hAnsi="Arial"/>
          <w:sz w:val="16"/>
          <w:szCs w:val="16"/>
          <w:b w:val="1"/>
          <w:bCs w:val="1"/>
          <w:color w:val="auto"/>
        </w:rPr>
      </w:pPr>
    </w:p>
    <w:p>
      <w:pPr>
        <w:jc w:val="both"/>
        <w:ind w:left="1300"/>
        <w:spacing w:after="0" w:line="267" w:lineRule="auto"/>
        <w:rPr>
          <w:rFonts w:ascii="Arial" w:cs="Arial" w:eastAsia="Arial" w:hAnsi="Arial"/>
          <w:sz w:val="16"/>
          <w:szCs w:val="16"/>
          <w:b w:val="1"/>
          <w:bCs w:val="1"/>
          <w:color w:val="auto"/>
        </w:rPr>
      </w:pPr>
      <w:r>
        <w:rPr>
          <w:rFonts w:ascii="Arial" w:cs="Arial" w:eastAsia="Arial" w:hAnsi="Arial"/>
          <w:sz w:val="16"/>
          <w:szCs w:val="16"/>
          <w:color w:val="auto"/>
        </w:rPr>
        <w:t>Financial instruments that potentially subject the Company to concentrations of credit risk consist principally of cash and cash equivalents, bank deposits, marketable securities, derivatives, trade receivables and government and other receivables. The Company's cash, deposits, marketable securities and derivatives are maintained with large and reputable banks and investment banks. The composition and maturities of investments are regularly monitored by the Company. Generally, these securities may be redeemed upon demand and bear minimal risk.</w:t>
      </w:r>
    </w:p>
    <w:p>
      <w:pPr>
        <w:spacing w:after="0" w:line="153" w:lineRule="exact"/>
        <w:rPr>
          <w:sz w:val="20"/>
          <w:szCs w:val="20"/>
          <w:color w:val="auto"/>
        </w:rPr>
      </w:pPr>
    </w:p>
    <w:p>
      <w:pPr>
        <w:jc w:val="both"/>
        <w:ind w:left="1300"/>
        <w:spacing w:after="0" w:line="272" w:lineRule="auto"/>
        <w:rPr>
          <w:sz w:val="20"/>
          <w:szCs w:val="20"/>
          <w:color w:val="auto"/>
        </w:rPr>
      </w:pPr>
      <w:r>
        <w:rPr>
          <w:rFonts w:ascii="Arial" w:cs="Arial" w:eastAsia="Arial" w:hAnsi="Arial"/>
          <w:sz w:val="16"/>
          <w:szCs w:val="16"/>
          <w:color w:val="auto"/>
        </w:rPr>
        <w:t>The Company generally does not require collateral for insurance of receivables; However, in certain circumstances, the Company obtains credit insurance or may require advance payments. An allowance for current expected credit losses is maintained with respect to trade accounts receivables and marketable securities. The Company performs ongoing credit evaluations of its customers.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NOTE 12:</w:t>
      </w:r>
      <w:r>
        <w:rPr>
          <w:sz w:val="20"/>
          <w:szCs w:val="20"/>
          <w:color w:val="auto"/>
        </w:rPr>
        <w:tab/>
      </w:r>
      <w:r>
        <w:rPr>
          <w:rFonts w:ascii="Arial" w:cs="Arial" w:eastAsia="Arial" w:hAnsi="Arial"/>
          <w:sz w:val="16"/>
          <w:szCs w:val="16"/>
          <w:b w:val="1"/>
          <w:bCs w:val="1"/>
          <w:color w:val="auto"/>
        </w:rPr>
        <w:t>FINANCIAL INSTRUMENTS AND FAIR VALUE MEASUREMENTS (Continued)</w:t>
      </w:r>
    </w:p>
    <w:p>
      <w:pPr>
        <w:spacing w:after="0" w:line="185" w:lineRule="exact"/>
        <w:rPr>
          <w:sz w:val="20"/>
          <w:szCs w:val="20"/>
          <w:color w:val="auto"/>
        </w:rPr>
      </w:pPr>
    </w:p>
    <w:p>
      <w:pPr>
        <w:ind w:left="1300" w:hanging="318"/>
        <w:spacing w:after="0"/>
        <w:tabs>
          <w:tab w:leader="none" w:pos="130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of Financial Instruments</w:t>
      </w:r>
    </w:p>
    <w:p>
      <w:pPr>
        <w:spacing w:after="0" w:line="201" w:lineRule="exact"/>
        <w:rPr>
          <w:rFonts w:ascii="Arial" w:cs="Arial" w:eastAsia="Arial" w:hAnsi="Arial"/>
          <w:sz w:val="16"/>
          <w:szCs w:val="16"/>
          <w:b w:val="1"/>
          <w:bCs w:val="1"/>
          <w:color w:val="auto"/>
        </w:rPr>
      </w:pPr>
    </w:p>
    <w:p>
      <w:pPr>
        <w:jc w:val="both"/>
        <w:ind w:left="1300"/>
        <w:spacing w:after="0" w:line="267" w:lineRule="auto"/>
        <w:rPr>
          <w:rFonts w:ascii="Arial" w:cs="Arial" w:eastAsia="Arial" w:hAnsi="Arial"/>
          <w:sz w:val="16"/>
          <w:szCs w:val="16"/>
          <w:b w:val="1"/>
          <w:bCs w:val="1"/>
          <w:color w:val="auto"/>
        </w:rPr>
      </w:pPr>
      <w:r>
        <w:rPr>
          <w:rFonts w:ascii="Arial" w:cs="Arial" w:eastAsia="Arial" w:hAnsi="Arial"/>
          <w:sz w:val="16"/>
          <w:szCs w:val="16"/>
          <w:color w:val="auto"/>
        </w:rPr>
        <w:t>The estimated fair values of the Company’s financial instruments, excluding debentures, do not materially differ from their respective carrying amounts as of December 31, 2021 and 2020. The fair value of debentures, based on quoted market prices as of December 31, 2021 and 2020, was approximately $66,000 and $107,000, respectively, compared to carrying amounts of approximately $64,000 and $102,000, for the above dates, respectively.</w:t>
      </w:r>
    </w:p>
    <w:p>
      <w:pPr>
        <w:spacing w:after="0" w:line="148" w:lineRule="exact"/>
        <w:rPr>
          <w:rFonts w:ascii="Arial" w:cs="Arial" w:eastAsia="Arial" w:hAnsi="Arial"/>
          <w:sz w:val="16"/>
          <w:szCs w:val="16"/>
          <w:b w:val="1"/>
          <w:bCs w:val="1"/>
          <w:color w:val="auto"/>
        </w:rPr>
      </w:pPr>
    </w:p>
    <w:p>
      <w:pPr>
        <w:ind w:left="1300" w:hanging="318"/>
        <w:spacing w:after="0"/>
        <w:tabs>
          <w:tab w:leader="none" w:pos="130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Designated Cash Flow Hedge Transactions</w:t>
      </w:r>
    </w:p>
    <w:p>
      <w:pPr>
        <w:spacing w:after="0" w:line="188" w:lineRule="exact"/>
        <w:rPr>
          <w:rFonts w:ascii="Arial" w:cs="Arial" w:eastAsia="Arial" w:hAnsi="Arial"/>
          <w:sz w:val="16"/>
          <w:szCs w:val="16"/>
          <w:b w:val="1"/>
          <w:bCs w:val="1"/>
          <w:color w:val="auto"/>
        </w:rPr>
      </w:pPr>
    </w:p>
    <w:p>
      <w:pPr>
        <w:ind w:left="130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The Company entered into designated cash flow hedging transactions using a cross-currency swap to mitigate the foreign exchange rate differences on principal and interest arising from the Series G Debentures’ denomination in NIS.</w:t>
      </w:r>
    </w:p>
    <w:p>
      <w:pPr>
        <w:spacing w:after="0" w:line="136" w:lineRule="exact"/>
        <w:rPr>
          <w:rFonts w:ascii="Arial" w:cs="Arial" w:eastAsia="Arial" w:hAnsi="Arial"/>
          <w:sz w:val="16"/>
          <w:szCs w:val="16"/>
          <w:b w:val="1"/>
          <w:bCs w:val="1"/>
          <w:color w:val="auto"/>
        </w:rPr>
      </w:pPr>
    </w:p>
    <w:p>
      <w:pPr>
        <w:jc w:val="both"/>
        <w:ind w:left="1300"/>
        <w:spacing w:after="0" w:line="272" w:lineRule="auto"/>
        <w:rPr>
          <w:rFonts w:ascii="Arial" w:cs="Arial" w:eastAsia="Arial" w:hAnsi="Arial"/>
          <w:sz w:val="16"/>
          <w:szCs w:val="16"/>
          <w:b w:val="1"/>
          <w:bCs w:val="1"/>
          <w:color w:val="auto"/>
        </w:rPr>
      </w:pPr>
      <w:r>
        <w:rPr>
          <w:rFonts w:ascii="Arial" w:cs="Arial" w:eastAsia="Arial" w:hAnsi="Arial"/>
          <w:sz w:val="16"/>
          <w:szCs w:val="16"/>
          <w:color w:val="auto"/>
        </w:rPr>
        <w:t>As of December 31, 2021, the fair value of the swap was $12,560 in an asset net position, of which $8,188 was presented in other current assets and $4,372 was presented in long-term assets. As of December 31, 2020, the fair value of the swap was $16,977 in an asset net position, of which $6,316 was presented in other current assets and $10,661 was presented in long-term assets.</w:t>
      </w:r>
    </w:p>
    <w:p>
      <w:pPr>
        <w:spacing w:after="0" w:line="149" w:lineRule="exact"/>
        <w:rPr>
          <w:rFonts w:ascii="Arial" w:cs="Arial" w:eastAsia="Arial" w:hAnsi="Arial"/>
          <w:sz w:val="16"/>
          <w:szCs w:val="16"/>
          <w:b w:val="1"/>
          <w:bCs w:val="1"/>
          <w:color w:val="auto"/>
        </w:rPr>
      </w:pPr>
    </w:p>
    <w:p>
      <w:pPr>
        <w:jc w:val="both"/>
        <w:ind w:left="1300"/>
        <w:spacing w:after="0" w:line="290" w:lineRule="auto"/>
        <w:rPr>
          <w:rFonts w:ascii="Arial" w:cs="Arial" w:eastAsia="Arial" w:hAnsi="Arial"/>
          <w:sz w:val="16"/>
          <w:szCs w:val="16"/>
          <w:b w:val="1"/>
          <w:bCs w:val="1"/>
          <w:color w:val="auto"/>
        </w:rPr>
      </w:pPr>
      <w:r>
        <w:rPr>
          <w:rFonts w:ascii="Arial" w:cs="Arial" w:eastAsia="Arial" w:hAnsi="Arial"/>
          <w:sz w:val="15"/>
          <w:szCs w:val="15"/>
          <w:color w:val="auto"/>
        </w:rPr>
        <w:t>As of December 31, 2021 and December 31, 2020, the effective portions of $27 income and $323 loss, respectively, were recorded in OCI, of which a loss of $56 is expected to be recorded in earnings during the twelve months ending December 31, 2022. For the years ended December 31, 2021 and December 31, 2020, the hedging effect of the swap on the Company’s results of operations was income of $542 and $5,252, respectively, and was recognized as financing income, to offset the effect of the rate difference related to the Series G Debentures.</w:t>
      </w:r>
    </w:p>
    <w:p>
      <w:pPr>
        <w:spacing w:after="0" w:line="121" w:lineRule="exact"/>
        <w:rPr>
          <w:rFonts w:ascii="Arial" w:cs="Arial" w:eastAsia="Arial" w:hAnsi="Arial"/>
          <w:sz w:val="16"/>
          <w:szCs w:val="16"/>
          <w:b w:val="1"/>
          <w:bCs w:val="1"/>
          <w:color w:val="auto"/>
        </w:rPr>
      </w:pPr>
    </w:p>
    <w:p>
      <w:pPr>
        <w:ind w:left="1300" w:right="8140" w:hanging="318"/>
        <w:spacing w:after="0" w:line="571" w:lineRule="auto"/>
        <w:tabs>
          <w:tab w:leader="none" w:pos="1295" w:val="left"/>
        </w:tabs>
        <w:numPr>
          <w:ilvl w:val="0"/>
          <w:numId w:val="1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Fair Value Measurements </w:t>
      </w:r>
      <w:r>
        <w:rPr>
          <w:rFonts w:ascii="Arial" w:cs="Arial" w:eastAsia="Arial" w:hAnsi="Arial"/>
          <w:sz w:val="14"/>
          <w:szCs w:val="14"/>
          <w:b w:val="1"/>
          <w:bCs w:val="1"/>
          <w:i w:val="1"/>
          <w:iCs w:val="1"/>
          <w:color w:val="auto"/>
        </w:rPr>
        <w:t>Valuation Techniques</w:t>
      </w:r>
    </w:p>
    <w:p>
      <w:pPr>
        <w:jc w:val="both"/>
        <w:ind w:left="1300"/>
        <w:spacing w:after="0" w:line="290" w:lineRule="auto"/>
        <w:rPr>
          <w:rFonts w:ascii="Arial" w:cs="Arial" w:eastAsia="Arial" w:hAnsi="Arial"/>
          <w:sz w:val="14"/>
          <w:szCs w:val="14"/>
          <w:b w:val="1"/>
          <w:bCs w:val="1"/>
          <w:color w:val="auto"/>
        </w:rPr>
      </w:pPr>
      <w:r>
        <w:rPr>
          <w:rFonts w:ascii="Arial" w:cs="Arial" w:eastAsia="Arial" w:hAnsi="Arial"/>
          <w:sz w:val="15"/>
          <w:szCs w:val="15"/>
          <w:color w:val="auto"/>
        </w:rPr>
        <w:t>In general, and where applicable, the Company uses quoted prices in active markets for identical assets or liabilities to determine fair value. This pricing methodology applies to the Company’s Level 1 assets and liabilities. If quoted prices in active markets for identical assets and liabilities are not available to determine fair value, the Company uses quoted prices for similar assets and liabilities or inputs other than the quoted prices that are observable, either directly or indirectly. This pricing methodology applies to the Company’s Level 2 and Level 3 assets and liabilities.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NOTE 12:</w:t>
        <w:tab/>
        <w:t>FINANCIAL INSTRUMENTS AND FAIR VALUE MEASUREMENTS (Continued)</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6"/>
          <w:szCs w:val="16"/>
          <w:b w:val="1"/>
          <w:bCs w:val="1"/>
          <w:i w:val="1"/>
          <w:iCs w:val="1"/>
          <w:color w:val="auto"/>
        </w:rPr>
        <w:t>Level 1 Measurements</w:t>
      </w:r>
    </w:p>
    <w:p>
      <w:pPr>
        <w:spacing w:after="0" w:line="210" w:lineRule="exact"/>
        <w:rPr>
          <w:sz w:val="20"/>
          <w:szCs w:val="20"/>
          <w:color w:val="auto"/>
        </w:rPr>
      </w:pPr>
    </w:p>
    <w:p>
      <w:pPr>
        <w:jc w:val="both"/>
        <w:ind w:left="1300"/>
        <w:spacing w:after="0" w:line="272" w:lineRule="auto"/>
        <w:rPr>
          <w:sz w:val="20"/>
          <w:szCs w:val="20"/>
          <w:color w:val="auto"/>
        </w:rPr>
      </w:pPr>
      <w:r>
        <w:rPr>
          <w:rFonts w:ascii="Arial" w:cs="Arial" w:eastAsia="Arial" w:hAnsi="Arial"/>
          <w:sz w:val="16"/>
          <w:szCs w:val="16"/>
          <w:color w:val="auto"/>
        </w:rPr>
        <w:t>Securities classified as available-for-sale are reported at fair value on a recurring basis. These securities are classified as Level 1 of the valuation hierarchy where quoted market prices from reputable third-party brokers are available in an active market. Changes in fair value of securities available-for-sale are recorded in other comprehensive income.</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6"/>
          <w:szCs w:val="16"/>
          <w:b w:val="1"/>
          <w:bCs w:val="1"/>
          <w:i w:val="1"/>
          <w:iCs w:val="1"/>
          <w:color w:val="auto"/>
        </w:rPr>
        <w:t>Level 2 Measurements</w:t>
      </w:r>
    </w:p>
    <w:p>
      <w:pPr>
        <w:spacing w:after="0" w:line="210" w:lineRule="exact"/>
        <w:rPr>
          <w:sz w:val="20"/>
          <w:szCs w:val="20"/>
          <w:color w:val="auto"/>
        </w:rPr>
      </w:pPr>
    </w:p>
    <w:p>
      <w:pPr>
        <w:jc w:val="both"/>
        <w:ind w:left="1300"/>
        <w:spacing w:after="0" w:line="267" w:lineRule="auto"/>
        <w:rPr>
          <w:sz w:val="20"/>
          <w:szCs w:val="20"/>
          <w:color w:val="auto"/>
        </w:rPr>
      </w:pPr>
      <w:r>
        <w:rPr>
          <w:rFonts w:ascii="Arial" w:cs="Arial" w:eastAsia="Arial" w:hAnsi="Arial"/>
          <w:sz w:val="16"/>
          <w:szCs w:val="16"/>
          <w:color w:val="auto"/>
        </w:rPr>
        <w:t>If quoted market prices are not available, the Company obtains fair value measurements of similar assets and liabilities from an independent pricing service. These securities are reported using Level 2 inputs and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For cross-currency swap measured under Level 2, the Company uses the market approach using quotations from banks and other public information.</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6"/>
          <w:szCs w:val="16"/>
          <w:b w:val="1"/>
          <w:bCs w:val="1"/>
          <w:i w:val="1"/>
          <w:iCs w:val="1"/>
          <w:color w:val="auto"/>
        </w:rPr>
        <w:t>Level 3 Measurements</w:t>
      </w:r>
    </w:p>
    <w:p>
      <w:pPr>
        <w:spacing w:after="0" w:line="210" w:lineRule="exact"/>
        <w:rPr>
          <w:sz w:val="20"/>
          <w:szCs w:val="20"/>
          <w:color w:val="auto"/>
        </w:rPr>
      </w:pPr>
    </w:p>
    <w:p>
      <w:pPr>
        <w:jc w:val="both"/>
        <w:ind w:left="1300"/>
        <w:spacing w:after="0" w:line="264" w:lineRule="auto"/>
        <w:rPr>
          <w:sz w:val="20"/>
          <w:szCs w:val="20"/>
          <w:color w:val="auto"/>
        </w:rPr>
      </w:pPr>
      <w:r>
        <w:rPr>
          <w:rFonts w:ascii="Arial" w:cs="Arial" w:eastAsia="Arial" w:hAnsi="Arial"/>
          <w:sz w:val="16"/>
          <w:szCs w:val="16"/>
          <w:color w:val="auto"/>
        </w:rPr>
        <w:t>Investments in equity securities of privately-held companies without readily determinable fair values are measured using the Measurement Alternatives (see Note 2I). The Company reviews these investments for impairment and observable price changes on a quarterly basis and adjusts the carrying value accordingly. For the year ended December 31, 2021, the Company recorded a decrease of $2,963 in the value of such investments, and for the year ended December 31, 2020, the Company recorded an increase of $358 in the value of such investments, presented in other income (expense), net in the statements of operations.</w:t>
      </w:r>
    </w:p>
    <w:p>
      <w:pPr>
        <w:sectPr>
          <w:pgSz w:w="11900" w:h="16838" w:orient="portrait"/>
          <w:cols w:equalWidth="0" w:num="1">
            <w:col w:w="11240"/>
          </w:cols>
          <w:pgMar w:left="320" w:top="271" w:right="339" w:bottom="1440" w:gutter="0" w:footer="0" w:header="0"/>
        </w:sectPr>
      </w:pP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Recurring fair value measurements using the indicated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Details</w:t>
      </w:r>
    </w:p>
    <w:p>
      <w:pPr>
        <w:spacing w:after="0" w:line="3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Cross-currency swap - net asset position</w:t>
      </w:r>
    </w:p>
    <w:p>
      <w:pPr>
        <w:spacing w:after="0" w:line="3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Privately held companies</w:t>
      </w:r>
    </w:p>
    <w:p>
      <w:pPr>
        <w:spacing w:after="0" w:line="3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Marketable securities held for sale</w:t>
      </w:r>
    </w:p>
    <w:p>
      <w:pPr>
        <w:spacing w:after="0" w:line="6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Foreign exchange forward and cylinders - net liability position</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58"/>
              <w:spacing w:after="0"/>
              <w:rPr>
                <w:sz w:val="20"/>
                <w:szCs w:val="20"/>
                <w:color w:val="auto"/>
              </w:rPr>
            </w:pPr>
            <w:r>
              <w:rPr>
                <w:rFonts w:ascii="Arial" w:cs="Arial" w:eastAsia="Arial" w:hAnsi="Arial"/>
                <w:sz w:val="16"/>
                <w:szCs w:val="16"/>
                <w:color w:val="auto"/>
                <w:w w:val="91"/>
              </w:rPr>
              <w:t>Quoted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58"/>
              <w:spacing w:after="0"/>
              <w:rPr>
                <w:sz w:val="20"/>
                <w:szCs w:val="20"/>
                <w:color w:val="auto"/>
              </w:rPr>
            </w:pPr>
            <w:r>
              <w:rPr>
                <w:rFonts w:ascii="Arial" w:cs="Arial" w:eastAsia="Arial" w:hAnsi="Arial"/>
                <w:sz w:val="16"/>
                <w:szCs w:val="16"/>
                <w:color w:val="auto"/>
                <w:w w:val="93"/>
              </w:rPr>
              <w:t>prices in</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58"/>
              <w:spacing w:after="0"/>
              <w:rPr>
                <w:sz w:val="20"/>
                <w:szCs w:val="20"/>
                <w:color w:val="auto"/>
              </w:rPr>
            </w:pPr>
            <w:r>
              <w:rPr>
                <w:rFonts w:ascii="Arial" w:cs="Arial" w:eastAsia="Arial" w:hAnsi="Arial"/>
                <w:sz w:val="16"/>
                <w:szCs w:val="16"/>
                <w:color w:val="auto"/>
                <w:w w:val="95"/>
              </w:rPr>
              <w:t>active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97"/>
              </w:rPr>
              <w:t>Significant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58"/>
              <w:spacing w:after="0"/>
              <w:rPr>
                <w:sz w:val="20"/>
                <w:szCs w:val="20"/>
                <w:color w:val="auto"/>
              </w:rPr>
            </w:pPr>
            <w:r>
              <w:rPr>
                <w:rFonts w:ascii="Arial" w:cs="Arial" w:eastAsia="Arial" w:hAnsi="Arial"/>
                <w:sz w:val="16"/>
                <w:szCs w:val="16"/>
                <w:color w:val="auto"/>
                <w:w w:val="94"/>
              </w:rPr>
              <w:t>market for</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other</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7"/>
              </w:rPr>
              <w:t>Significant</w:t>
            </w: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58"/>
              <w:spacing w:after="0"/>
              <w:rPr>
                <w:sz w:val="20"/>
                <w:szCs w:val="20"/>
                <w:color w:val="auto"/>
              </w:rPr>
            </w:pPr>
            <w:r>
              <w:rPr>
                <w:rFonts w:ascii="Arial" w:cs="Arial" w:eastAsia="Arial" w:hAnsi="Arial"/>
                <w:sz w:val="16"/>
                <w:szCs w:val="16"/>
                <w:color w:val="auto"/>
                <w:w w:val="95"/>
              </w:rPr>
              <w:t>identical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observable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1"/>
              </w:rPr>
              <w:t>unobservable</w:t>
            </w: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w w:val="91"/>
              </w:rPr>
              <w:t>December 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58"/>
              <w:spacing w:after="0"/>
              <w:rPr>
                <w:sz w:val="20"/>
                <w:szCs w:val="20"/>
                <w:color w:val="auto"/>
              </w:rPr>
            </w:pPr>
            <w:r>
              <w:rPr>
                <w:rFonts w:ascii="Arial" w:cs="Arial" w:eastAsia="Arial" w:hAnsi="Arial"/>
                <w:sz w:val="16"/>
                <w:szCs w:val="16"/>
                <w:color w:val="auto"/>
              </w:rPr>
              <w:t>liability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inputs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inputs</w:t>
            </w:r>
          </w:p>
        </w:tc>
      </w:tr>
      <w:tr>
        <w:trPr>
          <w:trHeight w:val="214"/>
        </w:trPr>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8"/>
              <w:spacing w:after="0"/>
              <w:rPr>
                <w:sz w:val="20"/>
                <w:szCs w:val="20"/>
                <w:color w:val="auto"/>
              </w:rPr>
            </w:pPr>
            <w:r>
              <w:rPr>
                <w:rFonts w:ascii="Arial" w:cs="Arial" w:eastAsia="Arial" w:hAnsi="Arial"/>
                <w:sz w:val="16"/>
                <w:szCs w:val="16"/>
                <w:color w:val="auto"/>
                <w:w w:val="96"/>
              </w:rPr>
              <w:t>(Level 1)</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w w:val="96"/>
              </w:rPr>
              <w:t>(Level 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(Level 3)</w:t>
            </w:r>
          </w:p>
        </w:tc>
      </w:tr>
      <w:tr>
        <w:trPr>
          <w:trHeight w:val="220"/>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12,560</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12,560</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15,155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15,155</w:t>
            </w: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190,068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190,068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(906)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(906)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216,877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190,068</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11,654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15,155</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-725805</wp:posOffset>
            </wp:positionV>
            <wp:extent cx="6309360" cy="140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309360" cy="140335"/>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-444500</wp:posOffset>
            </wp:positionV>
            <wp:extent cx="6309360" cy="140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309360" cy="140335"/>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-147955</wp:posOffset>
            </wp:positionV>
            <wp:extent cx="6309360" cy="148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309360" cy="148590"/>
                    </a:xfrm>
                    <a:prstGeom prst="rect">
                      <a:avLst/>
                    </a:prstGeom>
                    <a:noFill/>
                  </pic:spPr>
                </pic:pic>
              </a:graphicData>
            </a:graphic>
          </wp:anchor>
        </w:drawing>
      </w:r>
    </w:p>
    <w:p>
      <w:pPr>
        <w:sectPr>
          <w:pgSz w:w="11900" w:h="16838" w:orient="portrait"/>
          <w:cols w:equalWidth="0" w:num="2">
            <w:col w:w="5820" w:space="360"/>
            <w:col w:w="5060"/>
          </w:cols>
          <w:pgMar w:left="320" w:top="271"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 w:type="dxa"/>
            <w:vAlign w:val="bottom"/>
          </w:tcPr>
          <w:p>
            <w:pPr>
              <w:spacing w:after="0"/>
              <w:rPr>
                <w:sz w:val="20"/>
                <w:szCs w:val="20"/>
                <w:color w:val="auto"/>
              </w:rPr>
            </w:pPr>
            <w:r>
              <w:rPr>
                <w:rFonts w:ascii="Arial" w:cs="Arial" w:eastAsia="Arial" w:hAnsi="Arial"/>
                <w:sz w:val="16"/>
                <w:szCs w:val="16"/>
                <w:b w:val="1"/>
                <w:bCs w:val="1"/>
                <w:color w:val="auto"/>
              </w:rPr>
              <w:t>NOTE 12:</w:t>
            </w:r>
          </w:p>
        </w:tc>
        <w:tc>
          <w:tcPr>
            <w:tcW w:w="6420" w:type="dxa"/>
            <w:vAlign w:val="bottom"/>
            <w:gridSpan w:val="5"/>
          </w:tcPr>
          <w:p>
            <w:pPr>
              <w:jc w:val="right"/>
              <w:ind w:right="238"/>
              <w:spacing w:after="0"/>
              <w:rPr>
                <w:sz w:val="20"/>
                <w:szCs w:val="20"/>
                <w:color w:val="auto"/>
              </w:rPr>
            </w:pPr>
            <w:r>
              <w:rPr>
                <w:rFonts w:ascii="Arial" w:cs="Arial" w:eastAsia="Arial" w:hAnsi="Arial"/>
                <w:sz w:val="16"/>
                <w:szCs w:val="16"/>
                <w:b w:val="1"/>
                <w:bCs w:val="1"/>
                <w:color w:val="auto"/>
              </w:rPr>
              <w:t>FINANCIAL INSTRUMENTS AND FAIR VALUE MEASUREMENTS (Continued)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w w:val="92"/>
              </w:rPr>
              <w:t>Quoted prices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5"/>
              </w:rPr>
              <w:t>in active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38"/>
              <w:spacing w:after="0"/>
              <w:rPr>
                <w:sz w:val="20"/>
                <w:szCs w:val="20"/>
                <w:color w:val="auto"/>
              </w:rPr>
            </w:pPr>
            <w:r>
              <w:rPr>
                <w:rFonts w:ascii="Arial" w:cs="Arial" w:eastAsia="Arial" w:hAnsi="Arial"/>
                <w:sz w:val="16"/>
                <w:szCs w:val="16"/>
                <w:color w:val="auto"/>
                <w:w w:val="97"/>
              </w:rPr>
              <w:t>Significant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4"/>
              </w:rPr>
              <w:t>market for</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58"/>
              <w:spacing w:after="0"/>
              <w:rPr>
                <w:sz w:val="20"/>
                <w:szCs w:val="20"/>
                <w:color w:val="auto"/>
              </w:rPr>
            </w:pPr>
            <w:r>
              <w:rPr>
                <w:rFonts w:ascii="Arial" w:cs="Arial" w:eastAsia="Arial" w:hAnsi="Arial"/>
                <w:sz w:val="16"/>
                <w:szCs w:val="16"/>
                <w:color w:val="auto"/>
                <w:w w:val="93"/>
              </w:rPr>
              <w:t>other</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Significant</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right="38"/>
              <w:spacing w:after="0"/>
              <w:rPr>
                <w:sz w:val="20"/>
                <w:szCs w:val="20"/>
                <w:color w:val="auto"/>
              </w:rPr>
            </w:pPr>
            <w:r>
              <w:rPr>
                <w:rFonts w:ascii="Arial" w:cs="Arial" w:eastAsia="Arial" w:hAnsi="Arial"/>
                <w:sz w:val="16"/>
                <w:szCs w:val="16"/>
                <w:color w:val="auto"/>
                <w:w w:val="95"/>
              </w:rPr>
              <w:t>identical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38"/>
              <w:spacing w:after="0"/>
              <w:rPr>
                <w:sz w:val="20"/>
                <w:szCs w:val="20"/>
                <w:color w:val="auto"/>
              </w:rPr>
            </w:pPr>
            <w:r>
              <w:rPr>
                <w:rFonts w:ascii="Arial" w:cs="Arial" w:eastAsia="Arial" w:hAnsi="Arial"/>
                <w:sz w:val="16"/>
                <w:szCs w:val="16"/>
                <w:color w:val="auto"/>
                <w:w w:val="91"/>
              </w:rPr>
              <w:t>observable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unobservable</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ind w:right="18"/>
              <w:spacing w:after="0"/>
              <w:rPr>
                <w:sz w:val="20"/>
                <w:szCs w:val="20"/>
                <w:color w:val="auto"/>
              </w:rPr>
            </w:pPr>
            <w:r>
              <w:rPr>
                <w:rFonts w:ascii="Arial" w:cs="Arial" w:eastAsia="Arial" w:hAnsi="Arial"/>
                <w:sz w:val="16"/>
                <w:szCs w:val="16"/>
                <w:color w:val="auto"/>
                <w:w w:val="89"/>
              </w:rPr>
              <w:t>December 31,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liability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38"/>
              <w:spacing w:after="0"/>
              <w:rPr>
                <w:sz w:val="20"/>
                <w:szCs w:val="20"/>
                <w:color w:val="auto"/>
              </w:rPr>
            </w:pPr>
            <w:r>
              <w:rPr>
                <w:rFonts w:ascii="Arial" w:cs="Arial" w:eastAsia="Arial" w:hAnsi="Arial"/>
                <w:sz w:val="16"/>
                <w:szCs w:val="16"/>
                <w:color w:val="auto"/>
                <w:w w:val="93"/>
              </w:rPr>
              <w:t>inputs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inputs</w:t>
            </w: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4820" w:type="dxa"/>
            <w:vAlign w:val="bottom"/>
            <w:gridSpan w:val="2"/>
          </w:tcPr>
          <w:p>
            <w:pPr>
              <w:ind w:left="420"/>
              <w:spacing w:after="0"/>
              <w:rPr>
                <w:sz w:val="20"/>
                <w:szCs w:val="20"/>
                <w:color w:val="auto"/>
              </w:rPr>
            </w:pPr>
            <w:r>
              <w:rPr>
                <w:rFonts w:ascii="Arial" w:cs="Arial" w:eastAsia="Arial" w:hAnsi="Arial"/>
                <w:sz w:val="16"/>
                <w:szCs w:val="16"/>
                <w:color w:val="auto"/>
              </w:rPr>
              <w:t>Details</w:t>
            </w:r>
          </w:p>
        </w:tc>
        <w:tc>
          <w:tcPr>
            <w:tcW w:w="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(Level 1)</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w w:val="96"/>
              </w:rPr>
              <w:t>(Level 2)</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Cross-currency swap - net asset position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4820" w:type="dxa"/>
            <w:vAlign w:val="bottom"/>
            <w:gridSpan w:val="2"/>
          </w:tcPr>
          <w:p>
            <w:pPr>
              <w:ind w:left="420"/>
              <w:spacing w:after="0"/>
              <w:rPr>
                <w:sz w:val="20"/>
                <w:szCs w:val="20"/>
                <w:color w:val="auto"/>
              </w:rPr>
            </w:pPr>
            <w:r>
              <w:rPr>
                <w:rFonts w:ascii="Arial" w:cs="Arial" w:eastAsia="Arial" w:hAnsi="Arial"/>
                <w:sz w:val="16"/>
                <w:szCs w:val="16"/>
                <w:color w:val="auto"/>
              </w:rPr>
              <w:t>Privately held companies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17,727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Marketable securities held for sale</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188,186</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188,186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4820" w:type="dxa"/>
            <w:vAlign w:val="bottom"/>
            <w:gridSpan w:val="2"/>
          </w:tcPr>
          <w:p>
            <w:pPr>
              <w:ind w:left="420"/>
              <w:spacing w:after="0"/>
              <w:rPr>
                <w:sz w:val="20"/>
                <w:szCs w:val="20"/>
                <w:color w:val="auto"/>
              </w:rPr>
            </w:pPr>
            <w:r>
              <w:rPr>
                <w:rFonts w:ascii="Arial" w:cs="Arial" w:eastAsia="Arial" w:hAnsi="Arial"/>
                <w:sz w:val="16"/>
                <w:szCs w:val="16"/>
                <w:color w:val="auto"/>
              </w:rPr>
              <w:t>Foreign exchange forward and cylinders - net asset position</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5,293</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5,293</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228,183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188,186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1300" w:hanging="318"/>
        <w:spacing w:after="0"/>
        <w:tabs>
          <w:tab w:leader="none" w:pos="130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Short-Term and Long-Term Deposits and Marketable Securities</w:t>
      </w:r>
    </w:p>
    <w:p>
      <w:pPr>
        <w:spacing w:after="0" w:line="201" w:lineRule="exact"/>
        <w:rPr>
          <w:rFonts w:ascii="Arial" w:cs="Arial" w:eastAsia="Arial" w:hAnsi="Arial"/>
          <w:sz w:val="16"/>
          <w:szCs w:val="16"/>
          <w:b w:val="1"/>
          <w:bCs w:val="1"/>
          <w:color w:val="auto"/>
        </w:rPr>
      </w:pPr>
    </w:p>
    <w:p>
      <w:pPr>
        <w:jc w:val="both"/>
        <w:ind w:left="1300"/>
        <w:spacing w:after="0" w:line="267" w:lineRule="auto"/>
        <w:rPr>
          <w:rFonts w:ascii="Arial" w:cs="Arial" w:eastAsia="Arial" w:hAnsi="Arial"/>
          <w:sz w:val="16"/>
          <w:szCs w:val="16"/>
          <w:b w:val="1"/>
          <w:bCs w:val="1"/>
          <w:color w:val="auto"/>
        </w:rPr>
      </w:pPr>
      <w:r>
        <w:rPr>
          <w:rFonts w:ascii="Arial" w:cs="Arial" w:eastAsia="Arial" w:hAnsi="Arial"/>
          <w:sz w:val="16"/>
          <w:szCs w:val="16"/>
          <w:color w:val="auto"/>
        </w:rPr>
        <w:t>Deposits and marketable securities as of December 31, 2021 included short-term deposits in the amount of $363,648, marketable securities with applicable accrued interest in the amount of $190,068 and a long-term bank deposit in the amount of $12,500; as of December 31, 2020, deposits and marketable securities included short-term deposits in the amount of $310,230, marketable securities with applicable accrued interest in the amount of $188,967 and a long-term bank deposit in the amount of $12,500.</w:t>
      </w:r>
    </w:p>
    <w:p>
      <w:pPr>
        <w:spacing w:after="0" w:line="152" w:lineRule="exact"/>
        <w:rPr>
          <w:rFonts w:ascii="Arial" w:cs="Arial" w:eastAsia="Arial" w:hAnsi="Arial"/>
          <w:sz w:val="16"/>
          <w:szCs w:val="16"/>
          <w:b w:val="1"/>
          <w:bCs w:val="1"/>
          <w:color w:val="auto"/>
        </w:rPr>
      </w:pPr>
    </w:p>
    <w:p>
      <w:pPr>
        <w:ind w:left="130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The following table summarizes amortized costs, gross unrealized gains and losses and estimated fair values of available-for-sale marketable securities as of December 31, 2021:</w:t>
      </w:r>
    </w:p>
    <w:p>
      <w:pPr>
        <w:spacing w:after="0" w:line="321" w:lineRule="exact"/>
        <w:rPr>
          <w:sz w:val="20"/>
          <w:szCs w:val="20"/>
          <w:color w:val="auto"/>
        </w:rPr>
      </w:pPr>
    </w:p>
    <w:tbl>
      <w:tblPr>
        <w:tblLayout w:type="fixed"/>
        <w:tblInd w:w="130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18"/>
              <w:spacing w:after="0"/>
              <w:rPr>
                <w:sz w:val="20"/>
                <w:szCs w:val="20"/>
                <w:color w:val="auto"/>
              </w:rPr>
            </w:pPr>
            <w:r>
              <w:rPr>
                <w:rFonts w:ascii="Arial" w:cs="Arial" w:eastAsia="Arial" w:hAnsi="Arial"/>
                <w:sz w:val="16"/>
                <w:szCs w:val="16"/>
                <w:color w:val="auto"/>
              </w:rPr>
              <w:t>Amortized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275"/>
              <w:spacing w:after="0"/>
              <w:rPr>
                <w:sz w:val="20"/>
                <w:szCs w:val="20"/>
                <w:color w:val="auto"/>
              </w:rPr>
            </w:pPr>
            <w:r>
              <w:rPr>
                <w:rFonts w:ascii="Arial" w:cs="Arial" w:eastAsia="Arial" w:hAnsi="Arial"/>
                <w:sz w:val="16"/>
                <w:szCs w:val="16"/>
                <w:color w:val="auto"/>
              </w:rPr>
              <w:t>Gross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6"/>
                <w:szCs w:val="16"/>
                <w:color w:val="auto"/>
              </w:rPr>
              <w:t>Gross</w:t>
            </w:r>
          </w:p>
        </w:tc>
        <w:tc>
          <w:tcPr>
            <w:tcW w:w="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Estimated fair</w:t>
            </w:r>
          </w:p>
        </w:tc>
        <w:tc>
          <w:tcPr>
            <w:tcW w:w="100" w:type="dxa"/>
            <w:vAlign w:val="bottom"/>
          </w:tcPr>
          <w:p>
            <w:pPr>
              <w:spacing w:after="0"/>
              <w:rPr>
                <w:sz w:val="17"/>
                <w:szCs w:val="17"/>
                <w:color w:val="auto"/>
              </w:rPr>
            </w:pPr>
          </w:p>
        </w:tc>
      </w:tr>
      <w:tr>
        <w:trPr>
          <w:trHeight w:val="209"/>
        </w:trPr>
        <w:tc>
          <w:tcPr>
            <w:tcW w:w="3140" w:type="dxa"/>
            <w:vAlign w:val="bottom"/>
            <w:gridSpan w:val="2"/>
          </w:tcPr>
          <w:p>
            <w:pPr>
              <w:spacing w:after="0"/>
              <w:rPr>
                <w:sz w:val="20"/>
                <w:szCs w:val="20"/>
                <w:color w:val="auto"/>
              </w:rPr>
            </w:pPr>
            <w:r>
              <w:rPr>
                <w:rFonts w:ascii="Arial" w:cs="Arial" w:eastAsia="Arial" w:hAnsi="Arial"/>
                <w:sz w:val="16"/>
                <w:szCs w:val="16"/>
                <w:color w:val="auto"/>
              </w:rPr>
              <w:t>Details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98"/>
              <w:spacing w:after="0"/>
              <w:rPr>
                <w:sz w:val="20"/>
                <w:szCs w:val="20"/>
                <w:color w:val="auto"/>
              </w:rPr>
            </w:pPr>
            <w:r>
              <w:rPr>
                <w:rFonts w:ascii="Arial" w:cs="Arial" w:eastAsia="Arial" w:hAnsi="Arial"/>
                <w:sz w:val="16"/>
                <w:szCs w:val="16"/>
                <w:color w:val="auto"/>
              </w:rPr>
              <w:t>Cost (*)</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w w:val="89"/>
              </w:rPr>
              <w:t>unrealized gains</w:t>
            </w:r>
          </w:p>
        </w:tc>
        <w:tc>
          <w:tcPr>
            <w:tcW w:w="1420" w:type="dxa"/>
            <w:vAlign w:val="bottom"/>
            <w:gridSpan w:val="4"/>
          </w:tcPr>
          <w:p>
            <w:pPr>
              <w:jc w:val="right"/>
              <w:ind w:right="120"/>
              <w:spacing w:after="0"/>
              <w:rPr>
                <w:sz w:val="20"/>
                <w:szCs w:val="20"/>
                <w:color w:val="auto"/>
              </w:rPr>
            </w:pPr>
            <w:r>
              <w:rPr>
                <w:rFonts w:ascii="Arial" w:cs="Arial" w:eastAsia="Arial" w:hAnsi="Arial"/>
                <w:sz w:val="16"/>
                <w:szCs w:val="16"/>
                <w:color w:val="auto"/>
              </w:rPr>
              <w:t>unrealized losses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78"/>
              <w:spacing w:after="0"/>
              <w:rPr>
                <w:sz w:val="20"/>
                <w:szCs w:val="20"/>
                <w:color w:val="auto"/>
              </w:rPr>
            </w:pPr>
            <w:r>
              <w:rPr>
                <w:rFonts w:ascii="Arial" w:cs="Arial" w:eastAsia="Arial" w:hAnsi="Arial"/>
                <w:sz w:val="16"/>
                <w:szCs w:val="16"/>
                <w:color w:val="auto"/>
              </w:rPr>
              <w:t>value</w:t>
            </w:r>
          </w:p>
        </w:tc>
        <w:tc>
          <w:tcPr>
            <w:tcW w:w="100" w:type="dxa"/>
            <w:vAlign w:val="bottom"/>
          </w:tcPr>
          <w:p>
            <w:pPr>
              <w:spacing w:after="0"/>
              <w:rPr>
                <w:sz w:val="18"/>
                <w:szCs w:val="18"/>
                <w:color w:val="auto"/>
              </w:rPr>
            </w:pPr>
          </w:p>
        </w:tc>
      </w:tr>
      <w:tr>
        <w:trPr>
          <w:trHeight w:val="25"/>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20" w:type="dxa"/>
            <w:vAlign w:val="bottom"/>
          </w:tcPr>
          <w:p>
            <w:pPr>
              <w:spacing w:after="0"/>
              <w:rPr>
                <w:sz w:val="19"/>
                <w:szCs w:val="19"/>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Corporate bonds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161,491</w:t>
            </w:r>
          </w:p>
        </w:tc>
        <w:tc>
          <w:tcPr>
            <w:tcW w:w="4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42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(1,311)</w:t>
            </w:r>
          </w:p>
        </w:tc>
        <w:tc>
          <w:tcPr>
            <w:tcW w:w="30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161,633</w:t>
            </w:r>
          </w:p>
        </w:tc>
        <w:tc>
          <w:tcPr>
            <w:tcW w:w="100" w:type="dxa"/>
            <w:vAlign w:val="bottom"/>
            <w:shd w:val="clear" w:color="auto" w:fill="CCEEFF"/>
          </w:tcPr>
          <w:p>
            <w:pPr>
              <w:spacing w:after="0"/>
              <w:rPr>
                <w:sz w:val="19"/>
                <w:szCs w:val="19"/>
                <w:color w:val="auto"/>
              </w:rPr>
            </w:pPr>
          </w:p>
        </w:tc>
      </w:tr>
      <w:tr>
        <w:trPr>
          <w:trHeight w:val="221"/>
        </w:trPr>
        <w:tc>
          <w:tcPr>
            <w:tcW w:w="3140" w:type="dxa"/>
            <w:vAlign w:val="bottom"/>
            <w:gridSpan w:val="2"/>
          </w:tcPr>
          <w:p>
            <w:pPr>
              <w:spacing w:after="0"/>
              <w:rPr>
                <w:sz w:val="20"/>
                <w:szCs w:val="20"/>
                <w:color w:val="auto"/>
              </w:rPr>
            </w:pPr>
            <w:r>
              <w:rPr>
                <w:rFonts w:ascii="Arial" w:cs="Arial" w:eastAsia="Arial" w:hAnsi="Arial"/>
                <w:sz w:val="16"/>
                <w:szCs w:val="16"/>
                <w:color w:val="auto"/>
              </w:rPr>
              <w:t>Government bonds</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27,332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26,934</w:t>
            </w:r>
          </w:p>
        </w:tc>
        <w:tc>
          <w:tcPr>
            <w:tcW w:w="10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Municipal bonds</w:t>
            </w: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22" w:lineRule="exact"/>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22" w:lineRule="exact"/>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00" w:type="dxa"/>
            <w:vAlign w:val="bottom"/>
            <w:shd w:val="clear" w:color="auto" w:fill="CCEEFF"/>
          </w:tcPr>
          <w:p>
            <w:pPr>
              <w:spacing w:after="0"/>
              <w:rPr>
                <w:sz w:val="19"/>
                <w:szCs w:val="19"/>
                <w:color w:val="auto"/>
              </w:rPr>
            </w:pPr>
          </w:p>
        </w:tc>
      </w:tr>
      <w:tr>
        <w:trPr>
          <w:trHeight w:val="226"/>
        </w:trPr>
        <w:tc>
          <w:tcPr>
            <w:tcW w:w="3140" w:type="dxa"/>
            <w:vAlign w:val="bottom"/>
            <w:gridSpan w:val="2"/>
          </w:tcPr>
          <w:p>
            <w:pPr>
              <w:spacing w:after="0"/>
              <w:rPr>
                <w:sz w:val="20"/>
                <w:szCs w:val="20"/>
                <w:color w:val="auto"/>
              </w:rPr>
            </w:pPr>
            <w:r>
              <w:rPr>
                <w:rFonts w:ascii="Arial" w:cs="Arial" w:eastAsia="Arial" w:hAnsi="Arial"/>
                <w:sz w:val="16"/>
                <w:szCs w:val="16"/>
                <w:color w:val="auto"/>
              </w:rPr>
              <w:t>Certificate of deposit</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12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189,543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189,292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17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Excluding accrued interest of $776.</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scheduled maturities of available-for-sale marketable securities as of December 31, 2021,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18"/>
              <w:spacing w:after="0"/>
              <w:rPr>
                <w:sz w:val="20"/>
                <w:szCs w:val="20"/>
                <w:color w:val="auto"/>
              </w:rPr>
            </w:pPr>
            <w:r>
              <w:rPr>
                <w:rFonts w:ascii="Arial" w:cs="Arial" w:eastAsia="Arial" w:hAnsi="Arial"/>
                <w:sz w:val="16"/>
                <w:szCs w:val="16"/>
                <w:color w:val="auto"/>
                <w:w w:val="99"/>
              </w:rPr>
              <w:t>Amortized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color w:val="auto"/>
              </w:rPr>
              <w:t>Estimated</w:t>
            </w:r>
          </w:p>
        </w:tc>
      </w:tr>
      <w:tr>
        <w:trPr>
          <w:trHeight w:val="214"/>
        </w:trPr>
        <w:tc>
          <w:tcPr>
            <w:tcW w:w="4060" w:type="dxa"/>
            <w:vAlign w:val="bottom"/>
            <w:gridSpan w:val="2"/>
          </w:tcPr>
          <w:p>
            <w:pPr>
              <w:ind w:left="1300"/>
              <w:spacing w:after="0"/>
              <w:rPr>
                <w:sz w:val="20"/>
                <w:szCs w:val="20"/>
                <w:color w:val="auto"/>
              </w:rPr>
            </w:pPr>
            <w:r>
              <w:rPr>
                <w:rFonts w:ascii="Arial" w:cs="Arial" w:eastAsia="Arial" w:hAnsi="Arial"/>
                <w:sz w:val="16"/>
                <w:szCs w:val="16"/>
                <w:color w:val="auto"/>
              </w:rPr>
              <w:t>Details</w:t>
            </w:r>
          </w:p>
        </w:tc>
        <w:tc>
          <w:tcPr>
            <w:tcW w:w="4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Cost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fair value</w:t>
            </w:r>
          </w:p>
        </w:tc>
        <w:tc>
          <w:tcPr>
            <w:tcW w:w="100" w:type="dxa"/>
            <w:vAlign w:val="bottom"/>
          </w:tcPr>
          <w:p>
            <w:pPr>
              <w:spacing w:after="0"/>
              <w:rPr>
                <w:sz w:val="18"/>
                <w:szCs w:val="18"/>
                <w:color w:val="auto"/>
              </w:rPr>
            </w:pPr>
          </w:p>
        </w:tc>
      </w:tr>
      <w:tr>
        <w:trPr>
          <w:trHeight w:val="221"/>
        </w:trPr>
        <w:tc>
          <w:tcPr>
            <w:tcW w:w="13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Due within one year</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22,547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22,637</w:t>
            </w:r>
          </w:p>
        </w:tc>
        <w:tc>
          <w:tcPr>
            <w:tcW w:w="100" w:type="dxa"/>
            <w:vAlign w:val="bottom"/>
            <w:shd w:val="clear" w:color="auto" w:fill="CCEEFF"/>
          </w:tcPr>
          <w:p>
            <w:pPr>
              <w:spacing w:after="0"/>
              <w:rPr>
                <w:sz w:val="19"/>
                <w:szCs w:val="19"/>
                <w:color w:val="auto"/>
              </w:rPr>
            </w:pPr>
          </w:p>
        </w:tc>
      </w:tr>
      <w:tr>
        <w:trPr>
          <w:trHeight w:val="221"/>
        </w:trPr>
        <w:tc>
          <w:tcPr>
            <w:tcW w:w="4060" w:type="dxa"/>
            <w:vAlign w:val="bottom"/>
            <w:gridSpan w:val="2"/>
          </w:tcPr>
          <w:p>
            <w:pPr>
              <w:ind w:left="1300"/>
              <w:spacing w:after="0"/>
              <w:rPr>
                <w:sz w:val="20"/>
                <w:szCs w:val="20"/>
                <w:color w:val="auto"/>
              </w:rPr>
            </w:pPr>
            <w:r>
              <w:rPr>
                <w:rFonts w:ascii="Arial" w:cs="Arial" w:eastAsia="Arial" w:hAnsi="Arial"/>
                <w:sz w:val="16"/>
                <w:szCs w:val="16"/>
                <w:color w:val="auto"/>
              </w:rPr>
              <w:t>Due within 2-5 years</w:t>
            </w:r>
          </w:p>
        </w:tc>
        <w:tc>
          <w:tcPr>
            <w:tcW w:w="4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127,576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126,510</w:t>
            </w:r>
          </w:p>
        </w:tc>
        <w:tc>
          <w:tcPr>
            <w:tcW w:w="100" w:type="dxa"/>
            <w:vAlign w:val="bottom"/>
          </w:tcPr>
          <w:p>
            <w:pPr>
              <w:spacing w:after="0"/>
              <w:rPr>
                <w:sz w:val="19"/>
                <w:szCs w:val="19"/>
                <w:color w:val="auto"/>
              </w:rPr>
            </w:pPr>
          </w:p>
        </w:tc>
      </w:tr>
      <w:tr>
        <w:trPr>
          <w:trHeight w:val="227"/>
        </w:trPr>
        <w:tc>
          <w:tcPr>
            <w:tcW w:w="13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Due after 5 years</w:t>
            </w:r>
          </w:p>
        </w:tc>
        <w:tc>
          <w:tcPr>
            <w:tcW w:w="47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39,420</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40,145</w:t>
            </w:r>
          </w:p>
        </w:tc>
        <w:tc>
          <w:tcPr>
            <w:tcW w:w="100" w:type="dxa"/>
            <w:vAlign w:val="bottom"/>
            <w:shd w:val="clear" w:color="auto" w:fill="CCEEFF"/>
          </w:tcPr>
          <w:p>
            <w:pPr>
              <w:spacing w:after="0"/>
              <w:rPr>
                <w:sz w:val="19"/>
                <w:szCs w:val="19"/>
                <w:color w:val="auto"/>
              </w:rPr>
            </w:pPr>
          </w:p>
        </w:tc>
      </w:tr>
      <w:tr>
        <w:trPr>
          <w:trHeight w:val="197"/>
        </w:trPr>
        <w:tc>
          <w:tcPr>
            <w:tcW w:w="13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189,543</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189,292</w:t>
            </w:r>
          </w:p>
        </w:tc>
        <w:tc>
          <w:tcPr>
            <w:tcW w:w="10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13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860" w:type="dxa"/>
            <w:vAlign w:val="bottom"/>
            <w:gridSpan w:val="2"/>
          </w:tcPr>
          <w:p>
            <w:pPr>
              <w:jc w:val="right"/>
              <w:ind w:right="3023"/>
              <w:spacing w:after="0"/>
              <w:rPr>
                <w:sz w:val="20"/>
                <w:szCs w:val="20"/>
                <w:color w:val="auto"/>
              </w:rPr>
            </w:pPr>
            <w:r>
              <w:rPr>
                <w:rFonts w:ascii="Arial" w:cs="Arial" w:eastAsia="Arial" w:hAnsi="Arial"/>
                <w:sz w:val="16"/>
                <w:szCs w:val="16"/>
                <w:color w:val="auto"/>
              </w:rPr>
              <w:t>F - 28</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320" w:type="dxa"/>
            <w:vAlign w:val="bottom"/>
            <w:tcBorders>
              <w:bottom w:val="single" w:sz="8" w:color="EEEEEE"/>
            </w:tcBorders>
          </w:tcPr>
          <w:p>
            <w:pPr>
              <w:spacing w:after="0"/>
              <w:rPr>
                <w:sz w:val="19"/>
                <w:szCs w:val="19"/>
                <w:color w:val="auto"/>
              </w:rPr>
            </w:pPr>
          </w:p>
        </w:tc>
        <w:tc>
          <w:tcPr>
            <w:tcW w:w="2740" w:type="dxa"/>
            <w:vAlign w:val="bottom"/>
            <w:tcBorders>
              <w:bottom w:val="single" w:sz="8" w:color="EEEEEE"/>
            </w:tcBorders>
          </w:tcPr>
          <w:p>
            <w:pPr>
              <w:spacing w:after="0"/>
              <w:rPr>
                <w:sz w:val="19"/>
                <w:szCs w:val="19"/>
                <w:color w:val="auto"/>
              </w:rPr>
            </w:pPr>
          </w:p>
        </w:tc>
        <w:tc>
          <w:tcPr>
            <w:tcW w:w="472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940" w:type="dxa"/>
            <w:vAlign w:val="bottom"/>
            <w:tcBorders>
              <w:bottom w:val="single" w:sz="8" w:color="EEEEEE"/>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94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-35560</wp:posOffset>
            </wp:positionV>
            <wp:extent cx="7169785" cy="48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NOTE 12:</w:t>
      </w:r>
      <w:r>
        <w:rPr>
          <w:sz w:val="20"/>
          <w:szCs w:val="20"/>
          <w:color w:val="auto"/>
        </w:rPr>
        <w:tab/>
      </w:r>
      <w:r>
        <w:rPr>
          <w:rFonts w:ascii="Arial" w:cs="Arial" w:eastAsia="Arial" w:hAnsi="Arial"/>
          <w:sz w:val="16"/>
          <w:szCs w:val="16"/>
          <w:b w:val="1"/>
          <w:bCs w:val="1"/>
          <w:color w:val="auto"/>
        </w:rPr>
        <w:t>FINANCIAL INSTRUMENTS AND FAIR VALUE MEASUREMENTS (Continued)</w:t>
      </w:r>
    </w:p>
    <w:p>
      <w:pPr>
        <w:spacing w:after="0" w:line="189" w:lineRule="exact"/>
        <w:rPr>
          <w:sz w:val="20"/>
          <w:szCs w:val="20"/>
          <w:color w:val="auto"/>
        </w:rPr>
      </w:pPr>
    </w:p>
    <w:p>
      <w:pPr>
        <w:ind w:left="1300"/>
        <w:spacing w:after="0" w:line="288" w:lineRule="auto"/>
        <w:rPr>
          <w:sz w:val="20"/>
          <w:szCs w:val="20"/>
          <w:color w:val="auto"/>
        </w:rPr>
      </w:pPr>
      <w:r>
        <w:rPr>
          <w:rFonts w:ascii="Arial" w:cs="Arial" w:eastAsia="Arial" w:hAnsi="Arial"/>
          <w:sz w:val="16"/>
          <w:szCs w:val="16"/>
          <w:color w:val="auto"/>
        </w:rPr>
        <w:t>The following table summarizes amortized costs, gross unrealized gains and losses and estimated fair values of available-for-sale marketable securities as of December 31, 2020:</w:t>
      </w:r>
    </w:p>
    <w:p>
      <w:pPr>
        <w:spacing w:after="0" w:line="136" w:lineRule="exact"/>
        <w:rPr>
          <w:sz w:val="20"/>
          <w:szCs w:val="20"/>
          <w:color w:val="auto"/>
        </w:rPr>
      </w:pPr>
    </w:p>
    <w:tbl>
      <w:tblPr>
        <w:tblLayout w:type="fixed"/>
        <w:tblInd w:w="130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78"/>
              <w:spacing w:after="0"/>
              <w:rPr>
                <w:sz w:val="20"/>
                <w:szCs w:val="20"/>
                <w:color w:val="auto"/>
              </w:rPr>
            </w:pPr>
            <w:r>
              <w:rPr>
                <w:rFonts w:ascii="Arial" w:cs="Arial" w:eastAsia="Arial" w:hAnsi="Arial"/>
                <w:sz w:val="16"/>
                <w:szCs w:val="16"/>
                <w:color w:val="auto"/>
                <w:w w:val="88"/>
              </w:rPr>
              <w:t>Gross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color w:val="auto"/>
                <w:w w:val="88"/>
              </w:rPr>
              <w:t>Gross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w w:val="96"/>
              </w:rPr>
              <w:t>Amortized cost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58"/>
              <w:spacing w:after="0"/>
              <w:rPr>
                <w:sz w:val="20"/>
                <w:szCs w:val="20"/>
                <w:color w:val="auto"/>
              </w:rPr>
            </w:pPr>
            <w:r>
              <w:rPr>
                <w:rFonts w:ascii="Arial" w:cs="Arial" w:eastAsia="Arial" w:hAnsi="Arial"/>
                <w:sz w:val="16"/>
                <w:szCs w:val="16"/>
                <w:color w:val="auto"/>
                <w:w w:val="92"/>
              </w:rPr>
              <w:t>unrealized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unrealized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color w:val="auto"/>
              </w:rPr>
              <w:t>Estimated</w:t>
            </w:r>
          </w:p>
        </w:tc>
      </w:tr>
      <w:tr>
        <w:trPr>
          <w:trHeight w:val="214"/>
        </w:trPr>
        <w:tc>
          <w:tcPr>
            <w:tcW w:w="4900" w:type="dxa"/>
            <w:vAlign w:val="bottom"/>
            <w:gridSpan w:val="2"/>
          </w:tcPr>
          <w:p>
            <w:pPr>
              <w:spacing w:after="0"/>
              <w:rPr>
                <w:sz w:val="20"/>
                <w:szCs w:val="20"/>
                <w:color w:val="auto"/>
              </w:rPr>
            </w:pPr>
            <w:r>
              <w:rPr>
                <w:rFonts w:ascii="Arial" w:cs="Arial" w:eastAsia="Arial" w:hAnsi="Arial"/>
                <w:sz w:val="16"/>
                <w:szCs w:val="16"/>
                <w:color w:val="auto"/>
              </w:rPr>
              <w:t>Details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color w:val="auto"/>
                <w:w w:val="88"/>
              </w:rPr>
              <w:t>gains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8"/>
              <w:spacing w:after="0"/>
              <w:rPr>
                <w:sz w:val="20"/>
                <w:szCs w:val="20"/>
                <w:color w:val="auto"/>
              </w:rPr>
            </w:pPr>
            <w:r>
              <w:rPr>
                <w:rFonts w:ascii="Arial" w:cs="Arial" w:eastAsia="Arial" w:hAnsi="Arial"/>
                <w:sz w:val="16"/>
                <w:szCs w:val="16"/>
                <w:color w:val="auto"/>
                <w:w w:val="88"/>
              </w:rPr>
              <w:t>losses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fair value</w:t>
            </w:r>
          </w:p>
        </w:tc>
        <w:tc>
          <w:tcPr>
            <w:tcW w:w="10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Corporate bonds</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154,577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155,049</w:t>
            </w:r>
          </w:p>
        </w:tc>
        <w:tc>
          <w:tcPr>
            <w:tcW w:w="100" w:type="dxa"/>
            <w:vAlign w:val="bottom"/>
            <w:shd w:val="clear" w:color="auto" w:fill="CCEEFF"/>
          </w:tcPr>
          <w:p>
            <w:pPr>
              <w:spacing w:after="0"/>
              <w:rPr>
                <w:sz w:val="19"/>
                <w:szCs w:val="19"/>
                <w:color w:val="auto"/>
              </w:rPr>
            </w:pPr>
          </w:p>
        </w:tc>
      </w:tr>
      <w:tr>
        <w:trPr>
          <w:trHeight w:val="221"/>
        </w:trPr>
        <w:tc>
          <w:tcPr>
            <w:tcW w:w="4900" w:type="dxa"/>
            <w:vAlign w:val="bottom"/>
            <w:gridSpan w:val="2"/>
          </w:tcPr>
          <w:p>
            <w:pPr>
              <w:spacing w:after="0"/>
              <w:rPr>
                <w:sz w:val="20"/>
                <w:szCs w:val="20"/>
                <w:color w:val="auto"/>
              </w:rPr>
            </w:pPr>
            <w:r>
              <w:rPr>
                <w:rFonts w:ascii="Arial" w:cs="Arial" w:eastAsia="Arial" w:hAnsi="Arial"/>
                <w:sz w:val="16"/>
                <w:szCs w:val="16"/>
                <w:color w:val="auto"/>
              </w:rPr>
              <w:t>Government bonds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32,894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32,878</w:t>
            </w:r>
          </w:p>
        </w:tc>
        <w:tc>
          <w:tcPr>
            <w:tcW w:w="10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Certificate of deposit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7"/>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187,719</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1,255</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(788)</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188,186</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sectPr>
          <w:pgSz w:w="11900" w:h="16838" w:orient="portrait"/>
          <w:cols w:equalWidth="0" w:num="1">
            <w:col w:w="11240"/>
          </w:cols>
          <w:pgMar w:left="320" w:top="271" w:right="339" w:bottom="1440" w:gutter="0" w:footer="0" w:header="0"/>
        </w:sectPr>
      </w:pPr>
    </w:p>
    <w:p>
      <w:pPr>
        <w:ind w:left="1300"/>
        <w:spacing w:after="0"/>
        <w:rPr>
          <w:sz w:val="20"/>
          <w:szCs w:val="20"/>
          <w:color w:val="auto"/>
        </w:rPr>
      </w:pPr>
      <w:r>
        <w:rPr>
          <w:rFonts w:ascii="Arial" w:cs="Arial" w:eastAsia="Arial" w:hAnsi="Arial"/>
          <w:sz w:val="16"/>
          <w:szCs w:val="16"/>
          <w:color w:val="auto"/>
        </w:rPr>
        <w:t>* Excluding accrued interest of $781.</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The scheduled maturities of available-for-sale marketable securities as of December 31, 2020, were as follows:</w:t>
      </w:r>
    </w:p>
    <w:p>
      <w:pPr>
        <w:spacing w:after="0" w:line="200" w:lineRule="exact"/>
        <w:rPr>
          <w:sz w:val="20"/>
          <w:szCs w:val="20"/>
          <w:color w:val="auto"/>
        </w:rPr>
      </w:pPr>
    </w:p>
    <w:p>
      <w:pPr>
        <w:spacing w:after="0" w:line="24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15875</wp:posOffset>
            </wp:positionV>
            <wp:extent cx="6309360" cy="140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309360" cy="140335"/>
                    </a:xfrm>
                    <a:prstGeom prst="rect">
                      <a:avLst/>
                    </a:prstGeom>
                    <a:noFill/>
                  </pic:spPr>
                </pic:pic>
              </a:graphicData>
            </a:graphic>
          </wp:anchor>
        </w:drawing>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Due within one year</w:t>
      </w:r>
    </w:p>
    <w:p>
      <w:pPr>
        <w:spacing w:after="0" w:line="3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Due within 2-5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15875</wp:posOffset>
            </wp:positionV>
            <wp:extent cx="6309360" cy="1562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309360" cy="156210"/>
                    </a:xfrm>
                    <a:prstGeom prst="rect">
                      <a:avLst/>
                    </a:prstGeom>
                    <a:noFill/>
                  </pic:spPr>
                </pic:pic>
              </a:graphicData>
            </a:graphic>
          </wp:anchor>
        </w:drawing>
      </w:r>
    </w:p>
    <w:p>
      <w:pPr>
        <w:spacing w:after="0" w:line="4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Due after 5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Estimated fair</w:t>
            </w:r>
          </w:p>
        </w:tc>
      </w:tr>
      <w:tr>
        <w:trPr>
          <w:trHeight w:val="214"/>
        </w:trPr>
        <w:tc>
          <w:tcPr>
            <w:tcW w:w="20" w:type="dxa"/>
            <w:vAlign w:val="bottom"/>
          </w:tcPr>
          <w:p>
            <w:pPr>
              <w:spacing w:after="0"/>
              <w:rPr>
                <w:sz w:val="18"/>
                <w:szCs w:val="18"/>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5"/>
              </w:rPr>
              <w:t>Amortized Cost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value</w:t>
            </w:r>
          </w:p>
        </w:tc>
      </w:tr>
      <w:tr>
        <w:trPr>
          <w:trHeight w:val="220"/>
        </w:trPr>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22,772</w:t>
            </w:r>
          </w:p>
        </w:tc>
        <w:tc>
          <w:tcPr>
            <w:tcW w:w="42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22,800</w:t>
            </w:r>
          </w:p>
        </w:tc>
      </w:tr>
      <w:tr>
        <w:trPr>
          <w:trHeight w:val="221"/>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138,894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139,210</w:t>
            </w:r>
          </w:p>
        </w:tc>
      </w:tr>
      <w:tr>
        <w:trPr>
          <w:trHeight w:val="227"/>
        </w:trPr>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26,053</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26,176</w:t>
            </w:r>
          </w:p>
        </w:tc>
      </w:tr>
      <w:tr>
        <w:trPr>
          <w:trHeight w:val="197"/>
        </w:trPr>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187,719</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188,186</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ectPr>
          <w:pgSz w:w="11900" w:h="16838" w:orient="portrait"/>
          <w:cols w:equalWidth="0" w:num="2">
            <w:col w:w="8580" w:space="200"/>
            <w:col w:w="2460"/>
          </w:cols>
          <w:pgMar w:left="320" w:top="271" w:right="339" w:bottom="1440" w:gutter="0" w:footer="0" w:header="0"/>
          <w:type w:val="continuous"/>
        </w:sectPr>
      </w:pPr>
    </w:p>
    <w:p>
      <w:pPr>
        <w:ind w:left="1300"/>
        <w:spacing w:after="0" w:line="288" w:lineRule="auto"/>
        <w:rPr>
          <w:sz w:val="20"/>
          <w:szCs w:val="20"/>
          <w:color w:val="auto"/>
        </w:rPr>
      </w:pPr>
      <w:r>
        <w:rPr>
          <w:rFonts w:ascii="Arial" w:cs="Arial" w:eastAsia="Arial" w:hAnsi="Arial"/>
          <w:sz w:val="16"/>
          <w:szCs w:val="16"/>
          <w:color w:val="auto"/>
        </w:rPr>
        <w:t>Investments with continuous unrealized losses for less than twelve months and twelve months or more and their related fair values as of December 31, 2021 and December 31, 2020, were as indicated in the following tables: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color w:val="auto"/>
              </w:rPr>
              <w:t>December 31, 2021</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4"/>
        </w:trPr>
        <w:tc>
          <w:tcPr>
            <w:tcW w:w="1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5"/>
          </w:tcPr>
          <w:p>
            <w:pPr>
              <w:jc w:val="center"/>
              <w:ind w:right="260"/>
              <w:spacing w:after="0"/>
              <w:rPr>
                <w:sz w:val="20"/>
                <w:szCs w:val="20"/>
                <w:color w:val="auto"/>
              </w:rPr>
            </w:pPr>
            <w:r>
              <w:rPr>
                <w:rFonts w:ascii="Arial" w:cs="Arial" w:eastAsia="Arial" w:hAnsi="Arial"/>
                <w:sz w:val="16"/>
                <w:szCs w:val="16"/>
                <w:color w:val="auto"/>
                <w:w w:val="94"/>
              </w:rPr>
              <w:t>Investment with continuous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6"/>
                <w:szCs w:val="16"/>
                <w:color w:val="auto"/>
                <w:w w:val="94"/>
              </w:rPr>
              <w:t>Investments with continuous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7"/>
        </w:trPr>
        <w:tc>
          <w:tcPr>
            <w:tcW w:w="1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5"/>
          </w:tcPr>
          <w:p>
            <w:pPr>
              <w:jc w:val="center"/>
              <w:ind w:right="280"/>
              <w:spacing w:after="0"/>
              <w:rPr>
                <w:sz w:val="20"/>
                <w:szCs w:val="20"/>
                <w:color w:val="auto"/>
              </w:rPr>
            </w:pPr>
            <w:r>
              <w:rPr>
                <w:rFonts w:ascii="Arial" w:cs="Arial" w:eastAsia="Arial" w:hAnsi="Arial"/>
                <w:sz w:val="16"/>
                <w:szCs w:val="16"/>
                <w:color w:val="auto"/>
                <w:w w:val="91"/>
              </w:rPr>
              <w:t>unrealized losses for less than</w:t>
            </w:r>
          </w:p>
        </w:tc>
        <w:tc>
          <w:tcPr>
            <w:tcW w:w="80" w:type="dxa"/>
            <w:vAlign w:val="bottom"/>
          </w:tcPr>
          <w:p>
            <w:pPr>
              <w:spacing w:after="0"/>
              <w:rPr>
                <w:sz w:val="17"/>
                <w:szCs w:val="17"/>
                <w:color w:val="auto"/>
              </w:rPr>
            </w:pPr>
          </w:p>
        </w:tc>
        <w:tc>
          <w:tcPr>
            <w:tcW w:w="2480" w:type="dxa"/>
            <w:vAlign w:val="bottom"/>
            <w:gridSpan w:val="6"/>
          </w:tcPr>
          <w:p>
            <w:pPr>
              <w:jc w:val="center"/>
              <w:ind w:right="140"/>
              <w:spacing w:after="0"/>
              <w:rPr>
                <w:sz w:val="20"/>
                <w:szCs w:val="20"/>
                <w:color w:val="auto"/>
              </w:rPr>
            </w:pPr>
            <w:r>
              <w:rPr>
                <w:rFonts w:ascii="Arial" w:cs="Arial" w:eastAsia="Arial" w:hAnsi="Arial"/>
                <w:sz w:val="16"/>
                <w:szCs w:val="16"/>
                <w:color w:val="auto"/>
                <w:w w:val="92"/>
              </w:rPr>
              <w:t>unrealized losses for twelve months</w:t>
            </w:r>
          </w:p>
        </w:tc>
        <w:tc>
          <w:tcPr>
            <w:tcW w:w="80" w:type="dxa"/>
            <w:vAlign w:val="bottom"/>
          </w:tcPr>
          <w:p>
            <w:pPr>
              <w:spacing w:after="0"/>
              <w:rPr>
                <w:sz w:val="17"/>
                <w:szCs w:val="17"/>
                <w:color w:val="auto"/>
              </w:rPr>
            </w:pPr>
          </w:p>
        </w:tc>
        <w:tc>
          <w:tcPr>
            <w:tcW w:w="2440" w:type="dxa"/>
            <w:vAlign w:val="bottom"/>
            <w:gridSpan w:val="6"/>
          </w:tcPr>
          <w:p>
            <w:pPr>
              <w:jc w:val="right"/>
              <w:ind w:right="140"/>
              <w:spacing w:after="0"/>
              <w:rPr>
                <w:sz w:val="20"/>
                <w:szCs w:val="20"/>
                <w:color w:val="auto"/>
              </w:rPr>
            </w:pPr>
            <w:r>
              <w:rPr>
                <w:rFonts w:ascii="Arial" w:cs="Arial" w:eastAsia="Arial" w:hAnsi="Arial"/>
                <w:sz w:val="16"/>
                <w:szCs w:val="16"/>
                <w:color w:val="auto"/>
                <w:w w:val="94"/>
              </w:rPr>
              <w:t>Total investments with continuous</w:t>
            </w:r>
          </w:p>
        </w:tc>
      </w:tr>
      <w:tr>
        <w:trPr>
          <w:trHeight w:val="214"/>
        </w:trPr>
        <w:tc>
          <w:tcPr>
            <w:tcW w:w="1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5"/>
          </w:tcPr>
          <w:p>
            <w:pPr>
              <w:jc w:val="center"/>
              <w:ind w:right="280"/>
              <w:spacing w:after="0"/>
              <w:rPr>
                <w:sz w:val="20"/>
                <w:szCs w:val="20"/>
                <w:color w:val="auto"/>
              </w:rPr>
            </w:pPr>
            <w:r>
              <w:rPr>
                <w:rFonts w:ascii="Arial" w:cs="Arial" w:eastAsia="Arial" w:hAnsi="Arial"/>
                <w:sz w:val="16"/>
                <w:szCs w:val="16"/>
                <w:color w:val="auto"/>
                <w:w w:val="93"/>
              </w:rPr>
              <w:t>twelve months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center"/>
              <w:ind w:left="678"/>
              <w:spacing w:after="0"/>
              <w:rPr>
                <w:sz w:val="20"/>
                <w:szCs w:val="20"/>
                <w:color w:val="auto"/>
              </w:rPr>
            </w:pPr>
            <w:r>
              <w:rPr>
                <w:rFonts w:ascii="Arial" w:cs="Arial" w:eastAsia="Arial" w:hAnsi="Arial"/>
                <w:sz w:val="16"/>
                <w:szCs w:val="16"/>
                <w:color w:val="auto"/>
                <w:w w:val="90"/>
              </w:rPr>
              <w:t>or more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5"/>
          </w:tcPr>
          <w:p>
            <w:pPr>
              <w:jc w:val="right"/>
              <w:ind w:right="720"/>
              <w:spacing w:after="0"/>
              <w:rPr>
                <w:sz w:val="20"/>
                <w:szCs w:val="20"/>
                <w:color w:val="auto"/>
              </w:rPr>
            </w:pPr>
            <w:r>
              <w:rPr>
                <w:rFonts w:ascii="Arial" w:cs="Arial" w:eastAsia="Arial" w:hAnsi="Arial"/>
                <w:sz w:val="16"/>
                <w:szCs w:val="16"/>
                <w:color w:val="auto"/>
              </w:rPr>
              <w:t>unrealized losses</w:t>
            </w:r>
          </w:p>
        </w:tc>
      </w:tr>
      <w:tr>
        <w:trPr>
          <w:trHeight w:val="184"/>
        </w:trPr>
        <w:tc>
          <w:tcPr>
            <w:tcW w:w="1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color w:val="auto"/>
                <w:w w:val="96"/>
              </w:rPr>
              <w:t>Unrealized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18"/>
              <w:spacing w:after="0"/>
              <w:rPr>
                <w:sz w:val="20"/>
                <w:szCs w:val="20"/>
                <w:color w:val="auto"/>
              </w:rPr>
            </w:pPr>
            <w:r>
              <w:rPr>
                <w:rFonts w:ascii="Arial" w:cs="Arial" w:eastAsia="Arial" w:hAnsi="Arial"/>
                <w:sz w:val="16"/>
                <w:szCs w:val="16"/>
                <w:color w:val="auto"/>
                <w:w w:val="94"/>
              </w:rPr>
              <w:t>Unrealized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color w:val="auto"/>
                <w:w w:val="96"/>
              </w:rPr>
              <w:t>Unrealized</w:t>
            </w:r>
          </w:p>
        </w:tc>
        <w:tc>
          <w:tcPr>
            <w:tcW w:w="80" w:type="dxa"/>
            <w:vAlign w:val="bottom"/>
          </w:tcPr>
          <w:p>
            <w:pPr>
              <w:spacing w:after="0"/>
              <w:rPr>
                <w:sz w:val="16"/>
                <w:szCs w:val="16"/>
                <w:color w:val="auto"/>
              </w:rPr>
            </w:pPr>
          </w:p>
        </w:tc>
      </w:tr>
      <w:tr>
        <w:trPr>
          <w:trHeight w:val="214"/>
        </w:trPr>
        <w:tc>
          <w:tcPr>
            <w:tcW w:w="3080" w:type="dxa"/>
            <w:vAlign w:val="bottom"/>
            <w:gridSpan w:val="2"/>
          </w:tcPr>
          <w:p>
            <w:pPr>
              <w:ind w:left="1300"/>
              <w:spacing w:after="0"/>
              <w:rPr>
                <w:sz w:val="20"/>
                <w:szCs w:val="20"/>
                <w:color w:val="auto"/>
              </w:rPr>
            </w:pPr>
            <w:r>
              <w:rPr>
                <w:rFonts w:ascii="Arial" w:cs="Arial" w:eastAsia="Arial" w:hAnsi="Arial"/>
                <w:sz w:val="16"/>
                <w:szCs w:val="16"/>
                <w:color w:val="auto"/>
              </w:rPr>
              <w:t>Details</w:t>
            </w: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Fair value</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losses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w w:val="99"/>
              </w:rPr>
              <w:t>Fair value</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8"/>
              <w:spacing w:after="0"/>
              <w:rPr>
                <w:sz w:val="20"/>
                <w:szCs w:val="20"/>
                <w:color w:val="auto"/>
              </w:rPr>
            </w:pPr>
            <w:r>
              <w:rPr>
                <w:rFonts w:ascii="Arial" w:cs="Arial" w:eastAsia="Arial" w:hAnsi="Arial"/>
                <w:sz w:val="16"/>
                <w:szCs w:val="16"/>
                <w:color w:val="auto"/>
                <w:w w:val="83"/>
              </w:rPr>
              <w:t>losses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w w:val="99"/>
              </w:rPr>
              <w:t>Fair value</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losses</w:t>
            </w:r>
          </w:p>
        </w:tc>
        <w:tc>
          <w:tcPr>
            <w:tcW w:w="80" w:type="dxa"/>
            <w:vAlign w:val="bottom"/>
          </w:tcPr>
          <w:p>
            <w:pPr>
              <w:spacing w:after="0"/>
              <w:rPr>
                <w:sz w:val="18"/>
                <w:szCs w:val="18"/>
                <w:color w:val="auto"/>
              </w:rPr>
            </w:pPr>
          </w:p>
        </w:tc>
      </w:tr>
      <w:tr>
        <w:trPr>
          <w:trHeight w:val="221"/>
        </w:trPr>
        <w:tc>
          <w:tcPr>
            <w:tcW w:w="1320" w:type="dxa"/>
            <w:vAlign w:val="bottom"/>
          </w:tcPr>
          <w:p>
            <w:pPr>
              <w:spacing w:after="0"/>
              <w:rPr>
                <w:sz w:val="19"/>
                <w:szCs w:val="19"/>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6"/>
                <w:szCs w:val="16"/>
                <w:color w:val="auto"/>
              </w:rPr>
              <w:t>Corporate bonds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87,495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11,182</w:t>
            </w:r>
          </w:p>
        </w:tc>
        <w:tc>
          <w:tcPr>
            <w:tcW w:w="360" w:type="dxa"/>
            <w:vAlign w:val="bottom"/>
            <w:gridSpan w:val="2"/>
            <w:shd w:val="clear" w:color="auto" w:fill="CCEEFF"/>
          </w:tcPr>
          <w:p>
            <w:pPr>
              <w:jc w:val="right"/>
              <w:ind w:right="4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(182)</w:t>
            </w:r>
          </w:p>
        </w:tc>
        <w:tc>
          <w:tcPr>
            <w:tcW w:w="220" w:type="dxa"/>
            <w:vAlign w:val="bottom"/>
            <w:gridSpan w:val="2"/>
            <w:shd w:val="clear" w:color="auto" w:fill="CCEEFF"/>
          </w:tcPr>
          <w:p>
            <w:pPr>
              <w:jc w:val="right"/>
              <w:ind w:right="13"/>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(1,311)</w:t>
            </w:r>
          </w:p>
        </w:tc>
      </w:tr>
      <w:tr>
        <w:trPr>
          <w:trHeight w:val="226"/>
        </w:trPr>
        <w:tc>
          <w:tcPr>
            <w:tcW w:w="3080" w:type="dxa"/>
            <w:vAlign w:val="bottom"/>
            <w:gridSpan w:val="2"/>
          </w:tcPr>
          <w:p>
            <w:pPr>
              <w:ind w:left="1300"/>
              <w:spacing w:after="0"/>
              <w:rPr>
                <w:sz w:val="20"/>
                <w:szCs w:val="20"/>
                <w:color w:val="auto"/>
              </w:rPr>
            </w:pPr>
            <w:r>
              <w:rPr>
                <w:rFonts w:ascii="Arial" w:cs="Arial" w:eastAsia="Arial" w:hAnsi="Arial"/>
                <w:sz w:val="16"/>
                <w:szCs w:val="16"/>
                <w:color w:val="auto"/>
              </w:rPr>
              <w:t>Government bonds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13,117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10,725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00"/>
              <w:spacing w:after="0"/>
              <w:rPr>
                <w:sz w:val="20"/>
                <w:szCs w:val="20"/>
                <w:color w:val="auto"/>
              </w:rPr>
            </w:pPr>
            <w:r>
              <w:rPr>
                <w:rFonts w:ascii="Arial" w:cs="Arial" w:eastAsia="Arial" w:hAnsi="Arial"/>
                <w:sz w:val="16"/>
                <w:szCs w:val="16"/>
                <w:color w:val="auto"/>
              </w:rPr>
              <w:t>(235)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23,842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(399)</w:t>
            </w:r>
          </w:p>
        </w:tc>
      </w:tr>
      <w:tr>
        <w:trPr>
          <w:trHeight w:val="237"/>
        </w:trPr>
        <w:tc>
          <w:tcPr>
            <w:tcW w:w="1320" w:type="dxa"/>
            <w:vAlign w:val="bottom"/>
          </w:tcPr>
          <w:p>
            <w:pPr>
              <w:spacing w:after="0"/>
              <w:rPr>
                <w:sz w:val="20"/>
                <w:szCs w:val="20"/>
                <w:color w:val="auto"/>
              </w:rPr>
            </w:pPr>
          </w:p>
        </w:tc>
        <w:tc>
          <w:tcPr>
            <w:tcW w:w="1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100,612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21,907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w w:val="80"/>
              </w:rPr>
              <w:t>(417)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122,519</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787"/>
        </w:trPr>
        <w:tc>
          <w:tcPr>
            <w:tcW w:w="1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F - 29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320" w:type="dxa"/>
            <w:vAlign w:val="bottom"/>
            <w:tcBorders>
              <w:bottom w:val="single" w:sz="8" w:color="EEEEEE"/>
            </w:tcBorders>
          </w:tcPr>
          <w:p>
            <w:pPr>
              <w:spacing w:after="0"/>
              <w:rPr>
                <w:sz w:val="19"/>
                <w:szCs w:val="19"/>
                <w:color w:val="auto"/>
              </w:rPr>
            </w:pPr>
          </w:p>
        </w:tc>
        <w:tc>
          <w:tcPr>
            <w:tcW w:w="1760" w:type="dxa"/>
            <w:vAlign w:val="bottom"/>
            <w:tcBorders>
              <w:bottom w:val="single" w:sz="8" w:color="EEEEEE"/>
            </w:tcBorders>
          </w:tcPr>
          <w:p>
            <w:pPr>
              <w:spacing w:after="0"/>
              <w:rPr>
                <w:sz w:val="19"/>
                <w:szCs w:val="19"/>
                <w:color w:val="auto"/>
              </w:rPr>
            </w:pPr>
          </w:p>
        </w:tc>
        <w:tc>
          <w:tcPr>
            <w:tcW w:w="54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96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96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940" w:type="dxa"/>
            <w:vAlign w:val="bottom"/>
            <w:tcBorders>
              <w:bottom w:val="single" w:sz="8" w:color="EEEEEE"/>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92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94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96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-35560</wp:posOffset>
            </wp:positionV>
            <wp:extent cx="7169785" cy="488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gridSpan w:val="12"/>
          </w:tcPr>
          <w:p>
            <w:pPr>
              <w:jc w:val="right"/>
              <w:ind w:right="298"/>
              <w:spacing w:after="0"/>
              <w:rPr>
                <w:sz w:val="20"/>
                <w:szCs w:val="20"/>
                <w:color w:val="auto"/>
              </w:rPr>
            </w:pPr>
            <w:r>
              <w:rPr>
                <w:rFonts w:ascii="Arial" w:cs="Arial" w:eastAsia="Arial" w:hAnsi="Arial"/>
                <w:sz w:val="16"/>
                <w:szCs w:val="16"/>
                <w:b w:val="1"/>
                <w:bCs w:val="1"/>
                <w:color w:val="auto"/>
              </w:rPr>
              <w:t>NOTE 12:   FINANCIAL INSTRUMENTS AND FAIR VALUE MEASUREMENTS (Continued)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75"/>
        </w:trPr>
        <w:tc>
          <w:tcPr>
            <w:tcW w:w="1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6"/>
                <w:szCs w:val="16"/>
                <w:color w:val="auto"/>
              </w:rPr>
              <w:t>December 31, 2020</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1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5"/>
          </w:tcPr>
          <w:p>
            <w:pPr>
              <w:jc w:val="center"/>
              <w:ind w:right="300"/>
              <w:spacing w:after="0"/>
              <w:rPr>
                <w:sz w:val="20"/>
                <w:szCs w:val="20"/>
                <w:color w:val="auto"/>
              </w:rPr>
            </w:pPr>
            <w:r>
              <w:rPr>
                <w:rFonts w:ascii="Arial" w:cs="Arial" w:eastAsia="Arial" w:hAnsi="Arial"/>
                <w:sz w:val="16"/>
                <w:szCs w:val="16"/>
                <w:color w:val="auto"/>
                <w:w w:val="94"/>
              </w:rPr>
              <w:t>Investment with continuous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6"/>
                <w:szCs w:val="16"/>
                <w:color w:val="auto"/>
                <w:w w:val="94"/>
              </w:rPr>
              <w:t>Investments with continuous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4"/>
          </w:tcPr>
          <w:p>
            <w:pPr>
              <w:jc w:val="center"/>
              <w:ind w:right="138"/>
              <w:spacing w:after="0"/>
              <w:rPr>
                <w:sz w:val="20"/>
                <w:szCs w:val="20"/>
                <w:color w:val="auto"/>
              </w:rPr>
            </w:pPr>
            <w:r>
              <w:rPr>
                <w:rFonts w:ascii="Arial" w:cs="Arial" w:eastAsia="Arial" w:hAnsi="Arial"/>
                <w:sz w:val="16"/>
                <w:szCs w:val="16"/>
                <w:color w:val="auto"/>
                <w:w w:val="94"/>
              </w:rPr>
              <w:t>Total investments with</w:t>
            </w:r>
          </w:p>
        </w:tc>
        <w:tc>
          <w:tcPr>
            <w:tcW w:w="80" w:type="dxa"/>
            <w:vAlign w:val="bottom"/>
          </w:tcPr>
          <w:p>
            <w:pPr>
              <w:spacing w:after="0"/>
              <w:rPr>
                <w:sz w:val="16"/>
                <w:szCs w:val="16"/>
                <w:color w:val="auto"/>
              </w:rPr>
            </w:pPr>
          </w:p>
        </w:tc>
      </w:tr>
      <w:tr>
        <w:trPr>
          <w:trHeight w:val="197"/>
        </w:trPr>
        <w:tc>
          <w:tcPr>
            <w:tcW w:w="1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gridSpan w:val="5"/>
          </w:tcPr>
          <w:p>
            <w:pPr>
              <w:jc w:val="center"/>
              <w:ind w:right="320"/>
              <w:spacing w:after="0"/>
              <w:rPr>
                <w:sz w:val="20"/>
                <w:szCs w:val="20"/>
                <w:color w:val="auto"/>
              </w:rPr>
            </w:pPr>
            <w:r>
              <w:rPr>
                <w:rFonts w:ascii="Arial" w:cs="Arial" w:eastAsia="Arial" w:hAnsi="Arial"/>
                <w:sz w:val="16"/>
                <w:szCs w:val="16"/>
                <w:color w:val="auto"/>
                <w:w w:val="91"/>
              </w:rPr>
              <w:t>unrealized losses for less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6"/>
                <w:szCs w:val="16"/>
                <w:color w:val="auto"/>
                <w:w w:val="92"/>
              </w:rPr>
              <w:t>unrealized losses for twelve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5"/>
          </w:tcPr>
          <w:p>
            <w:pPr>
              <w:jc w:val="center"/>
              <w:ind w:right="320"/>
              <w:spacing w:after="0"/>
              <w:rPr>
                <w:sz w:val="20"/>
                <w:szCs w:val="20"/>
                <w:color w:val="auto"/>
              </w:rPr>
            </w:pPr>
            <w:r>
              <w:rPr>
                <w:rFonts w:ascii="Arial" w:cs="Arial" w:eastAsia="Arial" w:hAnsi="Arial"/>
                <w:sz w:val="16"/>
                <w:szCs w:val="16"/>
                <w:color w:val="auto"/>
                <w:w w:val="92"/>
              </w:rPr>
              <w:t>continuous unrealized</w:t>
            </w:r>
          </w:p>
        </w:tc>
      </w:tr>
      <w:tr>
        <w:trPr>
          <w:trHeight w:val="214"/>
        </w:trPr>
        <w:tc>
          <w:tcPr>
            <w:tcW w:w="1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5"/>
          </w:tcPr>
          <w:p>
            <w:pPr>
              <w:jc w:val="center"/>
              <w:ind w:right="320"/>
              <w:spacing w:after="0"/>
              <w:rPr>
                <w:sz w:val="20"/>
                <w:szCs w:val="20"/>
                <w:color w:val="auto"/>
              </w:rPr>
            </w:pPr>
            <w:r>
              <w:rPr>
                <w:rFonts w:ascii="Arial" w:cs="Arial" w:eastAsia="Arial" w:hAnsi="Arial"/>
                <w:sz w:val="16"/>
                <w:szCs w:val="16"/>
                <w:color w:val="auto"/>
                <w:w w:val="92"/>
              </w:rPr>
              <w:t>than twelve months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6"/>
                <w:szCs w:val="16"/>
                <w:color w:val="auto"/>
                <w:w w:val="91"/>
              </w:rPr>
              <w:t>months or more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center"/>
              <w:ind w:left="658"/>
              <w:spacing w:after="0"/>
              <w:rPr>
                <w:sz w:val="20"/>
                <w:szCs w:val="20"/>
                <w:color w:val="auto"/>
              </w:rPr>
            </w:pPr>
            <w:r>
              <w:rPr>
                <w:rFonts w:ascii="Arial" w:cs="Arial" w:eastAsia="Arial" w:hAnsi="Arial"/>
                <w:sz w:val="16"/>
                <w:szCs w:val="16"/>
                <w:color w:val="auto"/>
                <w:w w:val="83"/>
              </w:rPr>
              <w:t>losses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4"/>
        </w:trPr>
        <w:tc>
          <w:tcPr>
            <w:tcW w:w="1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38"/>
              <w:spacing w:after="0"/>
              <w:rPr>
                <w:sz w:val="20"/>
                <w:szCs w:val="20"/>
                <w:color w:val="auto"/>
              </w:rPr>
            </w:pPr>
            <w:r>
              <w:rPr>
                <w:rFonts w:ascii="Arial" w:cs="Arial" w:eastAsia="Arial" w:hAnsi="Arial"/>
                <w:sz w:val="16"/>
                <w:szCs w:val="16"/>
                <w:color w:val="auto"/>
              </w:rPr>
              <w:t>Fair</w:t>
            </w: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color w:val="auto"/>
                <w:w w:val="96"/>
              </w:rPr>
              <w:t>Unrealized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38"/>
              <w:spacing w:after="0"/>
              <w:rPr>
                <w:sz w:val="20"/>
                <w:szCs w:val="20"/>
                <w:color w:val="auto"/>
              </w:rPr>
            </w:pPr>
            <w:r>
              <w:rPr>
                <w:rFonts w:ascii="Arial" w:cs="Arial" w:eastAsia="Arial" w:hAnsi="Arial"/>
                <w:sz w:val="16"/>
                <w:szCs w:val="16"/>
                <w:color w:val="auto"/>
              </w:rPr>
              <w:t>Fair</w:t>
            </w: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color w:val="auto"/>
                <w:w w:val="96"/>
              </w:rPr>
              <w:t>Unrealized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38"/>
              <w:spacing w:after="0"/>
              <w:rPr>
                <w:sz w:val="20"/>
                <w:szCs w:val="20"/>
                <w:color w:val="auto"/>
              </w:rPr>
            </w:pPr>
            <w:r>
              <w:rPr>
                <w:rFonts w:ascii="Arial" w:cs="Arial" w:eastAsia="Arial" w:hAnsi="Arial"/>
                <w:sz w:val="16"/>
                <w:szCs w:val="16"/>
                <w:color w:val="auto"/>
              </w:rPr>
              <w:t>Fair</w:t>
            </w: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color w:val="auto"/>
                <w:w w:val="96"/>
              </w:rPr>
              <w:t>Unrealized</w:t>
            </w:r>
          </w:p>
        </w:tc>
        <w:tc>
          <w:tcPr>
            <w:tcW w:w="80" w:type="dxa"/>
            <w:vAlign w:val="bottom"/>
          </w:tcPr>
          <w:p>
            <w:pPr>
              <w:spacing w:after="0"/>
              <w:rPr>
                <w:sz w:val="16"/>
                <w:szCs w:val="16"/>
                <w:color w:val="auto"/>
              </w:rPr>
            </w:pPr>
          </w:p>
        </w:tc>
      </w:tr>
      <w:tr>
        <w:trPr>
          <w:trHeight w:val="214"/>
        </w:trPr>
        <w:tc>
          <w:tcPr>
            <w:tcW w:w="3080" w:type="dxa"/>
            <w:vAlign w:val="bottom"/>
            <w:gridSpan w:val="2"/>
          </w:tcPr>
          <w:p>
            <w:pPr>
              <w:ind w:left="1300"/>
              <w:spacing w:after="0"/>
              <w:rPr>
                <w:sz w:val="20"/>
                <w:szCs w:val="20"/>
                <w:color w:val="auto"/>
              </w:rPr>
            </w:pPr>
            <w:r>
              <w:rPr>
                <w:rFonts w:ascii="Arial" w:cs="Arial" w:eastAsia="Arial" w:hAnsi="Arial"/>
                <w:sz w:val="16"/>
                <w:szCs w:val="16"/>
                <w:color w:val="auto"/>
              </w:rPr>
              <w:t>Details</w:t>
            </w: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value</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losses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value</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losses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value</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losses</w:t>
            </w:r>
          </w:p>
        </w:tc>
        <w:tc>
          <w:tcPr>
            <w:tcW w:w="80" w:type="dxa"/>
            <w:vAlign w:val="bottom"/>
          </w:tcPr>
          <w:p>
            <w:pPr>
              <w:spacing w:after="0"/>
              <w:rPr>
                <w:sz w:val="18"/>
                <w:szCs w:val="18"/>
                <w:color w:val="auto"/>
              </w:rPr>
            </w:pPr>
          </w:p>
        </w:tc>
      </w:tr>
      <w:tr>
        <w:trPr>
          <w:trHeight w:val="221"/>
        </w:trPr>
        <w:tc>
          <w:tcPr>
            <w:tcW w:w="1320" w:type="dxa"/>
            <w:vAlign w:val="bottom"/>
          </w:tcPr>
          <w:p>
            <w:pPr>
              <w:spacing w:after="0"/>
              <w:rPr>
                <w:sz w:val="19"/>
                <w:szCs w:val="19"/>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6"/>
                <w:szCs w:val="16"/>
                <w:color w:val="auto"/>
              </w:rPr>
              <w:t>Corporate bonds</w:t>
            </w:r>
          </w:p>
        </w:tc>
        <w:tc>
          <w:tcPr>
            <w:tcW w:w="72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9,434</w:t>
            </w:r>
          </w:p>
        </w:tc>
        <w:tc>
          <w:tcPr>
            <w:tcW w:w="32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w:t>
            </w:r>
          </w:p>
        </w:tc>
        <w:tc>
          <w:tcPr>
            <w:tcW w:w="280" w:type="dxa"/>
            <w:vAlign w:val="bottom"/>
            <w:gridSpan w:val="2"/>
            <w:shd w:val="clear" w:color="auto" w:fill="CCEEFF"/>
          </w:tcPr>
          <w:p>
            <w:pPr>
              <w:jc w:val="right"/>
              <w:ind w:right="8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(735)</w:t>
            </w:r>
          </w:p>
        </w:tc>
      </w:tr>
      <w:tr>
        <w:trPr>
          <w:trHeight w:val="226"/>
        </w:trPr>
        <w:tc>
          <w:tcPr>
            <w:tcW w:w="3080" w:type="dxa"/>
            <w:vAlign w:val="bottom"/>
            <w:gridSpan w:val="2"/>
          </w:tcPr>
          <w:p>
            <w:pPr>
              <w:ind w:left="1300"/>
              <w:spacing w:after="0"/>
              <w:rPr>
                <w:sz w:val="20"/>
                <w:szCs w:val="20"/>
                <w:color w:val="auto"/>
              </w:rPr>
            </w:pPr>
            <w:r>
              <w:rPr>
                <w:rFonts w:ascii="Arial" w:cs="Arial" w:eastAsia="Arial" w:hAnsi="Arial"/>
                <w:sz w:val="16"/>
                <w:szCs w:val="16"/>
                <w:color w:val="auto"/>
              </w:rPr>
              <w:t>Government bonds</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12,430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(53)</w:t>
            </w:r>
          </w:p>
        </w:tc>
      </w:tr>
      <w:tr>
        <w:trPr>
          <w:trHeight w:val="237"/>
        </w:trPr>
        <w:tc>
          <w:tcPr>
            <w:tcW w:w="1320" w:type="dxa"/>
            <w:vAlign w:val="bottom"/>
          </w:tcPr>
          <w:p>
            <w:pPr>
              <w:spacing w:after="0"/>
              <w:rPr>
                <w:sz w:val="20"/>
                <w:szCs w:val="20"/>
                <w:color w:val="auto"/>
              </w:rPr>
            </w:pPr>
          </w:p>
        </w:tc>
        <w:tc>
          <w:tcPr>
            <w:tcW w:w="1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48,060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389"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13:</w:t>
        <w:tab/>
        <w:t>EMPLOYEE RELATED LIABILITIES</w:t>
      </w:r>
    </w:p>
    <w:p>
      <w:pPr>
        <w:spacing w:after="0" w:line="197" w:lineRule="exact"/>
        <w:rPr>
          <w:sz w:val="20"/>
          <w:szCs w:val="20"/>
          <w:color w:val="auto"/>
        </w:rPr>
      </w:pPr>
    </w:p>
    <w:p>
      <w:pPr>
        <w:ind w:left="1300" w:hanging="318"/>
        <w:spacing w:after="0"/>
        <w:tabs>
          <w:tab w:leader="none" w:pos="130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Employee Termination Benefits</w:t>
      </w:r>
    </w:p>
    <w:p>
      <w:pPr>
        <w:spacing w:after="0" w:line="238" w:lineRule="exact"/>
        <w:rPr>
          <w:rFonts w:ascii="Arial" w:cs="Arial" w:eastAsia="Arial" w:hAnsi="Arial"/>
          <w:sz w:val="16"/>
          <w:szCs w:val="16"/>
          <w:b w:val="1"/>
          <w:bCs w:val="1"/>
          <w:color w:val="auto"/>
        </w:rPr>
      </w:pPr>
    </w:p>
    <w:p>
      <w:pPr>
        <w:jc w:val="both"/>
        <w:ind w:left="1300"/>
        <w:spacing w:after="0" w:line="262" w:lineRule="auto"/>
        <w:rPr>
          <w:rFonts w:ascii="Arial" w:cs="Arial" w:eastAsia="Arial" w:hAnsi="Arial"/>
          <w:sz w:val="16"/>
          <w:szCs w:val="16"/>
          <w:b w:val="1"/>
          <w:bCs w:val="1"/>
          <w:color w:val="auto"/>
        </w:rPr>
      </w:pPr>
      <w:r>
        <w:rPr>
          <w:rFonts w:ascii="Arial" w:cs="Arial" w:eastAsia="Arial" w:hAnsi="Arial"/>
          <w:sz w:val="16"/>
          <w:szCs w:val="16"/>
          <w:color w:val="auto"/>
        </w:rPr>
        <w:t>Israeli law, labor agreements and corporate policy determine the obligations of Tower to make severance payments to dismissed Israeli employees and to Israeli employees leaving employment under certain circumstances. Generally, the liability for severance pay benefits, as determined by Israeli law, is based upon length of service and the employee’s monthly salary. This liability is primarily covered by regular deposits made each month by Tower into recognized severance and pension funds and by insurance policies maintained by Tower, based on the employee’s salary for the relevant month. The amounts so funded and the liability are included in the balance sheets in long-term investments and employee related liabilities in the amounts of $8,273 and $10,724, respectively, as of December 31, 2021.</w:t>
      </w:r>
    </w:p>
    <w:p>
      <w:pPr>
        <w:spacing w:after="0" w:line="196" w:lineRule="exact"/>
        <w:rPr>
          <w:rFonts w:ascii="Arial" w:cs="Arial" w:eastAsia="Arial" w:hAnsi="Arial"/>
          <w:sz w:val="16"/>
          <w:szCs w:val="16"/>
          <w:b w:val="1"/>
          <w:bCs w:val="1"/>
          <w:color w:val="auto"/>
        </w:rPr>
      </w:pPr>
    </w:p>
    <w:p>
      <w:pPr>
        <w:jc w:val="both"/>
        <w:ind w:left="1300"/>
        <w:spacing w:after="0" w:line="286" w:lineRule="auto"/>
        <w:rPr>
          <w:rFonts w:ascii="Arial" w:cs="Arial" w:eastAsia="Arial" w:hAnsi="Arial"/>
          <w:sz w:val="16"/>
          <w:szCs w:val="16"/>
          <w:b w:val="1"/>
          <w:bCs w:val="1"/>
          <w:color w:val="auto"/>
        </w:rPr>
      </w:pPr>
      <w:r>
        <w:rPr>
          <w:rFonts w:ascii="Arial" w:cs="Arial" w:eastAsia="Arial" w:hAnsi="Arial"/>
          <w:sz w:val="15"/>
          <w:szCs w:val="15"/>
          <w:color w:val="auto"/>
        </w:rPr>
        <w:t>Commencing January 1, 2005, Tower implemented a labor agreement with regard to most of its Israeli employees, according to which monthly deposits into recognized severance and pension funds or insurance policies will release it from any additional severance obligation in excess of the balance in such accounts to such Israeli employees and, therefore, Tower incurs no liability or asset with respect to such severance obligations and deposits, since that date. Any net severance amount as of such date will be released on the employee’s termination date. Payments relating to Israeli employee termination benefits were $5,941, $5,254 and $5,597 for 2021, 2020 and 2019, respectively.</w:t>
      </w:r>
    </w:p>
    <w:p>
      <w:pPr>
        <w:spacing w:after="0" w:line="152" w:lineRule="exact"/>
        <w:rPr>
          <w:rFonts w:ascii="Arial" w:cs="Arial" w:eastAsia="Arial" w:hAnsi="Arial"/>
          <w:sz w:val="16"/>
          <w:szCs w:val="16"/>
          <w:b w:val="1"/>
          <w:bCs w:val="1"/>
          <w:color w:val="auto"/>
        </w:rPr>
      </w:pPr>
    </w:p>
    <w:p>
      <w:pPr>
        <w:jc w:val="both"/>
        <w:ind w:left="1300"/>
        <w:spacing w:after="0" w:line="264" w:lineRule="auto"/>
        <w:rPr>
          <w:rFonts w:ascii="Arial" w:cs="Arial" w:eastAsia="Arial" w:hAnsi="Arial"/>
          <w:sz w:val="16"/>
          <w:szCs w:val="16"/>
          <w:b w:val="1"/>
          <w:bCs w:val="1"/>
          <w:color w:val="auto"/>
        </w:rPr>
      </w:pPr>
      <w:r>
        <w:rPr>
          <w:rFonts w:ascii="Arial" w:cs="Arial" w:eastAsia="Arial" w:hAnsi="Arial"/>
          <w:sz w:val="16"/>
          <w:szCs w:val="16"/>
          <w:color w:val="auto"/>
        </w:rPr>
        <w:t>TPSCo established a Defined Contribution Retirement Plan (the “DC Plan”) for its employees through which TPSCo contributes approximately 8% for 2021 and 9% for 2020 with employees’ average match of 1% of the employees’ base salary to the DC Plan. Such contribution releases the employer from further obligation to make any additional payments upon termination of employment. The contribution is remitted either to third party benefit funds based on employee preference, or directly, to those employees who elected not to enroll in the DC Plan. Total payments under the DC Plan in 2021, 2020 and 2019 amounted to $5,331, $6,132 and $6,572,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NOTE 13:</w:t>
        <w:tab/>
        <w:t>EMPLOYEE RELATED LIABILITIES (Continued)</w:t>
      </w:r>
    </w:p>
    <w:p>
      <w:pPr>
        <w:spacing w:after="0" w:line="185" w:lineRule="exact"/>
        <w:rPr>
          <w:sz w:val="20"/>
          <w:szCs w:val="20"/>
          <w:color w:val="auto"/>
        </w:rPr>
      </w:pPr>
    </w:p>
    <w:p>
      <w:pPr>
        <w:ind w:left="1300" w:hanging="318"/>
        <w:spacing w:after="0"/>
        <w:tabs>
          <w:tab w:leader="none" w:pos="130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TSNB Employee Benefit Plans</w:t>
      </w:r>
    </w:p>
    <w:p>
      <w:pPr>
        <w:spacing w:after="0" w:line="201" w:lineRule="exact"/>
        <w:rPr>
          <w:rFonts w:ascii="Arial" w:cs="Arial" w:eastAsia="Arial" w:hAnsi="Arial"/>
          <w:sz w:val="16"/>
          <w:szCs w:val="16"/>
          <w:b w:val="1"/>
          <w:bCs w:val="1"/>
          <w:color w:val="auto"/>
        </w:rPr>
      </w:pPr>
    </w:p>
    <w:p>
      <w:pPr>
        <w:ind w:left="130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The following information provides the changes in 2021, 2020 and 2019 periodic expenses and benefit obligations due to the bargaining agreement signed between TSNB and its collective bargaining unit employees.</w:t>
      </w:r>
    </w:p>
    <w:p>
      <w:pPr>
        <w:spacing w:after="0" w:line="136"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Post-Retirement Medical Plan</w:t>
      </w:r>
    </w:p>
    <w:p>
      <w:pPr>
        <w:spacing w:after="0" w:line="184" w:lineRule="exact"/>
        <w:rPr>
          <w:rFonts w:ascii="Arial" w:cs="Arial" w:eastAsia="Arial" w:hAnsi="Arial"/>
          <w:sz w:val="16"/>
          <w:szCs w:val="16"/>
          <w:b w:val="1"/>
          <w:bCs w:val="1"/>
          <w:color w:val="auto"/>
        </w:rPr>
      </w:pPr>
    </w:p>
    <w:p>
      <w:pPr>
        <w:ind w:left="130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The components of the net periodic benefit cost and other amounts recognized in other comprehensive income for post-retirement medical plan expense are as follows as of December 31, 2021, 2020 and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60" w:type="dxa"/>
            <w:vAlign w:val="bottom"/>
            <w:gridSpan w:val="2"/>
          </w:tcPr>
          <w:p>
            <w:pPr>
              <w:ind w:left="1300"/>
              <w:spacing w:after="0"/>
              <w:rPr>
                <w:sz w:val="20"/>
                <w:szCs w:val="20"/>
                <w:color w:val="auto"/>
              </w:rPr>
            </w:pPr>
            <w:r>
              <w:rPr>
                <w:rFonts w:ascii="Arial" w:cs="Arial" w:eastAsia="Arial" w:hAnsi="Arial"/>
                <w:sz w:val="16"/>
                <w:szCs w:val="16"/>
                <w:color w:val="auto"/>
              </w:rPr>
              <w:t>Details</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Net periodic benefit cost:</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360" w:type="dxa"/>
            <w:vAlign w:val="bottom"/>
            <w:gridSpan w:val="2"/>
          </w:tcPr>
          <w:p>
            <w:pPr>
              <w:ind w:left="1300"/>
              <w:spacing w:after="0"/>
              <w:rPr>
                <w:sz w:val="20"/>
                <w:szCs w:val="20"/>
                <w:color w:val="auto"/>
              </w:rPr>
            </w:pPr>
            <w:r>
              <w:rPr>
                <w:rFonts w:ascii="Arial" w:cs="Arial" w:eastAsia="Arial" w:hAnsi="Arial"/>
                <w:sz w:val="16"/>
                <w:szCs w:val="16"/>
                <w:color w:val="auto"/>
              </w:rPr>
              <w:t>Service cost</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9"/>
                <w:szCs w:val="19"/>
                <w:color w:val="auto"/>
              </w:rPr>
            </w:pPr>
          </w:p>
        </w:tc>
        <w:tc>
          <w:tcPr>
            <w:tcW w:w="140" w:type="dxa"/>
            <w:vAlign w:val="bottom"/>
          </w:tcPr>
          <w:p>
            <w:pPr>
              <w:jc w:val="right"/>
              <w:ind w:right="2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Interest cost</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360" w:type="dxa"/>
            <w:vAlign w:val="bottom"/>
            <w:gridSpan w:val="2"/>
          </w:tcPr>
          <w:p>
            <w:pPr>
              <w:ind w:left="1300"/>
              <w:spacing w:after="0"/>
              <w:rPr>
                <w:sz w:val="20"/>
                <w:szCs w:val="20"/>
                <w:color w:val="auto"/>
              </w:rPr>
            </w:pPr>
            <w:r>
              <w:rPr>
                <w:rFonts w:ascii="Arial" w:cs="Arial" w:eastAsia="Arial" w:hAnsi="Arial"/>
                <w:sz w:val="16"/>
                <w:szCs w:val="16"/>
                <w:color w:val="auto"/>
              </w:rPr>
              <w:t>Amortization of prior service costs</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net loss (gain)</w:t>
            </w:r>
          </w:p>
        </w:tc>
        <w:tc>
          <w:tcPr>
            <w:tcW w:w="3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(179)</w:t>
            </w:r>
          </w:p>
        </w:tc>
        <w:tc>
          <w:tcPr>
            <w:tcW w:w="1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5"/>
        </w:trPr>
        <w:tc>
          <w:tcPr>
            <w:tcW w:w="13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gridSpan w:val="2"/>
          </w:tcPr>
          <w:p>
            <w:pPr>
              <w:ind w:left="1300"/>
              <w:spacing w:after="0"/>
              <w:rPr>
                <w:sz w:val="20"/>
                <w:szCs w:val="20"/>
                <w:color w:val="auto"/>
              </w:rPr>
            </w:pPr>
            <w:r>
              <w:rPr>
                <w:rFonts w:ascii="Arial" w:cs="Arial" w:eastAsia="Arial" w:hAnsi="Arial"/>
                <w:sz w:val="16"/>
                <w:szCs w:val="16"/>
                <w:color w:val="auto"/>
              </w:rPr>
              <w:t>Total net periodic benefit cost</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(122)</w:t>
            </w:r>
          </w:p>
        </w:tc>
        <w:tc>
          <w:tcPr>
            <w:tcW w:w="140" w:type="dxa"/>
            <w:vAlign w:val="bottom"/>
          </w:tcPr>
          <w:p>
            <w:pPr>
              <w:jc w:val="right"/>
              <w:ind w:right="2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(178)</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320" w:type="dxa"/>
            <w:vAlign w:val="bottom"/>
            <w:vMerge w:val="continue"/>
          </w:tcPr>
          <w:p>
            <w:pPr>
              <w:spacing w:after="0"/>
              <w:rPr>
                <w:sz w:val="14"/>
                <w:szCs w:val="14"/>
                <w:color w:val="auto"/>
              </w:rPr>
            </w:pPr>
          </w:p>
        </w:tc>
        <w:tc>
          <w:tcPr>
            <w:tcW w:w="604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w w:val="95"/>
              </w:rPr>
              <w:t>Other changes in plan assets and benefits obligations recognized in other comprehensive</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360" w:type="dxa"/>
            <w:vAlign w:val="bottom"/>
            <w:gridSpan w:val="2"/>
          </w:tcPr>
          <w:p>
            <w:pPr>
              <w:ind w:left="1300"/>
              <w:spacing w:after="0"/>
              <w:rPr>
                <w:sz w:val="20"/>
                <w:szCs w:val="20"/>
                <w:color w:val="auto"/>
              </w:rPr>
            </w:pPr>
            <w:r>
              <w:rPr>
                <w:rFonts w:ascii="Arial" w:cs="Arial" w:eastAsia="Arial" w:hAnsi="Arial"/>
                <w:sz w:val="16"/>
                <w:szCs w:val="16"/>
                <w:color w:val="auto"/>
              </w:rPr>
              <w:t>Prior service cost for the period</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jc w:val="right"/>
              <w:ind w:right="2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Net loss (gain) for the period</w:t>
            </w:r>
          </w:p>
        </w:tc>
        <w:tc>
          <w:tcPr>
            <w:tcW w:w="3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2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1"/>
        </w:trPr>
        <w:tc>
          <w:tcPr>
            <w:tcW w:w="7360" w:type="dxa"/>
            <w:vAlign w:val="bottom"/>
            <w:gridSpan w:val="2"/>
          </w:tcPr>
          <w:p>
            <w:pPr>
              <w:ind w:left="1300"/>
              <w:spacing w:after="0"/>
              <w:rPr>
                <w:sz w:val="20"/>
                <w:szCs w:val="20"/>
                <w:color w:val="auto"/>
              </w:rPr>
            </w:pPr>
            <w:r>
              <w:rPr>
                <w:rFonts w:ascii="Arial" w:cs="Arial" w:eastAsia="Arial" w:hAnsi="Arial"/>
                <w:sz w:val="16"/>
                <w:szCs w:val="16"/>
                <w:color w:val="auto"/>
              </w:rPr>
              <w:t>Amortization of prior service costs</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20" w:type="dxa"/>
            <w:vAlign w:val="bottom"/>
          </w:tcPr>
          <w:p>
            <w:pPr>
              <w:spacing w:after="0"/>
              <w:rPr>
                <w:sz w:val="19"/>
                <w:szCs w:val="19"/>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Amortization of net gain (loss)</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360" w:type="dxa"/>
            <w:vAlign w:val="bottom"/>
            <w:gridSpan w:val="2"/>
          </w:tcPr>
          <w:p>
            <w:pPr>
              <w:ind w:left="1300"/>
              <w:spacing w:after="0"/>
              <w:rPr>
                <w:sz w:val="20"/>
                <w:szCs w:val="20"/>
                <w:color w:val="auto"/>
              </w:rPr>
            </w:pPr>
            <w:r>
              <w:rPr>
                <w:rFonts w:ascii="Arial" w:cs="Arial" w:eastAsia="Arial" w:hAnsi="Arial"/>
                <w:sz w:val="16"/>
                <w:szCs w:val="16"/>
                <w:color w:val="auto"/>
              </w:rPr>
              <w:t>Total recognized in other comprehensive income (loss)</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156</w:t>
            </w:r>
          </w:p>
        </w:tc>
        <w:tc>
          <w:tcPr>
            <w:tcW w:w="260" w:type="dxa"/>
            <w:vAlign w:val="bottom"/>
          </w:tcPr>
          <w:p>
            <w:pPr>
              <w:spacing w:after="0"/>
              <w:rPr>
                <w:sz w:val="17"/>
                <w:szCs w:val="17"/>
                <w:color w:val="auto"/>
              </w:rPr>
            </w:pPr>
          </w:p>
        </w:tc>
        <w:tc>
          <w:tcPr>
            <w:tcW w:w="140" w:type="dxa"/>
            <w:vAlign w:val="bottom"/>
          </w:tcPr>
          <w:p>
            <w:pPr>
              <w:jc w:val="right"/>
              <w:ind w:right="2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387</w:t>
            </w:r>
          </w:p>
        </w:tc>
        <w:tc>
          <w:tcPr>
            <w:tcW w:w="2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6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320" w:type="dxa"/>
            <w:vAlign w:val="bottom"/>
          </w:tcPr>
          <w:p>
            <w:pPr>
              <w:spacing w:after="0"/>
              <w:rPr>
                <w:sz w:val="18"/>
                <w:szCs w:val="18"/>
                <w:color w:val="auto"/>
              </w:rPr>
            </w:pPr>
          </w:p>
        </w:tc>
        <w:tc>
          <w:tcPr>
            <w:tcW w:w="6040" w:type="dxa"/>
            <w:vAlign w:val="bottom"/>
            <w:tcBorders>
              <w:bottom w:val="single" w:sz="8" w:color="CCEEFF"/>
            </w:tcBorders>
            <w:shd w:val="clear" w:color="auto" w:fill="CCEEFF"/>
          </w:tcPr>
          <w:p>
            <w:pPr>
              <w:spacing w:after="0" w:line="174" w:lineRule="exact"/>
              <w:rPr>
                <w:sz w:val="20"/>
                <w:szCs w:val="20"/>
                <w:color w:val="auto"/>
              </w:rPr>
            </w:pPr>
            <w:r>
              <w:rPr>
                <w:rFonts w:ascii="Arial" w:cs="Arial" w:eastAsia="Arial" w:hAnsi="Arial"/>
                <w:sz w:val="16"/>
                <w:szCs w:val="16"/>
                <w:color w:val="auto"/>
              </w:rPr>
              <w:t>Total recognized in net periodic benefit cost and other comprehensive income (loss)</w:t>
            </w:r>
          </w:p>
        </w:tc>
        <w:tc>
          <w:tcPr>
            <w:tcW w:w="320" w:type="dxa"/>
            <w:vAlign w:val="bottom"/>
            <w:tcBorders>
              <w:bottom w:val="single" w:sz="8" w:color="auto"/>
            </w:tcBorders>
            <w:shd w:val="clear" w:color="auto" w:fill="CCEEFF"/>
          </w:tcPr>
          <w:p>
            <w:pPr>
              <w:spacing w:after="0" w:line="174"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34</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209</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line="174"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78</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60" w:type="dxa"/>
            <w:vAlign w:val="bottom"/>
            <w:gridSpan w:val="2"/>
          </w:tcPr>
          <w:p>
            <w:pPr>
              <w:ind w:left="1300"/>
              <w:spacing w:after="0"/>
              <w:rPr>
                <w:sz w:val="20"/>
                <w:szCs w:val="20"/>
                <w:color w:val="auto"/>
              </w:rPr>
            </w:pPr>
            <w:r>
              <w:rPr>
                <w:rFonts w:ascii="Arial" w:cs="Arial" w:eastAsia="Arial" w:hAnsi="Arial"/>
                <w:sz w:val="16"/>
                <w:szCs w:val="16"/>
                <w:color w:val="auto"/>
              </w:rPr>
              <w:t>Weighted average assumptions used:</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Discount rate</w:t>
            </w:r>
          </w:p>
        </w:tc>
        <w:tc>
          <w:tcPr>
            <w:tcW w:w="3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2.80%</w:t>
            </w:r>
          </w:p>
        </w:tc>
        <w:tc>
          <w:tcPr>
            <w:tcW w:w="1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21"/>
        </w:trPr>
        <w:tc>
          <w:tcPr>
            <w:tcW w:w="7360" w:type="dxa"/>
            <w:vAlign w:val="bottom"/>
            <w:gridSpan w:val="2"/>
          </w:tcPr>
          <w:p>
            <w:pPr>
              <w:ind w:left="1300"/>
              <w:spacing w:after="0"/>
              <w:rPr>
                <w:sz w:val="20"/>
                <w:szCs w:val="20"/>
                <w:color w:val="auto"/>
              </w:rPr>
            </w:pPr>
            <w:r>
              <w:rPr>
                <w:rFonts w:ascii="Arial" w:cs="Arial" w:eastAsia="Arial" w:hAnsi="Arial"/>
                <w:sz w:val="16"/>
                <w:szCs w:val="16"/>
                <w:color w:val="auto"/>
              </w:rPr>
              <w:t>Expected return on plan assets</w:t>
            </w:r>
          </w:p>
        </w:tc>
        <w:tc>
          <w:tcPr>
            <w:tcW w:w="32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Rate of compensation increases</w:t>
            </w:r>
          </w:p>
        </w:tc>
        <w:tc>
          <w:tcPr>
            <w:tcW w:w="3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N/A</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21"/>
        </w:trPr>
        <w:tc>
          <w:tcPr>
            <w:tcW w:w="7360" w:type="dxa"/>
            <w:vAlign w:val="bottom"/>
            <w:gridSpan w:val="2"/>
          </w:tcPr>
          <w:p>
            <w:pPr>
              <w:ind w:left="1300"/>
              <w:spacing w:after="0"/>
              <w:rPr>
                <w:sz w:val="20"/>
                <w:szCs w:val="20"/>
                <w:color w:val="auto"/>
              </w:rPr>
            </w:pPr>
            <w:r>
              <w:rPr>
                <w:rFonts w:ascii="Arial" w:cs="Arial" w:eastAsia="Arial" w:hAnsi="Arial"/>
                <w:sz w:val="16"/>
                <w:szCs w:val="16"/>
                <w:color w:val="auto"/>
              </w:rPr>
              <w:t>Assumed health care cost trend rates:</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w w:val="93"/>
              </w:rPr>
              <w:t>Health care cost trend rate assumed for current year (pre-65/post-65 Medicare Advantage)</w:t>
            </w:r>
          </w:p>
        </w:tc>
        <w:tc>
          <w:tcPr>
            <w:tcW w:w="3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6.00%/6.50%</w:t>
            </w:r>
          </w:p>
        </w:tc>
        <w:tc>
          <w:tcPr>
            <w:tcW w:w="1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6.20%/(5.00)%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9"/>
              </w:rPr>
              <w:t>6.90%/13.10%</w:t>
            </w: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6040" w:type="dxa"/>
            <w:vAlign w:val="bottom"/>
          </w:tcPr>
          <w:p>
            <w:pPr>
              <w:spacing w:after="0"/>
              <w:rPr>
                <w:sz w:val="20"/>
                <w:szCs w:val="20"/>
                <w:color w:val="auto"/>
              </w:rPr>
            </w:pPr>
            <w:r>
              <w:rPr>
                <w:rFonts w:ascii="Arial" w:cs="Arial" w:eastAsia="Arial" w:hAnsi="Arial"/>
                <w:sz w:val="16"/>
                <w:szCs w:val="16"/>
                <w:color w:val="auto"/>
              </w:rPr>
              <w:t>Health care cost trend rate assumed for current year (pre-65/post-65 Non-Medicare</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040" w:type="dxa"/>
            <w:vAlign w:val="bottom"/>
          </w:tcPr>
          <w:p>
            <w:pPr>
              <w:ind w:left="120"/>
              <w:spacing w:after="0"/>
              <w:rPr>
                <w:sz w:val="20"/>
                <w:szCs w:val="20"/>
                <w:color w:val="auto"/>
              </w:rPr>
            </w:pPr>
            <w:r>
              <w:rPr>
                <w:rFonts w:ascii="Arial" w:cs="Arial" w:eastAsia="Arial" w:hAnsi="Arial"/>
                <w:sz w:val="16"/>
                <w:szCs w:val="16"/>
                <w:color w:val="auto"/>
              </w:rPr>
              <w:t>Advantage)</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6.00%/6.50%</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6.20%/6.10%</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6.90%/7.90%</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Ultimate rate (pre-65/post-65)</w:t>
            </w:r>
          </w:p>
        </w:tc>
        <w:tc>
          <w:tcPr>
            <w:tcW w:w="3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4.50%/4.50%</w:t>
            </w:r>
          </w:p>
        </w:tc>
        <w:tc>
          <w:tcPr>
            <w:tcW w:w="1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4.50%/4.50%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4.50%/4.50%</w:t>
            </w:r>
          </w:p>
        </w:tc>
        <w:tc>
          <w:tcPr>
            <w:tcW w:w="0" w:type="dxa"/>
            <w:vAlign w:val="bottom"/>
          </w:tcPr>
          <w:p>
            <w:pPr>
              <w:spacing w:after="0"/>
              <w:rPr>
                <w:sz w:val="1"/>
                <w:szCs w:val="1"/>
                <w:color w:val="auto"/>
              </w:rPr>
            </w:pPr>
          </w:p>
        </w:tc>
      </w:tr>
      <w:tr>
        <w:trPr>
          <w:trHeight w:val="221"/>
        </w:trPr>
        <w:tc>
          <w:tcPr>
            <w:tcW w:w="7360" w:type="dxa"/>
            <w:vAlign w:val="bottom"/>
            <w:gridSpan w:val="2"/>
          </w:tcPr>
          <w:p>
            <w:pPr>
              <w:ind w:left="1300"/>
              <w:spacing w:after="0"/>
              <w:rPr>
                <w:sz w:val="20"/>
                <w:szCs w:val="20"/>
                <w:color w:val="auto"/>
              </w:rPr>
            </w:pPr>
            <w:r>
              <w:rPr>
                <w:rFonts w:ascii="Arial" w:cs="Arial" w:eastAsia="Arial" w:hAnsi="Arial"/>
                <w:sz w:val="16"/>
                <w:szCs w:val="16"/>
                <w:color w:val="auto"/>
              </w:rPr>
              <w:t>Year the ultimate rate is reached (pre-65/post-65)</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7"/>
              </w:rPr>
              <w:t>2029/2029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2029/2029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2029/2029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320" w:type="dxa"/>
            <w:vAlign w:val="bottom"/>
          </w:tcPr>
          <w:p>
            <w:pPr>
              <w:spacing w:after="0"/>
              <w:rPr>
                <w:sz w:val="16"/>
                <w:szCs w:val="16"/>
                <w:color w:val="auto"/>
              </w:rPr>
            </w:pPr>
          </w:p>
        </w:tc>
        <w:tc>
          <w:tcPr>
            <w:tcW w:w="6040" w:type="dxa"/>
            <w:vAlign w:val="bottom"/>
            <w:shd w:val="clear" w:color="auto" w:fill="CCEEFF"/>
          </w:tcPr>
          <w:p>
            <w:pPr>
              <w:spacing w:after="0"/>
              <w:rPr>
                <w:sz w:val="16"/>
                <w:szCs w:val="16"/>
                <w:color w:val="auto"/>
              </w:rPr>
            </w:pPr>
          </w:p>
        </w:tc>
        <w:tc>
          <w:tcPr>
            <w:tcW w:w="134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6"/>
                <w:szCs w:val="16"/>
                <w:color w:val="auto"/>
                <w:w w:val="89"/>
              </w:rPr>
              <w:t>December 31,</w:t>
            </w:r>
          </w:p>
        </w:tc>
        <w:tc>
          <w:tcPr>
            <w:tcW w:w="13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December 31,</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w w:val="89"/>
              </w:rPr>
              <w:t>December 31,</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Measurement date</w:t>
            </w: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w w:val="84"/>
              </w:rPr>
              <w:t>2021</w:t>
            </w:r>
          </w:p>
        </w:tc>
        <w:tc>
          <w:tcPr>
            <w:tcW w:w="7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2020</w:t>
            </w:r>
          </w:p>
        </w:tc>
        <w:tc>
          <w:tcPr>
            <w:tcW w:w="24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1320" w:type="dxa"/>
            <w:vAlign w:val="bottom"/>
          </w:tcPr>
          <w:p>
            <w:pPr>
              <w:spacing w:after="0"/>
              <w:rPr>
                <w:sz w:val="24"/>
                <w:szCs w:val="24"/>
                <w:color w:val="auto"/>
              </w:rPr>
            </w:pPr>
          </w:p>
        </w:tc>
        <w:tc>
          <w:tcPr>
            <w:tcW w:w="6040" w:type="dxa"/>
            <w:vAlign w:val="bottom"/>
          </w:tcPr>
          <w:p>
            <w:pPr>
              <w:ind w:left="4100"/>
              <w:spacing w:after="0"/>
              <w:rPr>
                <w:sz w:val="20"/>
                <w:szCs w:val="20"/>
                <w:color w:val="auto"/>
              </w:rPr>
            </w:pPr>
            <w:r>
              <w:rPr>
                <w:rFonts w:ascii="Arial" w:cs="Arial" w:eastAsia="Arial" w:hAnsi="Arial"/>
                <w:sz w:val="16"/>
                <w:szCs w:val="16"/>
                <w:color w:val="auto"/>
              </w:rPr>
              <w:t>F - 31</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20" w:type="dxa"/>
            <w:vAlign w:val="bottom"/>
            <w:tcBorders>
              <w:bottom w:val="single" w:sz="8" w:color="EEEEEE"/>
            </w:tcBorders>
          </w:tcPr>
          <w:p>
            <w:pPr>
              <w:spacing w:after="0"/>
              <w:rPr>
                <w:sz w:val="19"/>
                <w:szCs w:val="19"/>
                <w:color w:val="auto"/>
              </w:rPr>
            </w:pPr>
          </w:p>
        </w:tc>
        <w:tc>
          <w:tcPr>
            <w:tcW w:w="6040" w:type="dxa"/>
            <w:vAlign w:val="bottom"/>
            <w:tcBorders>
              <w:bottom w:val="single" w:sz="8" w:color="EEEEEE"/>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760" w:type="dxa"/>
            <w:vAlign w:val="bottom"/>
            <w:tcBorders>
              <w:bottom w:val="single" w:sz="8" w:color="EEEEEE"/>
            </w:tcBorders>
          </w:tcPr>
          <w:p>
            <w:pPr>
              <w:spacing w:after="0"/>
              <w:rPr>
                <w:sz w:val="19"/>
                <w:szCs w:val="19"/>
                <w:color w:val="auto"/>
              </w:rPr>
            </w:pPr>
          </w:p>
        </w:tc>
        <w:tc>
          <w:tcPr>
            <w:tcW w:w="26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94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92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-35560</wp:posOffset>
            </wp:positionV>
            <wp:extent cx="7169785" cy="488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13:</w:t>
        <w:tab/>
        <w:t>EMPLOYEE RELATED LIABILITIES (Continued)</w:t>
      </w:r>
    </w:p>
    <w:p>
      <w:pPr>
        <w:spacing w:after="0" w:line="189" w:lineRule="exact"/>
        <w:rPr>
          <w:sz w:val="20"/>
          <w:szCs w:val="20"/>
          <w:color w:val="auto"/>
        </w:rPr>
      </w:pPr>
    </w:p>
    <w:p>
      <w:pPr>
        <w:ind w:left="1300"/>
        <w:spacing w:after="0" w:line="288" w:lineRule="auto"/>
        <w:rPr>
          <w:sz w:val="20"/>
          <w:szCs w:val="20"/>
          <w:color w:val="auto"/>
        </w:rPr>
      </w:pPr>
      <w:r>
        <w:rPr>
          <w:rFonts w:ascii="Arial" w:cs="Arial" w:eastAsia="Arial" w:hAnsi="Arial"/>
          <w:sz w:val="16"/>
          <w:szCs w:val="16"/>
          <w:color w:val="auto"/>
        </w:rPr>
        <w:t>The components of the change in benefit obligation, change in plan assets and funded status for post-retirement medical plan are as follows as of years ended December 31, 2021, 2020 and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380" w:type="dxa"/>
            <w:vAlign w:val="bottom"/>
            <w:gridSpan w:val="2"/>
          </w:tcPr>
          <w:p>
            <w:pPr>
              <w:ind w:left="1300"/>
              <w:spacing w:after="0"/>
              <w:rPr>
                <w:sz w:val="20"/>
                <w:szCs w:val="20"/>
                <w:color w:val="auto"/>
              </w:rPr>
            </w:pPr>
            <w:r>
              <w:rPr>
                <w:rFonts w:ascii="Arial" w:cs="Arial" w:eastAsia="Arial" w:hAnsi="Arial"/>
                <w:sz w:val="16"/>
                <w:szCs w:val="16"/>
                <w:color w:val="auto"/>
              </w:rPr>
              <w:t>Details</w:t>
            </w:r>
          </w:p>
        </w:tc>
        <w:tc>
          <w:tcPr>
            <w:tcW w:w="2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2019</w:t>
            </w:r>
          </w:p>
        </w:tc>
        <w:tc>
          <w:tcPr>
            <w:tcW w:w="80" w:type="dxa"/>
            <w:vAlign w:val="bottom"/>
          </w:tcPr>
          <w:p>
            <w:pPr>
              <w:spacing w:after="0"/>
              <w:rPr>
                <w:sz w:val="18"/>
                <w:szCs w:val="18"/>
                <w:color w:val="auto"/>
              </w:rPr>
            </w:pPr>
          </w:p>
        </w:tc>
      </w:tr>
      <w:tr>
        <w:trPr>
          <w:trHeight w:val="221"/>
        </w:trPr>
        <w:tc>
          <w:tcPr>
            <w:tcW w:w="13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Change in medical plan related benefit obligation:</w:t>
            </w:r>
          </w:p>
        </w:tc>
        <w:tc>
          <w:tcPr>
            <w:tcW w:w="2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1"/>
        </w:trPr>
        <w:tc>
          <w:tcPr>
            <w:tcW w:w="5380" w:type="dxa"/>
            <w:vAlign w:val="bottom"/>
            <w:gridSpan w:val="2"/>
          </w:tcPr>
          <w:p>
            <w:pPr>
              <w:ind w:left="1300"/>
              <w:spacing w:after="0"/>
              <w:rPr>
                <w:sz w:val="20"/>
                <w:szCs w:val="20"/>
                <w:color w:val="auto"/>
              </w:rPr>
            </w:pPr>
            <w:r>
              <w:rPr>
                <w:rFonts w:ascii="Arial" w:cs="Arial" w:eastAsia="Arial" w:hAnsi="Arial"/>
                <w:sz w:val="16"/>
                <w:szCs w:val="16"/>
                <w:color w:val="auto"/>
                <w:w w:val="95"/>
              </w:rPr>
              <w:t>Medical plan related benefit obligation at beginning of period</w:t>
            </w:r>
          </w:p>
        </w:tc>
        <w:tc>
          <w:tcPr>
            <w:tcW w:w="234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1,882</w:t>
            </w:r>
          </w:p>
        </w:tc>
        <w:tc>
          <w:tcPr>
            <w:tcW w:w="12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1,689</w:t>
            </w:r>
          </w:p>
        </w:tc>
        <w:tc>
          <w:tcPr>
            <w:tcW w:w="18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1,628</w:t>
            </w:r>
          </w:p>
        </w:tc>
        <w:tc>
          <w:tcPr>
            <w:tcW w:w="80" w:type="dxa"/>
            <w:vAlign w:val="bottom"/>
          </w:tcPr>
          <w:p>
            <w:pPr>
              <w:spacing w:after="0"/>
              <w:rPr>
                <w:sz w:val="19"/>
                <w:szCs w:val="19"/>
                <w:color w:val="auto"/>
              </w:rPr>
            </w:pPr>
          </w:p>
        </w:tc>
      </w:tr>
      <w:tr>
        <w:trPr>
          <w:trHeight w:val="222"/>
        </w:trPr>
        <w:tc>
          <w:tcPr>
            <w:tcW w:w="13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2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r>
      <w:tr>
        <w:trPr>
          <w:trHeight w:val="221"/>
        </w:trPr>
        <w:tc>
          <w:tcPr>
            <w:tcW w:w="5380" w:type="dxa"/>
            <w:vAlign w:val="bottom"/>
            <w:gridSpan w:val="2"/>
          </w:tcPr>
          <w:p>
            <w:pPr>
              <w:ind w:left="1300"/>
              <w:spacing w:after="0"/>
              <w:rPr>
                <w:sz w:val="20"/>
                <w:szCs w:val="20"/>
                <w:color w:val="auto"/>
              </w:rPr>
            </w:pPr>
            <w:r>
              <w:rPr>
                <w:rFonts w:ascii="Arial" w:cs="Arial" w:eastAsia="Arial" w:hAnsi="Arial"/>
                <w:sz w:val="16"/>
                <w:szCs w:val="16"/>
                <w:color w:val="auto"/>
              </w:rPr>
              <w:t>Interest cost</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9"/>
                <w:szCs w:val="19"/>
                <w:color w:val="auto"/>
              </w:rPr>
            </w:pPr>
          </w:p>
        </w:tc>
      </w:tr>
      <w:tr>
        <w:trPr>
          <w:trHeight w:val="222"/>
        </w:trPr>
        <w:tc>
          <w:tcPr>
            <w:tcW w:w="13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Benefits paid</w:t>
            </w:r>
          </w:p>
        </w:tc>
        <w:tc>
          <w:tcPr>
            <w:tcW w:w="2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r>
      <w:tr>
        <w:trPr>
          <w:trHeight w:val="221"/>
        </w:trPr>
        <w:tc>
          <w:tcPr>
            <w:tcW w:w="5380" w:type="dxa"/>
            <w:vAlign w:val="bottom"/>
            <w:gridSpan w:val="2"/>
          </w:tcPr>
          <w:p>
            <w:pPr>
              <w:ind w:left="1300"/>
              <w:spacing w:after="0"/>
              <w:rPr>
                <w:sz w:val="20"/>
                <w:szCs w:val="20"/>
                <w:color w:val="auto"/>
              </w:rPr>
            </w:pPr>
            <w:r>
              <w:rPr>
                <w:rFonts w:ascii="Arial" w:cs="Arial" w:eastAsia="Arial" w:hAnsi="Arial"/>
                <w:sz w:val="16"/>
                <w:szCs w:val="16"/>
                <w:color w:val="auto"/>
              </w:rPr>
              <w:t>Change in medical plan provisions</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r>
      <w:tr>
        <w:trPr>
          <w:trHeight w:val="222"/>
        </w:trPr>
        <w:tc>
          <w:tcPr>
            <w:tcW w:w="13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Actuarial loss (gain)</w:t>
            </w:r>
          </w:p>
        </w:tc>
        <w:tc>
          <w:tcPr>
            <w:tcW w:w="2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r>
      <w:tr>
        <w:trPr>
          <w:trHeight w:val="25"/>
        </w:trPr>
        <w:tc>
          <w:tcPr>
            <w:tcW w:w="1320" w:type="dxa"/>
            <w:vAlign w:val="bottom"/>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1"/>
        </w:trPr>
        <w:tc>
          <w:tcPr>
            <w:tcW w:w="5380" w:type="dxa"/>
            <w:vAlign w:val="bottom"/>
            <w:gridSpan w:val="2"/>
          </w:tcPr>
          <w:p>
            <w:pPr>
              <w:ind w:left="1300"/>
              <w:spacing w:after="0"/>
              <w:rPr>
                <w:sz w:val="20"/>
                <w:szCs w:val="20"/>
                <w:color w:val="auto"/>
              </w:rPr>
            </w:pPr>
            <w:r>
              <w:rPr>
                <w:rFonts w:ascii="Arial" w:cs="Arial" w:eastAsia="Arial" w:hAnsi="Arial"/>
                <w:sz w:val="16"/>
                <w:szCs w:val="16"/>
                <w:color w:val="auto"/>
              </w:rPr>
              <w:t>Benefit medical plan related obligation end of period</w:t>
            </w:r>
          </w:p>
        </w:tc>
        <w:tc>
          <w:tcPr>
            <w:tcW w:w="234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1,912</w:t>
            </w:r>
          </w:p>
        </w:tc>
        <w:tc>
          <w:tcPr>
            <w:tcW w:w="120" w:type="dxa"/>
            <w:vAlign w:val="bottom"/>
          </w:tcPr>
          <w:p>
            <w:pPr>
              <w:spacing w:after="0"/>
              <w:rPr>
                <w:sz w:val="17"/>
                <w:szCs w:val="17"/>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1,882</w:t>
            </w:r>
          </w:p>
        </w:tc>
        <w:tc>
          <w:tcPr>
            <w:tcW w:w="18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1,689</w:t>
            </w:r>
          </w:p>
        </w:tc>
        <w:tc>
          <w:tcPr>
            <w:tcW w:w="80" w:type="dxa"/>
            <w:vAlign w:val="bottom"/>
          </w:tcPr>
          <w:p>
            <w:pPr>
              <w:spacing w:after="0"/>
              <w:rPr>
                <w:sz w:val="17"/>
                <w:szCs w:val="17"/>
                <w:color w:val="auto"/>
              </w:rPr>
            </w:pPr>
          </w:p>
        </w:tc>
      </w:tr>
      <w:tr>
        <w:trPr>
          <w:trHeight w:val="221"/>
        </w:trPr>
        <w:tc>
          <w:tcPr>
            <w:tcW w:w="13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Change in plan assets:</w:t>
            </w:r>
          </w:p>
        </w:tc>
        <w:tc>
          <w:tcPr>
            <w:tcW w:w="21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1"/>
        </w:trPr>
        <w:tc>
          <w:tcPr>
            <w:tcW w:w="5380" w:type="dxa"/>
            <w:vAlign w:val="bottom"/>
            <w:gridSpan w:val="2"/>
          </w:tcPr>
          <w:p>
            <w:pPr>
              <w:ind w:left="1300"/>
              <w:spacing w:after="0"/>
              <w:rPr>
                <w:sz w:val="20"/>
                <w:szCs w:val="20"/>
                <w:color w:val="auto"/>
              </w:rPr>
            </w:pPr>
            <w:r>
              <w:rPr>
                <w:rFonts w:ascii="Arial" w:cs="Arial" w:eastAsia="Arial" w:hAnsi="Arial"/>
                <w:sz w:val="16"/>
                <w:szCs w:val="16"/>
                <w:color w:val="auto"/>
              </w:rPr>
              <w:t>Fair value of plan assets at beginning of period</w:t>
            </w:r>
          </w:p>
        </w:tc>
        <w:tc>
          <w:tcPr>
            <w:tcW w:w="234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r>
      <w:tr>
        <w:trPr>
          <w:trHeight w:val="222"/>
        </w:trPr>
        <w:tc>
          <w:tcPr>
            <w:tcW w:w="13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Employer contribution</w:t>
            </w:r>
          </w:p>
        </w:tc>
        <w:tc>
          <w:tcPr>
            <w:tcW w:w="2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9"/>
                <w:szCs w:val="19"/>
                <w:color w:val="auto"/>
              </w:rPr>
            </w:pPr>
          </w:p>
        </w:tc>
      </w:tr>
      <w:tr>
        <w:trPr>
          <w:trHeight w:val="221"/>
        </w:trPr>
        <w:tc>
          <w:tcPr>
            <w:tcW w:w="5380" w:type="dxa"/>
            <w:vAlign w:val="bottom"/>
            <w:gridSpan w:val="2"/>
          </w:tcPr>
          <w:p>
            <w:pPr>
              <w:ind w:left="1300"/>
              <w:spacing w:after="0"/>
              <w:rPr>
                <w:sz w:val="20"/>
                <w:szCs w:val="20"/>
                <w:color w:val="auto"/>
              </w:rPr>
            </w:pPr>
            <w:r>
              <w:rPr>
                <w:rFonts w:ascii="Arial" w:cs="Arial" w:eastAsia="Arial" w:hAnsi="Arial"/>
                <w:sz w:val="16"/>
                <w:szCs w:val="16"/>
                <w:color w:val="auto"/>
              </w:rPr>
              <w:t>Benefits paid</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(16)</w:t>
            </w:r>
          </w:p>
        </w:tc>
      </w:tr>
      <w:tr>
        <w:trPr>
          <w:trHeight w:val="25"/>
        </w:trPr>
        <w:tc>
          <w:tcPr>
            <w:tcW w:w="13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7"/>
        </w:trPr>
        <w:tc>
          <w:tcPr>
            <w:tcW w:w="13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Fair value of plan assets at end of period</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5380" w:type="dxa"/>
            <w:vAlign w:val="bottom"/>
            <w:gridSpan w:val="2"/>
          </w:tcPr>
          <w:p>
            <w:pPr>
              <w:ind w:left="1300"/>
              <w:spacing w:after="0" w:line="174" w:lineRule="exact"/>
              <w:rPr>
                <w:sz w:val="20"/>
                <w:szCs w:val="20"/>
                <w:color w:val="auto"/>
              </w:rPr>
            </w:pPr>
            <w:r>
              <w:rPr>
                <w:rFonts w:ascii="Arial" w:cs="Arial" w:eastAsia="Arial" w:hAnsi="Arial"/>
                <w:sz w:val="16"/>
                <w:szCs w:val="16"/>
                <w:color w:val="auto"/>
              </w:rPr>
              <w:t>Medical plan related net funding</w:t>
            </w:r>
          </w:p>
        </w:tc>
        <w:tc>
          <w:tcPr>
            <w:tcW w:w="2100" w:type="dxa"/>
            <w:vAlign w:val="bottom"/>
          </w:tcPr>
          <w:p>
            <w:pPr>
              <w:spacing w:after="0"/>
              <w:rPr>
                <w:sz w:val="15"/>
                <w:szCs w:val="15"/>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line="174" w:lineRule="exact"/>
              <w:rPr>
                <w:sz w:val="20"/>
                <w:szCs w:val="20"/>
                <w:color w:val="auto"/>
              </w:rPr>
            </w:pPr>
            <w:r>
              <w:rPr>
                <w:rFonts w:ascii="Arial" w:cs="Arial" w:eastAsia="Arial" w:hAnsi="Arial"/>
                <w:sz w:val="16"/>
                <w:szCs w:val="16"/>
                <w:color w:val="auto"/>
              </w:rPr>
              <w:t>(1,912)</w:t>
            </w:r>
          </w:p>
        </w:tc>
        <w:tc>
          <w:tcPr>
            <w:tcW w:w="300" w:type="dxa"/>
            <w:vAlign w:val="bottom"/>
            <w:gridSpan w:val="2"/>
          </w:tcPr>
          <w:p>
            <w:pPr>
              <w:jc w:val="right"/>
              <w:ind w:right="160"/>
              <w:spacing w:after="0" w:line="174"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line="174" w:lineRule="exact"/>
              <w:rPr>
                <w:sz w:val="20"/>
                <w:szCs w:val="20"/>
                <w:color w:val="auto"/>
              </w:rPr>
            </w:pPr>
            <w:r>
              <w:rPr>
                <w:rFonts w:ascii="Arial" w:cs="Arial" w:eastAsia="Arial" w:hAnsi="Arial"/>
                <w:sz w:val="16"/>
                <w:szCs w:val="16"/>
                <w:color w:val="auto"/>
              </w:rPr>
              <w:t>(1,882)</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line="174" w:lineRule="exact"/>
              <w:rPr>
                <w:sz w:val="20"/>
                <w:szCs w:val="20"/>
                <w:color w:val="auto"/>
              </w:rPr>
            </w:pPr>
            <w:r>
              <w:rPr>
                <w:rFonts w:ascii="Arial" w:cs="Arial" w:eastAsia="Arial" w:hAnsi="Arial"/>
                <w:sz w:val="16"/>
                <w:szCs w:val="16"/>
                <w:color w:val="auto"/>
              </w:rPr>
              <w:t>(1,689)</w:t>
            </w:r>
          </w:p>
        </w:tc>
      </w:tr>
      <w:tr>
        <w:trPr>
          <w:trHeight w:val="20"/>
        </w:trPr>
        <w:tc>
          <w:tcPr>
            <w:tcW w:w="13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4"/>
        </w:trPr>
        <w:tc>
          <w:tcPr>
            <w:tcW w:w="1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340" w:type="dxa"/>
            <w:vAlign w:val="bottom"/>
            <w:gridSpan w:val="2"/>
          </w:tcPr>
          <w:p>
            <w:pPr>
              <w:jc w:val="right"/>
              <w:ind w:right="1823"/>
              <w:spacing w:after="0"/>
              <w:rPr>
                <w:sz w:val="20"/>
                <w:szCs w:val="20"/>
                <w:color w:val="auto"/>
              </w:rPr>
            </w:pPr>
            <w:r>
              <w:rPr>
                <w:rFonts w:ascii="Arial" w:cs="Arial" w:eastAsia="Arial" w:hAnsi="Arial"/>
                <w:sz w:val="16"/>
                <w:szCs w:val="16"/>
                <w:color w:val="auto"/>
              </w:rPr>
              <w:t>F - 32</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320" w:type="dxa"/>
            <w:vAlign w:val="bottom"/>
            <w:tcBorders>
              <w:bottom w:val="single" w:sz="8" w:color="EEEEEE"/>
            </w:tcBorders>
          </w:tcPr>
          <w:p>
            <w:pPr>
              <w:spacing w:after="0"/>
              <w:rPr>
                <w:sz w:val="19"/>
                <w:szCs w:val="19"/>
                <w:color w:val="auto"/>
              </w:rPr>
            </w:pPr>
          </w:p>
        </w:tc>
        <w:tc>
          <w:tcPr>
            <w:tcW w:w="4060" w:type="dxa"/>
            <w:vAlign w:val="bottom"/>
            <w:tcBorders>
              <w:bottom w:val="single" w:sz="8" w:color="EEEEEE"/>
            </w:tcBorders>
          </w:tcPr>
          <w:p>
            <w:pPr>
              <w:spacing w:after="0"/>
              <w:rPr>
                <w:sz w:val="19"/>
                <w:szCs w:val="19"/>
                <w:color w:val="auto"/>
              </w:rPr>
            </w:pPr>
          </w:p>
        </w:tc>
        <w:tc>
          <w:tcPr>
            <w:tcW w:w="210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88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86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86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-35560</wp:posOffset>
            </wp:positionV>
            <wp:extent cx="7169785" cy="48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(dollars in thousands, except per share data)</w:t>
      </w:r>
    </w:p>
    <w:p>
      <w:pPr>
        <w:sectPr>
          <w:pgSz w:w="11900" w:h="16838" w:orient="portrait"/>
          <w:cols w:equalWidth="0" w:num="1">
            <w:col w:w="11240"/>
          </w:cols>
          <w:pgMar w:left="320" w:top="271" w:right="339" w:bottom="1440" w:gutter="0" w:footer="0" w:header="0"/>
        </w:sectPr>
      </w:pPr>
    </w:p>
    <w:p>
      <w:pPr>
        <w:spacing w:after="0" w:line="182"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NOTE 13:</w:t>
      </w:r>
      <w:r>
        <w:rPr>
          <w:sz w:val="20"/>
          <w:szCs w:val="20"/>
          <w:color w:val="auto"/>
        </w:rPr>
        <w:tab/>
      </w:r>
      <w:r>
        <w:rPr>
          <w:rFonts w:ascii="Arial" w:cs="Arial" w:eastAsia="Arial" w:hAnsi="Arial"/>
          <w:sz w:val="16"/>
          <w:szCs w:val="16"/>
          <w:b w:val="1"/>
          <w:bCs w:val="1"/>
          <w:color w:val="auto"/>
        </w:rPr>
        <w:t>EMPLOYEE RELATED LIABILITIES (Continued)</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As of December 31, 2021, 2020 and 2019:</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Details</w:t>
      </w:r>
    </w:p>
    <w:p>
      <w:pPr>
        <w:spacing w:after="0" w:line="37"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Amounts recognized in statement of financial position:</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80"/>
        <w:spacing w:after="0"/>
        <w:tabs>
          <w:tab w:leader="none" w:pos="1680" w:val="left"/>
          <w:tab w:leader="none" w:pos="3020" w:val="left"/>
        </w:tabs>
        <w:rPr>
          <w:sz w:val="20"/>
          <w:szCs w:val="20"/>
          <w:color w:val="auto"/>
        </w:rPr>
      </w:pPr>
      <w:r>
        <w:rPr>
          <w:rFonts w:ascii="Arial" w:cs="Arial" w:eastAsia="Arial" w:hAnsi="Arial"/>
          <w:sz w:val="16"/>
          <w:szCs w:val="16"/>
          <w:color w:val="auto"/>
        </w:rPr>
        <w:t>2021</w:t>
      </w:r>
      <w:r>
        <w:rPr>
          <w:sz w:val="20"/>
          <w:szCs w:val="20"/>
          <w:color w:val="auto"/>
        </w:rPr>
        <w:tab/>
      </w:r>
      <w:r>
        <w:rPr>
          <w:rFonts w:ascii="Arial" w:cs="Arial" w:eastAsia="Arial" w:hAnsi="Arial"/>
          <w:sz w:val="16"/>
          <w:szCs w:val="16"/>
          <w:color w:val="auto"/>
        </w:rPr>
        <w:t>2020</w:t>
      </w:r>
      <w:r>
        <w:rPr>
          <w:sz w:val="20"/>
          <w:szCs w:val="20"/>
          <w:color w:val="auto"/>
        </w:rPr>
        <w:tab/>
      </w: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15875</wp:posOffset>
            </wp:positionV>
            <wp:extent cx="6309360" cy="1562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309360" cy="156210"/>
                    </a:xfrm>
                    <a:prstGeom prst="rect">
                      <a:avLst/>
                    </a:prstGeom>
                    <a:noFill/>
                  </pic:spPr>
                </pic:pic>
              </a:graphicData>
            </a:graphic>
          </wp:anchor>
        </w:drawing>
      </w:r>
    </w:p>
    <w:p>
      <w:pPr>
        <w:spacing w:after="0" w:line="263" w:lineRule="exact"/>
        <w:rPr>
          <w:sz w:val="20"/>
          <w:szCs w:val="20"/>
          <w:color w:val="auto"/>
        </w:rPr>
      </w:pPr>
    </w:p>
    <w:p>
      <w:pPr>
        <w:spacing w:after="0"/>
        <w:tabs>
          <w:tab w:leader="none" w:pos="840" w:val="left"/>
          <w:tab w:leader="none" w:pos="1300" w:val="left"/>
          <w:tab w:leader="none" w:pos="2180" w:val="left"/>
          <w:tab w:leader="none" w:pos="2640" w:val="left"/>
          <w:tab w:leader="none" w:pos="35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(48)</w:t>
        <w:tab/>
        <w:t>$</w:t>
      </w:r>
      <w:r>
        <w:rPr>
          <w:sz w:val="20"/>
          <w:szCs w:val="20"/>
          <w:color w:val="auto"/>
        </w:rPr>
        <w:tab/>
      </w:r>
      <w:r>
        <w:rPr>
          <w:rFonts w:ascii="Arial" w:cs="Arial" w:eastAsia="Arial" w:hAnsi="Arial"/>
          <w:sz w:val="16"/>
          <w:szCs w:val="16"/>
          <w:color w:val="auto"/>
        </w:rPr>
        <w:t>(62)</w:t>
        <w:tab/>
        <w:t>$</w:t>
      </w:r>
      <w:r>
        <w:rPr>
          <w:sz w:val="20"/>
          <w:szCs w:val="20"/>
          <w:color w:val="auto"/>
        </w:rPr>
        <w:tab/>
      </w:r>
      <w:r>
        <w:rPr>
          <w:rFonts w:ascii="Arial" w:cs="Arial" w:eastAsia="Arial" w:hAnsi="Arial"/>
          <w:sz w:val="15"/>
          <w:szCs w:val="15"/>
          <w:color w:val="auto"/>
        </w:rPr>
        <w:t>(50)</w:t>
      </w:r>
    </w:p>
    <w:p>
      <w:pPr>
        <w:spacing w:after="0" w:line="43" w:lineRule="exact"/>
        <w:rPr>
          <w:sz w:val="20"/>
          <w:szCs w:val="20"/>
          <w:color w:val="auto"/>
        </w:rPr>
      </w:pPr>
    </w:p>
    <w:p>
      <w:pPr>
        <w:sectPr>
          <w:pgSz w:w="11900" w:h="16838" w:orient="portrait"/>
          <w:cols w:equalWidth="0" w:num="2">
            <w:col w:w="6640" w:space="720"/>
            <w:col w:w="3880"/>
          </w:cols>
          <w:pgMar w:left="320" w:top="271" w:right="339" w:bottom="1440" w:gutter="0" w:footer="0" w:header="0"/>
          <w:type w:val="continuous"/>
        </w:sectPr>
      </w:pPr>
    </w:p>
    <w:tbl>
      <w:tblPr>
        <w:tblLayout w:type="fixed"/>
        <w:tblInd w:w="13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Non-current liabilities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(1,864)</w:t>
            </w:r>
          </w:p>
        </w:tc>
        <w:tc>
          <w:tcPr>
            <w:tcW w:w="2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(1,820)</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(1,639)</w:t>
            </w:r>
          </w:p>
        </w:tc>
      </w:tr>
      <w:tr>
        <w:trPr>
          <w:trHeight w:val="25"/>
        </w:trPr>
        <w:tc>
          <w:tcPr>
            <w:tcW w:w="20" w:type="dxa"/>
            <w:vAlign w:val="bottom"/>
          </w:tcPr>
          <w:p>
            <w:pPr>
              <w:spacing w:after="0"/>
              <w:rPr>
                <w:sz w:val="2"/>
                <w:szCs w:val="2"/>
                <w:color w:val="auto"/>
              </w:rPr>
            </w:pPr>
          </w:p>
        </w:tc>
        <w:tc>
          <w:tcPr>
            <w:tcW w:w="58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1"/>
        </w:trPr>
        <w:tc>
          <w:tcPr>
            <w:tcW w:w="5900" w:type="dxa"/>
            <w:vAlign w:val="bottom"/>
            <w:gridSpan w:val="2"/>
          </w:tcPr>
          <w:p>
            <w:pPr>
              <w:spacing w:after="0"/>
              <w:rPr>
                <w:sz w:val="20"/>
                <w:szCs w:val="20"/>
                <w:color w:val="auto"/>
              </w:rPr>
            </w:pPr>
            <w:r>
              <w:rPr>
                <w:rFonts w:ascii="Arial" w:cs="Arial" w:eastAsia="Arial" w:hAnsi="Arial"/>
                <w:sz w:val="16"/>
                <w:szCs w:val="16"/>
                <w:color w:val="auto"/>
              </w:rPr>
              <w:t>Net amount recognized</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(1,912)</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(1,882)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(1,689)</w:t>
            </w:r>
          </w:p>
        </w:tc>
      </w:tr>
      <w:tr>
        <w:trPr>
          <w:trHeight w:val="20"/>
        </w:trPr>
        <w:tc>
          <w:tcPr>
            <w:tcW w:w="5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assumptions used:</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1"/>
        </w:trPr>
        <w:tc>
          <w:tcPr>
            <w:tcW w:w="5900" w:type="dxa"/>
            <w:vAlign w:val="bottom"/>
            <w:gridSpan w:val="2"/>
          </w:tcPr>
          <w:p>
            <w:pPr>
              <w:spacing w:after="0"/>
              <w:rPr>
                <w:sz w:val="20"/>
                <w:szCs w:val="20"/>
                <w:color w:val="auto"/>
              </w:rPr>
            </w:pPr>
            <w:r>
              <w:rPr>
                <w:rFonts w:ascii="Arial" w:cs="Arial" w:eastAsia="Arial" w:hAnsi="Arial"/>
                <w:sz w:val="16"/>
                <w:szCs w:val="16"/>
                <w:color w:val="auto"/>
              </w:rPr>
              <w:t>Discount rate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3.00%</w:t>
            </w: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2.80%</w:t>
            </w: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3.40%</w:t>
            </w:r>
          </w:p>
        </w:tc>
      </w:tr>
      <w:tr>
        <w:trPr>
          <w:trHeight w:val="222"/>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Rate of compensation increases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N/A</w:t>
            </w:r>
          </w:p>
        </w:tc>
        <w:tc>
          <w:tcPr>
            <w:tcW w:w="20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r>
      <w:tr>
        <w:trPr>
          <w:trHeight w:val="221"/>
        </w:trPr>
        <w:tc>
          <w:tcPr>
            <w:tcW w:w="5900" w:type="dxa"/>
            <w:vAlign w:val="bottom"/>
            <w:gridSpan w:val="2"/>
          </w:tcPr>
          <w:p>
            <w:pPr>
              <w:spacing w:after="0"/>
              <w:rPr>
                <w:sz w:val="20"/>
                <w:szCs w:val="20"/>
                <w:color w:val="auto"/>
              </w:rPr>
            </w:pPr>
            <w:r>
              <w:rPr>
                <w:rFonts w:ascii="Arial" w:cs="Arial" w:eastAsia="Arial" w:hAnsi="Arial"/>
                <w:sz w:val="16"/>
                <w:szCs w:val="16"/>
                <w:color w:val="auto"/>
              </w:rPr>
              <w:t>Assumed health care cost trend rates: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w w:val="94"/>
              </w:rPr>
              <w:t>Health care cost trend rate assumed for next year (pre-65/post-65 Medicare Advantage)</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5.80%/8.50%</w:t>
            </w:r>
          </w:p>
        </w:tc>
        <w:tc>
          <w:tcPr>
            <w:tcW w:w="20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6.00%/6.50%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6.20%/(5.00)%</w:t>
            </w:r>
          </w:p>
        </w:tc>
      </w:tr>
      <w:tr>
        <w:trPr>
          <w:trHeight w:val="184"/>
        </w:trPr>
        <w:tc>
          <w:tcPr>
            <w:tcW w:w="2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Arial" w:cs="Arial" w:eastAsia="Arial" w:hAnsi="Arial"/>
                <w:sz w:val="16"/>
                <w:szCs w:val="16"/>
                <w:color w:val="auto"/>
              </w:rPr>
              <w:t>Health care cost trend rate assumed for next year (pre-65/post-65 Non-Medicare</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5880" w:type="dxa"/>
            <w:vAlign w:val="bottom"/>
          </w:tcPr>
          <w:p>
            <w:pPr>
              <w:ind w:left="120"/>
              <w:spacing w:after="0"/>
              <w:rPr>
                <w:sz w:val="20"/>
                <w:szCs w:val="20"/>
                <w:color w:val="auto"/>
              </w:rPr>
            </w:pPr>
            <w:r>
              <w:rPr>
                <w:rFonts w:ascii="Arial" w:cs="Arial" w:eastAsia="Arial" w:hAnsi="Arial"/>
                <w:sz w:val="16"/>
                <w:szCs w:val="16"/>
                <w:color w:val="auto"/>
              </w:rPr>
              <w:t>Advantage)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5.80%/6.20%</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6.00%/6.50%</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6.20%/6.10%</w:t>
            </w:r>
          </w:p>
        </w:tc>
      </w:tr>
      <w:tr>
        <w:trPr>
          <w:trHeight w:val="222"/>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Ultimate rate (pre-65/post-65 Medicare Advantage)</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4.40%/4.50%</w:t>
            </w:r>
          </w:p>
        </w:tc>
        <w:tc>
          <w:tcPr>
            <w:tcW w:w="20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4.50%/4.50%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4.50%/4.50%</w:t>
            </w:r>
          </w:p>
        </w:tc>
      </w:tr>
      <w:tr>
        <w:trPr>
          <w:trHeight w:val="221"/>
        </w:trPr>
        <w:tc>
          <w:tcPr>
            <w:tcW w:w="5900" w:type="dxa"/>
            <w:vAlign w:val="bottom"/>
            <w:gridSpan w:val="2"/>
          </w:tcPr>
          <w:p>
            <w:pPr>
              <w:spacing w:after="0"/>
              <w:rPr>
                <w:sz w:val="20"/>
                <w:szCs w:val="20"/>
                <w:color w:val="auto"/>
              </w:rPr>
            </w:pPr>
            <w:r>
              <w:rPr>
                <w:rFonts w:ascii="Arial" w:cs="Arial" w:eastAsia="Arial" w:hAnsi="Arial"/>
                <w:sz w:val="16"/>
                <w:szCs w:val="16"/>
                <w:color w:val="auto"/>
              </w:rPr>
              <w:t>Ultimate rate (pre-65/post-65 Non-Medicare Advantage)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4.40%/4.40%</w:t>
            </w: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4.50%/4.50%</w:t>
            </w: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4.50%/4.50%</w:t>
            </w:r>
          </w:p>
        </w:tc>
      </w:tr>
      <w:tr>
        <w:trPr>
          <w:trHeight w:val="222"/>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Year the ultimate rate is reached (pre-65/ post-65)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2031/2031</w:t>
            </w:r>
          </w:p>
        </w:tc>
        <w:tc>
          <w:tcPr>
            <w:tcW w:w="2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2029/2029</w:t>
            </w:r>
          </w:p>
        </w:tc>
        <w:tc>
          <w:tcPr>
            <w:tcW w:w="2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2029/2029</w:t>
            </w:r>
          </w:p>
        </w:tc>
        <w:tc>
          <w:tcPr>
            <w:tcW w:w="140" w:type="dxa"/>
            <w:vAlign w:val="bottom"/>
            <w:shd w:val="clear" w:color="auto" w:fill="CCEEFF"/>
          </w:tcPr>
          <w:p>
            <w:pPr>
              <w:spacing w:after="0"/>
              <w:rPr>
                <w:sz w:val="19"/>
                <w:szCs w:val="19"/>
                <w:color w:val="auto"/>
              </w:rPr>
            </w:pPr>
          </w:p>
        </w:tc>
      </w:tr>
    </w:tbl>
    <w:p>
      <w:pPr>
        <w:spacing w:after="0" w:line="172"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The following benefit payments are expected to be paid in each of the next five fiscal years and in the aggregate for the five fiscal years thereafter:</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209"/>
        </w:trPr>
        <w:tc>
          <w:tcPr>
            <w:tcW w:w="8660" w:type="dxa"/>
            <w:vAlign w:val="bottom"/>
            <w:gridSpan w:val="2"/>
          </w:tcPr>
          <w:p>
            <w:pPr>
              <w:spacing w:after="0"/>
              <w:rPr>
                <w:sz w:val="20"/>
                <w:szCs w:val="20"/>
                <w:color w:val="auto"/>
              </w:rPr>
            </w:pPr>
            <w:r>
              <w:rPr>
                <w:rFonts w:ascii="Arial" w:cs="Arial" w:eastAsia="Arial" w:hAnsi="Arial"/>
                <w:sz w:val="16"/>
                <w:szCs w:val="16"/>
                <w:color w:val="auto"/>
              </w:rPr>
              <w:t>Fiscal Year</w:t>
            </w:r>
          </w:p>
        </w:tc>
        <w:tc>
          <w:tcPr>
            <w:tcW w:w="100" w:type="dxa"/>
            <w:vAlign w:val="bottom"/>
          </w:tcPr>
          <w:p>
            <w:pPr>
              <w:spacing w:after="0"/>
              <w:rPr>
                <w:sz w:val="18"/>
                <w:szCs w:val="18"/>
                <w:color w:val="auto"/>
              </w:rPr>
            </w:pPr>
          </w:p>
        </w:tc>
        <w:tc>
          <w:tcPr>
            <w:tcW w:w="1180" w:type="dxa"/>
            <w:vAlign w:val="bottom"/>
            <w:gridSpan w:val="3"/>
          </w:tcPr>
          <w:p>
            <w:pPr>
              <w:ind w:left="60"/>
              <w:spacing w:after="0"/>
              <w:rPr>
                <w:sz w:val="20"/>
                <w:szCs w:val="20"/>
                <w:color w:val="auto"/>
              </w:rPr>
            </w:pPr>
            <w:r>
              <w:rPr>
                <w:rFonts w:ascii="Arial" w:cs="Arial" w:eastAsia="Arial" w:hAnsi="Arial"/>
                <w:sz w:val="16"/>
                <w:szCs w:val="16"/>
                <w:color w:val="auto"/>
              </w:rPr>
              <w:t>Other Benefits</w:t>
            </w:r>
          </w:p>
        </w:tc>
      </w:tr>
      <w:tr>
        <w:trPr>
          <w:trHeight w:val="25"/>
        </w:trPr>
        <w:tc>
          <w:tcPr>
            <w:tcW w:w="20" w:type="dxa"/>
            <w:vAlign w:val="bottom"/>
          </w:tcPr>
          <w:p>
            <w:pPr>
              <w:spacing w:after="0"/>
              <w:rPr>
                <w:sz w:val="2"/>
                <w:szCs w:val="2"/>
                <w:color w:val="auto"/>
              </w:rPr>
            </w:pPr>
          </w:p>
        </w:tc>
        <w:tc>
          <w:tcPr>
            <w:tcW w:w="8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20" w:type="dxa"/>
            <w:vAlign w:val="bottom"/>
          </w:tcPr>
          <w:p>
            <w:pPr>
              <w:spacing w:after="0"/>
              <w:rPr>
                <w:sz w:val="19"/>
                <w:szCs w:val="19"/>
                <w:color w:val="auto"/>
              </w:rPr>
            </w:pPr>
          </w:p>
        </w:tc>
        <w:tc>
          <w:tcPr>
            <w:tcW w:w="8640" w:type="dxa"/>
            <w:vAlign w:val="bottom"/>
            <w:shd w:val="clear" w:color="auto" w:fill="CCEEFF"/>
          </w:tcPr>
          <w:p>
            <w:pPr>
              <w:jc w:val="right"/>
              <w:ind w:right="8238"/>
              <w:spacing w:after="0"/>
              <w:rPr>
                <w:sz w:val="20"/>
                <w:szCs w:val="20"/>
                <w:color w:val="auto"/>
              </w:rPr>
            </w:pPr>
            <w:r>
              <w:rPr>
                <w:rFonts w:ascii="Arial" w:cs="Arial" w:eastAsia="Arial" w:hAnsi="Arial"/>
                <w:sz w:val="16"/>
                <w:szCs w:val="16"/>
                <w:color w:val="auto"/>
                <w:w w:val="84"/>
              </w:rPr>
              <w:t>2022</w:t>
            </w:r>
          </w:p>
        </w:tc>
        <w:tc>
          <w:tcPr>
            <w:tcW w:w="560" w:type="dxa"/>
            <w:vAlign w:val="bottom"/>
            <w:gridSpan w:val="2"/>
            <w:shd w:val="clear" w:color="auto" w:fill="CCEEFF"/>
          </w:tcPr>
          <w:p>
            <w:pPr>
              <w:jc w:val="right"/>
              <w:ind w:right="298"/>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r>
      <w:tr>
        <w:trPr>
          <w:trHeight w:val="221"/>
        </w:trPr>
        <w:tc>
          <w:tcPr>
            <w:tcW w:w="8660" w:type="dxa"/>
            <w:vAlign w:val="bottom"/>
            <w:gridSpan w:val="2"/>
          </w:tcPr>
          <w:p>
            <w:pPr>
              <w:jc w:val="right"/>
              <w:ind w:right="8238"/>
              <w:spacing w:after="0"/>
              <w:rPr>
                <w:sz w:val="20"/>
                <w:szCs w:val="20"/>
                <w:color w:val="auto"/>
              </w:rPr>
            </w:pPr>
            <w:r>
              <w:rPr>
                <w:rFonts w:ascii="Arial" w:cs="Arial" w:eastAsia="Arial" w:hAnsi="Arial"/>
                <w:sz w:val="16"/>
                <w:szCs w:val="16"/>
                <w:color w:val="auto"/>
                <w:w w:val="89"/>
              </w:rPr>
              <w:t>2023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8640" w:type="dxa"/>
            <w:vAlign w:val="bottom"/>
            <w:shd w:val="clear" w:color="auto" w:fill="CCEEFF"/>
          </w:tcPr>
          <w:p>
            <w:pPr>
              <w:jc w:val="right"/>
              <w:ind w:right="8238"/>
              <w:spacing w:after="0"/>
              <w:rPr>
                <w:sz w:val="20"/>
                <w:szCs w:val="20"/>
                <w:color w:val="auto"/>
              </w:rPr>
            </w:pPr>
            <w:r>
              <w:rPr>
                <w:rFonts w:ascii="Arial" w:cs="Arial" w:eastAsia="Arial" w:hAnsi="Arial"/>
                <w:sz w:val="16"/>
                <w:szCs w:val="16"/>
                <w:color w:val="auto"/>
                <w:w w:val="84"/>
              </w:rPr>
              <w:t>2024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r>
      <w:tr>
        <w:trPr>
          <w:trHeight w:val="221"/>
        </w:trPr>
        <w:tc>
          <w:tcPr>
            <w:tcW w:w="8660" w:type="dxa"/>
            <w:vAlign w:val="bottom"/>
            <w:gridSpan w:val="2"/>
          </w:tcPr>
          <w:p>
            <w:pPr>
              <w:jc w:val="right"/>
              <w:ind w:right="8238"/>
              <w:spacing w:after="0"/>
              <w:rPr>
                <w:sz w:val="20"/>
                <w:szCs w:val="20"/>
                <w:color w:val="auto"/>
              </w:rPr>
            </w:pPr>
            <w:r>
              <w:rPr>
                <w:rFonts w:ascii="Arial" w:cs="Arial" w:eastAsia="Arial" w:hAnsi="Arial"/>
                <w:sz w:val="16"/>
                <w:szCs w:val="16"/>
                <w:color w:val="auto"/>
                <w:w w:val="89"/>
              </w:rPr>
              <w:t>2025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8640" w:type="dxa"/>
            <w:vAlign w:val="bottom"/>
            <w:shd w:val="clear" w:color="auto" w:fill="CCEEFF"/>
          </w:tcPr>
          <w:p>
            <w:pPr>
              <w:jc w:val="right"/>
              <w:ind w:right="8238"/>
              <w:spacing w:after="0"/>
              <w:rPr>
                <w:sz w:val="20"/>
                <w:szCs w:val="20"/>
                <w:color w:val="auto"/>
              </w:rPr>
            </w:pPr>
            <w:r>
              <w:rPr>
                <w:rFonts w:ascii="Arial" w:cs="Arial" w:eastAsia="Arial" w:hAnsi="Arial"/>
                <w:sz w:val="16"/>
                <w:szCs w:val="16"/>
                <w:color w:val="auto"/>
                <w:w w:val="84"/>
              </w:rPr>
              <w:t>2026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r>
      <w:tr>
        <w:trPr>
          <w:trHeight w:val="220"/>
        </w:trPr>
        <w:tc>
          <w:tcPr>
            <w:tcW w:w="8660" w:type="dxa"/>
            <w:vAlign w:val="bottom"/>
            <w:gridSpan w:val="2"/>
          </w:tcPr>
          <w:p>
            <w:pPr>
              <w:spacing w:after="0"/>
              <w:rPr>
                <w:sz w:val="20"/>
                <w:szCs w:val="20"/>
                <w:color w:val="auto"/>
              </w:rPr>
            </w:pPr>
            <w:r>
              <w:rPr>
                <w:rFonts w:ascii="Arial" w:cs="Arial" w:eastAsia="Arial" w:hAnsi="Arial"/>
                <w:sz w:val="16"/>
                <w:szCs w:val="16"/>
                <w:color w:val="auto"/>
              </w:rPr>
              <w:t>2027-2031</w:t>
            </w:r>
          </w:p>
        </w:tc>
        <w:tc>
          <w:tcPr>
            <w:tcW w:w="560" w:type="dxa"/>
            <w:vAlign w:val="bottom"/>
            <w:gridSpan w:val="2"/>
          </w:tcPr>
          <w:p>
            <w:pPr>
              <w:jc w:val="right"/>
              <w:ind w:right="298"/>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9"/>
                <w:szCs w:val="19"/>
                <w:color w:val="auto"/>
              </w:rPr>
            </w:pPr>
          </w:p>
        </w:tc>
      </w:tr>
    </w:tbl>
    <w:p>
      <w:pPr>
        <w:spacing w:after="0" w:line="1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Description of Significant Gains and Losses in Obligations:</w:t>
      </w:r>
    </w:p>
    <w:p>
      <w:pPr>
        <w:spacing w:after="0" w:line="136" w:lineRule="exact"/>
        <w:rPr>
          <w:sz w:val="20"/>
          <w:szCs w:val="20"/>
          <w:color w:val="auto"/>
        </w:rPr>
      </w:pPr>
    </w:p>
    <w:p>
      <w:pPr>
        <w:jc w:val="both"/>
        <w:ind w:left="1280" w:right="280" w:firstLine="5"/>
        <w:spacing w:after="0" w:line="298" w:lineRule="auto"/>
        <w:rPr>
          <w:sz w:val="20"/>
          <w:szCs w:val="20"/>
          <w:color w:val="auto"/>
        </w:rPr>
      </w:pPr>
      <w:r>
        <w:rPr>
          <w:rFonts w:ascii="Arial" w:cs="Arial" w:eastAsia="Arial" w:hAnsi="Arial"/>
          <w:sz w:val="15"/>
          <w:szCs w:val="15"/>
          <w:color w:val="auto"/>
        </w:rPr>
        <w:t>For fiscal year ended December 31, 2021, the benefit obligation experienced a net actuarial gain that was primarily attributable to the discount rate increase to 3.00%, compared to 2.80% in the prior year. For fiscal year ended December 31, 2020, the benefit obligation experienced a net actuarial loss that was primarily attributable to the discount rate decrease to 2.80%, compared to 3.40% in the prior year.</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104775</wp:posOffset>
            </wp:positionV>
            <wp:extent cx="7169785" cy="488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NOTE 13:</w:t>
      </w:r>
      <w:r>
        <w:rPr>
          <w:sz w:val="20"/>
          <w:szCs w:val="20"/>
          <w:color w:val="auto"/>
        </w:rPr>
        <w:tab/>
      </w:r>
      <w:r>
        <w:rPr>
          <w:rFonts w:ascii="Arial" w:cs="Arial" w:eastAsia="Arial" w:hAnsi="Arial"/>
          <w:sz w:val="16"/>
          <w:szCs w:val="16"/>
          <w:b w:val="1"/>
          <w:bCs w:val="1"/>
          <w:color w:val="auto"/>
        </w:rPr>
        <w:t>EMPLOYEE RELATED LIABILITIES (Continued)</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6"/>
          <w:szCs w:val="16"/>
          <w:b w:val="1"/>
          <w:bCs w:val="1"/>
          <w:i w:val="1"/>
          <w:iCs w:val="1"/>
          <w:color w:val="auto"/>
        </w:rPr>
        <w:t>TSNB Pension Plan</w:t>
      </w:r>
    </w:p>
    <w:p>
      <w:pPr>
        <w:spacing w:after="0" w:line="197" w:lineRule="exact"/>
        <w:rPr>
          <w:sz w:val="20"/>
          <w:szCs w:val="20"/>
          <w:color w:val="auto"/>
        </w:rPr>
      </w:pPr>
    </w:p>
    <w:p>
      <w:pPr>
        <w:jc w:val="both"/>
        <w:ind w:left="1300"/>
        <w:spacing w:after="0" w:line="272" w:lineRule="auto"/>
        <w:rPr>
          <w:sz w:val="20"/>
          <w:szCs w:val="20"/>
          <w:color w:val="auto"/>
        </w:rPr>
      </w:pPr>
      <w:r>
        <w:rPr>
          <w:rFonts w:ascii="Arial" w:cs="Arial" w:eastAsia="Arial" w:hAnsi="Arial"/>
          <w:sz w:val="16"/>
          <w:szCs w:val="16"/>
          <w:color w:val="auto"/>
        </w:rPr>
        <w:t>TSNB has a pension plan that provides for monthly pension payments to eligible employees upon retirement. The pension benefits are based on years of service and specified benefit amounts. TSNB uses a December 31 measurement date each year. TSNB’s funding policy is to make contributions that satisfy at least the minimum required contribution for IRS qualified plans.</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The components of the change in benefit obligation, the change in plan assets and funded status for TSNB’s pension plan for the years ended</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December 31, 2021, 2020 and 2019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60" w:type="dxa"/>
            <w:vAlign w:val="bottom"/>
            <w:gridSpan w:val="2"/>
          </w:tcPr>
          <w:p>
            <w:pPr>
              <w:ind w:left="1300"/>
              <w:spacing w:after="0"/>
              <w:rPr>
                <w:sz w:val="20"/>
                <w:szCs w:val="20"/>
                <w:color w:val="auto"/>
              </w:rPr>
            </w:pPr>
            <w:r>
              <w:rPr>
                <w:rFonts w:ascii="Arial" w:cs="Arial" w:eastAsia="Arial" w:hAnsi="Arial"/>
                <w:sz w:val="16"/>
                <w:szCs w:val="16"/>
                <w:color w:val="auto"/>
              </w:rPr>
              <w:t>Details</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2020</w:t>
            </w:r>
          </w:p>
        </w:tc>
        <w:tc>
          <w:tcPr>
            <w:tcW w:w="3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18"/>
                <w:szCs w:val="18"/>
                <w:color w:val="auto"/>
              </w:rPr>
            </w:pPr>
          </w:p>
        </w:tc>
      </w:tr>
      <w:tr>
        <w:trPr>
          <w:trHeight w:val="221"/>
        </w:trPr>
        <w:tc>
          <w:tcPr>
            <w:tcW w:w="13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Net periodic benefit cost: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21"/>
        </w:trPr>
        <w:tc>
          <w:tcPr>
            <w:tcW w:w="7360" w:type="dxa"/>
            <w:vAlign w:val="bottom"/>
            <w:gridSpan w:val="2"/>
          </w:tcPr>
          <w:p>
            <w:pPr>
              <w:ind w:left="1300"/>
              <w:spacing w:after="0"/>
              <w:rPr>
                <w:sz w:val="20"/>
                <w:szCs w:val="20"/>
                <w:color w:val="auto"/>
              </w:rPr>
            </w:pPr>
            <w:r>
              <w:rPr>
                <w:rFonts w:ascii="Arial" w:cs="Arial" w:eastAsia="Arial" w:hAnsi="Arial"/>
                <w:sz w:val="16"/>
                <w:szCs w:val="16"/>
                <w:color w:val="auto"/>
              </w:rPr>
              <w:t>Interest cost</w:t>
            </w:r>
          </w:p>
        </w:tc>
        <w:tc>
          <w:tcPr>
            <w:tcW w:w="300" w:type="dxa"/>
            <w:vAlign w:val="bottom"/>
            <w:gridSpan w:val="2"/>
          </w:tcPr>
          <w:p>
            <w:pPr>
              <w:jc w:val="right"/>
              <w:ind w:right="43"/>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575</w:t>
            </w:r>
          </w:p>
        </w:tc>
        <w:tc>
          <w:tcPr>
            <w:tcW w:w="200" w:type="dxa"/>
            <w:vAlign w:val="bottom"/>
          </w:tcPr>
          <w:p>
            <w:pPr>
              <w:spacing w:after="0"/>
              <w:rPr>
                <w:sz w:val="19"/>
                <w:szCs w:val="19"/>
                <w:color w:val="auto"/>
              </w:rPr>
            </w:pPr>
          </w:p>
        </w:tc>
        <w:tc>
          <w:tcPr>
            <w:tcW w:w="840" w:type="dxa"/>
            <w:vAlign w:val="bottom"/>
            <w:gridSpan w:val="2"/>
          </w:tcPr>
          <w:p>
            <w:pPr>
              <w:jc w:val="right"/>
              <w:ind w:right="583"/>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687</w:t>
            </w:r>
          </w:p>
        </w:tc>
        <w:tc>
          <w:tcPr>
            <w:tcW w:w="140" w:type="dxa"/>
            <w:vAlign w:val="bottom"/>
          </w:tcPr>
          <w:p>
            <w:pPr>
              <w:spacing w:after="0"/>
              <w:rPr>
                <w:sz w:val="19"/>
                <w:szCs w:val="19"/>
                <w:color w:val="auto"/>
              </w:rPr>
            </w:pPr>
          </w:p>
        </w:tc>
        <w:tc>
          <w:tcPr>
            <w:tcW w:w="340" w:type="dxa"/>
            <w:vAlign w:val="bottom"/>
            <w:gridSpan w:val="2"/>
          </w:tcPr>
          <w:p>
            <w:pPr>
              <w:jc w:val="right"/>
              <w:ind w:right="58"/>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817</w:t>
            </w:r>
          </w:p>
        </w:tc>
        <w:tc>
          <w:tcPr>
            <w:tcW w:w="140" w:type="dxa"/>
            <w:vAlign w:val="bottom"/>
          </w:tcPr>
          <w:p>
            <w:pPr>
              <w:spacing w:after="0"/>
              <w:rPr>
                <w:sz w:val="19"/>
                <w:szCs w:val="19"/>
                <w:color w:val="auto"/>
              </w:rPr>
            </w:pPr>
          </w:p>
        </w:tc>
      </w:tr>
      <w:tr>
        <w:trPr>
          <w:trHeight w:val="222"/>
        </w:trPr>
        <w:tc>
          <w:tcPr>
            <w:tcW w:w="13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(788)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6"/>
              </w:rPr>
              <w:t>(909)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(930)</w:t>
            </w:r>
          </w:p>
        </w:tc>
      </w:tr>
      <w:tr>
        <w:trPr>
          <w:trHeight w:val="221"/>
        </w:trPr>
        <w:tc>
          <w:tcPr>
            <w:tcW w:w="7360" w:type="dxa"/>
            <w:vAlign w:val="bottom"/>
            <w:gridSpan w:val="2"/>
          </w:tcPr>
          <w:p>
            <w:pPr>
              <w:ind w:left="1300"/>
              <w:spacing w:after="0"/>
              <w:rPr>
                <w:sz w:val="20"/>
                <w:szCs w:val="20"/>
                <w:color w:val="auto"/>
              </w:rPr>
            </w:pPr>
            <w:r>
              <w:rPr>
                <w:rFonts w:ascii="Arial" w:cs="Arial" w:eastAsia="Arial" w:hAnsi="Arial"/>
                <w:sz w:val="16"/>
                <w:szCs w:val="16"/>
                <w:color w:val="auto"/>
              </w:rPr>
              <w:t>Expected administrative expenses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9"/>
                <w:szCs w:val="19"/>
                <w:color w:val="auto"/>
              </w:rPr>
            </w:pPr>
          </w:p>
        </w:tc>
      </w:tr>
      <w:tr>
        <w:trPr>
          <w:trHeight w:val="222"/>
        </w:trPr>
        <w:tc>
          <w:tcPr>
            <w:tcW w:w="13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costs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9"/>
                <w:szCs w:val="19"/>
                <w:color w:val="auto"/>
              </w:rPr>
            </w:pPr>
          </w:p>
        </w:tc>
      </w:tr>
      <w:tr>
        <w:trPr>
          <w:trHeight w:val="226"/>
        </w:trPr>
        <w:tc>
          <w:tcPr>
            <w:tcW w:w="7360" w:type="dxa"/>
            <w:vAlign w:val="bottom"/>
            <w:gridSpan w:val="2"/>
          </w:tcPr>
          <w:p>
            <w:pPr>
              <w:ind w:left="1300"/>
              <w:spacing w:after="0"/>
              <w:rPr>
                <w:sz w:val="20"/>
                <w:szCs w:val="20"/>
                <w:color w:val="auto"/>
              </w:rPr>
            </w:pPr>
            <w:r>
              <w:rPr>
                <w:rFonts w:ascii="Arial" w:cs="Arial" w:eastAsia="Arial" w:hAnsi="Arial"/>
                <w:sz w:val="16"/>
                <w:szCs w:val="16"/>
                <w:color w:val="auto"/>
              </w:rPr>
              <w:t>Amortization of net loss (gain)</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37"/>
        </w:trPr>
        <w:tc>
          <w:tcPr>
            <w:tcW w:w="1320" w:type="dxa"/>
            <w:vAlign w:val="bottom"/>
          </w:tcPr>
          <w:p>
            <w:pPr>
              <w:spacing w:after="0"/>
              <w:rPr>
                <w:sz w:val="20"/>
                <w:szCs w:val="20"/>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net periodic benefit cost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8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61"/>
        </w:trPr>
        <w:tc>
          <w:tcPr>
            <w:tcW w:w="1320" w:type="dxa"/>
            <w:vAlign w:val="bottom"/>
          </w:tcPr>
          <w:p>
            <w:pPr>
              <w:spacing w:after="0"/>
              <w:rPr>
                <w:sz w:val="14"/>
                <w:szCs w:val="14"/>
                <w:color w:val="auto"/>
              </w:rPr>
            </w:pPr>
          </w:p>
        </w:tc>
        <w:tc>
          <w:tcPr>
            <w:tcW w:w="6040" w:type="dxa"/>
            <w:vAlign w:val="bottom"/>
          </w:tcPr>
          <w:p>
            <w:pPr>
              <w:spacing w:after="0" w:line="161" w:lineRule="exact"/>
              <w:rPr>
                <w:sz w:val="20"/>
                <w:szCs w:val="20"/>
                <w:color w:val="auto"/>
              </w:rPr>
            </w:pPr>
            <w:r>
              <w:rPr>
                <w:rFonts w:ascii="Arial" w:cs="Arial" w:eastAsia="Arial" w:hAnsi="Arial"/>
                <w:sz w:val="16"/>
                <w:szCs w:val="16"/>
                <w:color w:val="auto"/>
                <w:w w:val="95"/>
              </w:rPr>
              <w:t>Other changes in plan assets and benefits obligations recognized in other comprehensive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9"/>
        </w:trPr>
        <w:tc>
          <w:tcPr>
            <w:tcW w:w="1320" w:type="dxa"/>
            <w:vAlign w:val="bottom"/>
          </w:tcPr>
          <w:p>
            <w:pPr>
              <w:spacing w:after="0"/>
              <w:rPr>
                <w:sz w:val="18"/>
                <w:szCs w:val="18"/>
                <w:color w:val="auto"/>
              </w:rPr>
            </w:pPr>
          </w:p>
        </w:tc>
        <w:tc>
          <w:tcPr>
            <w:tcW w:w="6040" w:type="dxa"/>
            <w:vAlign w:val="bottom"/>
          </w:tcPr>
          <w:p>
            <w:pPr>
              <w:ind w:left="120"/>
              <w:spacing w:after="0"/>
              <w:rPr>
                <w:sz w:val="20"/>
                <w:szCs w:val="20"/>
                <w:color w:val="auto"/>
              </w:rPr>
            </w:pPr>
            <w:r>
              <w:rPr>
                <w:rFonts w:ascii="Arial" w:cs="Arial" w:eastAsia="Arial" w:hAnsi="Arial"/>
                <w:sz w:val="16"/>
                <w:szCs w:val="16"/>
                <w:color w:val="auto"/>
              </w:rPr>
              <w:t>income: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13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Prior service cost for the period</w:t>
            </w:r>
          </w:p>
        </w:tc>
        <w:tc>
          <w:tcPr>
            <w:tcW w:w="30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583"/>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r>
      <w:tr>
        <w:trPr>
          <w:trHeight w:val="221"/>
        </w:trPr>
        <w:tc>
          <w:tcPr>
            <w:tcW w:w="7360" w:type="dxa"/>
            <w:vAlign w:val="bottom"/>
            <w:gridSpan w:val="2"/>
          </w:tcPr>
          <w:p>
            <w:pPr>
              <w:ind w:left="1300"/>
              <w:spacing w:after="0"/>
              <w:rPr>
                <w:sz w:val="20"/>
                <w:szCs w:val="20"/>
                <w:color w:val="auto"/>
              </w:rPr>
            </w:pPr>
            <w:r>
              <w:rPr>
                <w:rFonts w:ascii="Arial" w:cs="Arial" w:eastAsia="Arial" w:hAnsi="Arial"/>
                <w:sz w:val="16"/>
                <w:szCs w:val="16"/>
                <w:color w:val="auto"/>
              </w:rPr>
              <w:t>Net loss (gain) for the period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1,158</w:t>
            </w:r>
          </w:p>
        </w:tc>
        <w:tc>
          <w:tcPr>
            <w:tcW w:w="140" w:type="dxa"/>
            <w:vAlign w:val="bottom"/>
          </w:tcPr>
          <w:p>
            <w:pPr>
              <w:spacing w:after="0"/>
              <w:rPr>
                <w:sz w:val="19"/>
                <w:szCs w:val="19"/>
                <w:color w:val="auto"/>
              </w:rPr>
            </w:pPr>
          </w:p>
        </w:tc>
      </w:tr>
      <w:tr>
        <w:trPr>
          <w:trHeight w:val="222"/>
        </w:trPr>
        <w:tc>
          <w:tcPr>
            <w:tcW w:w="13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costs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r>
      <w:tr>
        <w:trPr>
          <w:trHeight w:val="226"/>
        </w:trPr>
        <w:tc>
          <w:tcPr>
            <w:tcW w:w="7360" w:type="dxa"/>
            <w:vAlign w:val="bottom"/>
            <w:gridSpan w:val="2"/>
          </w:tcPr>
          <w:p>
            <w:pPr>
              <w:ind w:left="1300"/>
              <w:spacing w:after="0"/>
              <w:rPr>
                <w:sz w:val="20"/>
                <w:szCs w:val="20"/>
                <w:color w:val="auto"/>
              </w:rPr>
            </w:pPr>
            <w:r>
              <w:rPr>
                <w:rFonts w:ascii="Arial" w:cs="Arial" w:eastAsia="Arial" w:hAnsi="Arial"/>
                <w:sz w:val="16"/>
                <w:szCs w:val="16"/>
                <w:color w:val="auto"/>
              </w:rPr>
              <w:t>Amortization of net gain (loss)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37"/>
        </w:trPr>
        <w:tc>
          <w:tcPr>
            <w:tcW w:w="1320" w:type="dxa"/>
            <w:vAlign w:val="bottom"/>
          </w:tcPr>
          <w:p>
            <w:pPr>
              <w:spacing w:after="0"/>
              <w:rPr>
                <w:sz w:val="20"/>
                <w:szCs w:val="20"/>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recognized in other comprehensive income (loss)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8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74"/>
        </w:trPr>
        <w:tc>
          <w:tcPr>
            <w:tcW w:w="7360" w:type="dxa"/>
            <w:vAlign w:val="bottom"/>
            <w:gridSpan w:val="2"/>
          </w:tcPr>
          <w:p>
            <w:pPr>
              <w:ind w:left="1300"/>
              <w:spacing w:after="0" w:line="174" w:lineRule="exact"/>
              <w:rPr>
                <w:sz w:val="20"/>
                <w:szCs w:val="20"/>
                <w:color w:val="auto"/>
              </w:rPr>
            </w:pPr>
            <w:r>
              <w:rPr>
                <w:rFonts w:ascii="Arial" w:cs="Arial" w:eastAsia="Arial" w:hAnsi="Arial"/>
                <w:sz w:val="16"/>
                <w:szCs w:val="16"/>
                <w:color w:val="auto"/>
              </w:rPr>
              <w:t>Total recognized in net periodic benefit cost and other comprehensive income (loss)</w:t>
            </w:r>
          </w:p>
        </w:tc>
        <w:tc>
          <w:tcPr>
            <w:tcW w:w="300" w:type="dxa"/>
            <w:vAlign w:val="bottom"/>
            <w:gridSpan w:val="2"/>
          </w:tcPr>
          <w:p>
            <w:pPr>
              <w:jc w:val="right"/>
              <w:ind w:right="43"/>
              <w:spacing w:after="0" w:line="174"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line="174" w:lineRule="exact"/>
              <w:rPr>
                <w:sz w:val="20"/>
                <w:szCs w:val="20"/>
                <w:color w:val="auto"/>
              </w:rPr>
            </w:pPr>
            <w:r>
              <w:rPr>
                <w:rFonts w:ascii="Arial" w:cs="Arial" w:eastAsia="Arial" w:hAnsi="Arial"/>
                <w:sz w:val="16"/>
                <w:szCs w:val="16"/>
                <w:color w:val="auto"/>
              </w:rPr>
              <w:t>(1,151)</w:t>
            </w:r>
          </w:p>
        </w:tc>
        <w:tc>
          <w:tcPr>
            <w:tcW w:w="840" w:type="dxa"/>
            <w:vAlign w:val="bottom"/>
            <w:gridSpan w:val="2"/>
          </w:tcPr>
          <w:p>
            <w:pPr>
              <w:jc w:val="right"/>
              <w:ind w:right="583"/>
              <w:spacing w:after="0" w:line="174"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74" w:lineRule="exact"/>
              <w:rPr>
                <w:sz w:val="20"/>
                <w:szCs w:val="20"/>
                <w:color w:val="auto"/>
              </w:rPr>
            </w:pPr>
            <w:r>
              <w:rPr>
                <w:rFonts w:ascii="Arial" w:cs="Arial" w:eastAsia="Arial" w:hAnsi="Arial"/>
                <w:sz w:val="16"/>
                <w:szCs w:val="16"/>
                <w:color w:val="auto"/>
              </w:rPr>
              <w:t>27</w:t>
            </w:r>
          </w:p>
        </w:tc>
        <w:tc>
          <w:tcPr>
            <w:tcW w:w="140" w:type="dxa"/>
            <w:vAlign w:val="bottom"/>
          </w:tcPr>
          <w:p>
            <w:pPr>
              <w:spacing w:after="0"/>
              <w:rPr>
                <w:sz w:val="15"/>
                <w:szCs w:val="15"/>
                <w:color w:val="auto"/>
              </w:rPr>
            </w:pPr>
          </w:p>
        </w:tc>
        <w:tc>
          <w:tcPr>
            <w:tcW w:w="340" w:type="dxa"/>
            <w:vAlign w:val="bottom"/>
            <w:gridSpan w:val="2"/>
          </w:tcPr>
          <w:p>
            <w:pPr>
              <w:jc w:val="right"/>
              <w:ind w:right="58"/>
              <w:spacing w:after="0" w:line="174"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74" w:lineRule="exact"/>
              <w:rPr>
                <w:sz w:val="20"/>
                <w:szCs w:val="20"/>
                <w:color w:val="auto"/>
              </w:rPr>
            </w:pPr>
            <w:r>
              <w:rPr>
                <w:rFonts w:ascii="Arial" w:cs="Arial" w:eastAsia="Arial" w:hAnsi="Arial"/>
                <w:sz w:val="16"/>
                <w:szCs w:val="16"/>
                <w:color w:val="auto"/>
              </w:rPr>
              <w:t>1,145</w:t>
            </w:r>
          </w:p>
        </w:tc>
        <w:tc>
          <w:tcPr>
            <w:tcW w:w="14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8"/>
        </w:trPr>
        <w:tc>
          <w:tcPr>
            <w:tcW w:w="13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assumptions used:</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1"/>
        </w:trPr>
        <w:tc>
          <w:tcPr>
            <w:tcW w:w="7360" w:type="dxa"/>
            <w:vAlign w:val="bottom"/>
            <w:gridSpan w:val="2"/>
          </w:tcPr>
          <w:p>
            <w:pPr>
              <w:ind w:left="1300"/>
              <w:spacing w:after="0"/>
              <w:rPr>
                <w:sz w:val="20"/>
                <w:szCs w:val="20"/>
                <w:color w:val="auto"/>
              </w:rPr>
            </w:pPr>
            <w:r>
              <w:rPr>
                <w:rFonts w:ascii="Arial" w:cs="Arial" w:eastAsia="Arial" w:hAnsi="Arial"/>
                <w:sz w:val="16"/>
                <w:szCs w:val="16"/>
                <w:color w:val="auto"/>
              </w:rPr>
              <w:t>Discount rate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2.50 %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w w:val="96"/>
              </w:rPr>
              <w:t>3.20%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4.40%</w:t>
            </w:r>
          </w:p>
        </w:tc>
      </w:tr>
      <w:tr>
        <w:trPr>
          <w:trHeight w:val="222"/>
        </w:trPr>
        <w:tc>
          <w:tcPr>
            <w:tcW w:w="13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6"/>
              </w:rPr>
              <w:t>3.80%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4.20%</w:t>
            </w:r>
          </w:p>
        </w:tc>
      </w:tr>
      <w:tr>
        <w:trPr>
          <w:trHeight w:val="220"/>
        </w:trPr>
        <w:tc>
          <w:tcPr>
            <w:tcW w:w="7360" w:type="dxa"/>
            <w:vAlign w:val="bottom"/>
            <w:gridSpan w:val="2"/>
          </w:tcPr>
          <w:p>
            <w:pPr>
              <w:ind w:left="1300"/>
              <w:spacing w:after="0"/>
              <w:rPr>
                <w:sz w:val="20"/>
                <w:szCs w:val="20"/>
                <w:color w:val="auto"/>
              </w:rPr>
            </w:pPr>
            <w:r>
              <w:rPr>
                <w:rFonts w:ascii="Arial" w:cs="Arial" w:eastAsia="Arial" w:hAnsi="Arial"/>
                <w:sz w:val="16"/>
                <w:szCs w:val="16"/>
                <w:color w:val="auto"/>
              </w:rPr>
              <w:t>Rate of compensation increases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N/A</w:t>
            </w:r>
          </w:p>
        </w:tc>
      </w:tr>
      <w:tr>
        <w:trPr>
          <w:trHeight w:val="393"/>
        </w:trPr>
        <w:tc>
          <w:tcPr>
            <w:tcW w:w="1320" w:type="dxa"/>
            <w:vAlign w:val="bottom"/>
          </w:tcPr>
          <w:p>
            <w:pPr>
              <w:spacing w:after="0"/>
              <w:rPr>
                <w:sz w:val="24"/>
                <w:szCs w:val="24"/>
                <w:color w:val="auto"/>
              </w:rPr>
            </w:pPr>
          </w:p>
        </w:tc>
        <w:tc>
          <w:tcPr>
            <w:tcW w:w="6040" w:type="dxa"/>
            <w:vAlign w:val="bottom"/>
          </w:tcPr>
          <w:p>
            <w:pPr>
              <w:ind w:left="4100"/>
              <w:spacing w:after="0"/>
              <w:rPr>
                <w:sz w:val="20"/>
                <w:szCs w:val="20"/>
                <w:color w:val="auto"/>
              </w:rPr>
            </w:pPr>
            <w:r>
              <w:rPr>
                <w:rFonts w:ascii="Arial" w:cs="Arial" w:eastAsia="Arial" w:hAnsi="Arial"/>
                <w:sz w:val="16"/>
                <w:szCs w:val="16"/>
                <w:color w:val="auto"/>
              </w:rPr>
              <w:t>F - 34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8"/>
        </w:trPr>
        <w:tc>
          <w:tcPr>
            <w:tcW w:w="1320" w:type="dxa"/>
            <w:vAlign w:val="bottom"/>
            <w:tcBorders>
              <w:bottom w:val="single" w:sz="8" w:color="EEEEEE"/>
            </w:tcBorders>
          </w:tcPr>
          <w:p>
            <w:pPr>
              <w:spacing w:after="0"/>
              <w:rPr>
                <w:sz w:val="17"/>
                <w:szCs w:val="17"/>
                <w:color w:val="auto"/>
              </w:rPr>
            </w:pPr>
          </w:p>
        </w:tc>
        <w:tc>
          <w:tcPr>
            <w:tcW w:w="60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7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74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84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-35560</wp:posOffset>
            </wp:positionV>
            <wp:extent cx="7169785" cy="488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13:</w:t>
        <w:tab/>
        <w:t>EMPLOYEE RELATED LIABILITIES (Continued)</w:t>
      </w:r>
    </w:p>
    <w:p>
      <w:pPr>
        <w:spacing w:after="0" w:line="140" w:lineRule="exact"/>
        <w:rPr>
          <w:sz w:val="20"/>
          <w:szCs w:val="20"/>
          <w:color w:val="auto"/>
        </w:rPr>
      </w:pPr>
    </w:p>
    <w:p>
      <w:pPr>
        <w:ind w:left="1300"/>
        <w:spacing w:after="0" w:line="288" w:lineRule="auto"/>
        <w:rPr>
          <w:sz w:val="20"/>
          <w:szCs w:val="20"/>
          <w:color w:val="auto"/>
        </w:rPr>
      </w:pPr>
      <w:r>
        <w:rPr>
          <w:rFonts w:ascii="Arial" w:cs="Arial" w:eastAsia="Arial" w:hAnsi="Arial"/>
          <w:sz w:val="16"/>
          <w:szCs w:val="16"/>
          <w:color w:val="auto"/>
        </w:rPr>
        <w:t>The components of the change in benefit obligation, change in plan assets and funded status for TSNB’s pension plan for the years ended December 31, 2021, 2020 and 2019 are as follows:</w:t>
      </w:r>
    </w:p>
    <w:p>
      <w:pPr>
        <w:spacing w:after="0" w:line="124" w:lineRule="exact"/>
        <w:rPr>
          <w:sz w:val="20"/>
          <w:szCs w:val="20"/>
          <w:color w:val="auto"/>
        </w:rPr>
      </w:pPr>
    </w:p>
    <w:tbl>
      <w:tblPr>
        <w:tblLayout w:type="fixed"/>
        <w:tblInd w:w="1300" w:type="dxa"/>
        <w:tblCellMar>
          <w:top w:w="0" w:type="dxa"/>
          <w:left w:w="0" w:type="dxa"/>
          <w:bottom w:w="0" w:type="dxa"/>
          <w:right w:w="0" w:type="dxa"/>
        </w:tblCellMar>
      </w:tblPr>
      <w:tr>
        <w:trPr>
          <w:trHeight w:val="214"/>
        </w:trPr>
        <w:tc>
          <w:tcPr>
            <w:tcW w:w="4840" w:type="dxa"/>
            <w:vAlign w:val="bottom"/>
            <w:gridSpan w:val="2"/>
          </w:tcPr>
          <w:p>
            <w:pPr>
              <w:spacing w:after="0"/>
              <w:rPr>
                <w:sz w:val="20"/>
                <w:szCs w:val="20"/>
                <w:color w:val="auto"/>
              </w:rPr>
            </w:pPr>
            <w:r>
              <w:rPr>
                <w:rFonts w:ascii="Arial" w:cs="Arial" w:eastAsia="Arial" w:hAnsi="Arial"/>
                <w:sz w:val="16"/>
                <w:szCs w:val="16"/>
                <w:color w:val="auto"/>
              </w:rPr>
              <w:t>Details</w:t>
            </w:r>
          </w:p>
        </w:tc>
        <w:tc>
          <w:tcPr>
            <w:tcW w:w="1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Change in benefit obligation:</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21"/>
        </w:trPr>
        <w:tc>
          <w:tcPr>
            <w:tcW w:w="4840" w:type="dxa"/>
            <w:vAlign w:val="bottom"/>
            <w:gridSpan w:val="2"/>
          </w:tcPr>
          <w:p>
            <w:pPr>
              <w:spacing w:after="0"/>
              <w:rPr>
                <w:sz w:val="20"/>
                <w:szCs w:val="20"/>
                <w:color w:val="auto"/>
              </w:rPr>
            </w:pPr>
            <w:r>
              <w:rPr>
                <w:rFonts w:ascii="Arial" w:cs="Arial" w:eastAsia="Arial" w:hAnsi="Arial"/>
                <w:sz w:val="16"/>
                <w:szCs w:val="16"/>
                <w:color w:val="auto"/>
              </w:rPr>
              <w:t>Benefit obligation at beginning of period</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23,467</w:t>
            </w:r>
          </w:p>
        </w:tc>
        <w:tc>
          <w:tcPr>
            <w:tcW w:w="260" w:type="dxa"/>
            <w:vAlign w:val="bottom"/>
          </w:tcPr>
          <w:p>
            <w:pPr>
              <w:spacing w:after="0"/>
              <w:rPr>
                <w:sz w:val="19"/>
                <w:szCs w:val="19"/>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21,908</w:t>
            </w:r>
          </w:p>
        </w:tc>
        <w:tc>
          <w:tcPr>
            <w:tcW w:w="24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18,979</w:t>
            </w:r>
          </w:p>
        </w:tc>
        <w:tc>
          <w:tcPr>
            <w:tcW w:w="14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Interest cost</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26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2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40" w:type="dxa"/>
            <w:vAlign w:val="bottom"/>
            <w:shd w:val="clear" w:color="auto" w:fill="CCEEFF"/>
          </w:tcPr>
          <w:p>
            <w:pPr>
              <w:spacing w:after="0"/>
              <w:rPr>
                <w:sz w:val="19"/>
                <w:szCs w:val="19"/>
                <w:color w:val="auto"/>
              </w:rPr>
            </w:pPr>
          </w:p>
        </w:tc>
      </w:tr>
      <w:tr>
        <w:trPr>
          <w:trHeight w:val="221"/>
        </w:trPr>
        <w:tc>
          <w:tcPr>
            <w:tcW w:w="4840" w:type="dxa"/>
            <w:vAlign w:val="bottom"/>
            <w:gridSpan w:val="2"/>
          </w:tcPr>
          <w:p>
            <w:pPr>
              <w:spacing w:after="0"/>
              <w:rPr>
                <w:sz w:val="20"/>
                <w:szCs w:val="20"/>
                <w:color w:val="auto"/>
              </w:rPr>
            </w:pPr>
            <w:r>
              <w:rPr>
                <w:rFonts w:ascii="Arial" w:cs="Arial" w:eastAsia="Arial" w:hAnsi="Arial"/>
                <w:sz w:val="16"/>
                <w:szCs w:val="16"/>
                <w:color w:val="auto"/>
              </w:rPr>
              <w:t>Benefits paid</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(778)</w:t>
            </w: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(736)</w:t>
            </w: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(688)</w:t>
            </w:r>
          </w:p>
        </w:tc>
      </w:tr>
      <w:tr>
        <w:trPr>
          <w:trHeight w:val="222"/>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Change in plan provisions</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r>
      <w:tr>
        <w:trPr>
          <w:trHeight w:val="221"/>
        </w:trPr>
        <w:tc>
          <w:tcPr>
            <w:tcW w:w="4840" w:type="dxa"/>
            <w:vAlign w:val="bottom"/>
            <w:gridSpan w:val="2"/>
          </w:tcPr>
          <w:p>
            <w:pPr>
              <w:spacing w:after="0"/>
              <w:rPr>
                <w:sz w:val="20"/>
                <w:szCs w:val="20"/>
                <w:color w:val="auto"/>
              </w:rPr>
            </w:pPr>
            <w:r>
              <w:rPr>
                <w:rFonts w:ascii="Arial" w:cs="Arial" w:eastAsia="Arial" w:hAnsi="Arial"/>
                <w:sz w:val="16"/>
                <w:szCs w:val="16"/>
                <w:color w:val="auto"/>
              </w:rPr>
              <w:t>Actuarial loss (gain)</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(1,183)</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1,608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2,800</w:t>
            </w:r>
          </w:p>
        </w:tc>
        <w:tc>
          <w:tcPr>
            <w:tcW w:w="140" w:type="dxa"/>
            <w:vAlign w:val="bottom"/>
          </w:tcPr>
          <w:p>
            <w:pPr>
              <w:spacing w:after="0"/>
              <w:rPr>
                <w:sz w:val="19"/>
                <w:szCs w:val="19"/>
                <w:color w:val="auto"/>
              </w:rPr>
            </w:pPr>
          </w:p>
        </w:tc>
      </w:tr>
      <w:tr>
        <w:trPr>
          <w:trHeight w:val="25"/>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Benefit obligation end of period</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22,081</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23,467</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21,908</w:t>
            </w:r>
          </w:p>
        </w:tc>
        <w:tc>
          <w:tcPr>
            <w:tcW w:w="1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4840" w:type="dxa"/>
            <w:vAlign w:val="bottom"/>
            <w:gridSpan w:val="2"/>
          </w:tcPr>
          <w:p>
            <w:pPr>
              <w:spacing w:after="0"/>
              <w:rPr>
                <w:sz w:val="20"/>
                <w:szCs w:val="20"/>
                <w:color w:val="auto"/>
              </w:rPr>
            </w:pPr>
            <w:r>
              <w:rPr>
                <w:rFonts w:ascii="Arial" w:cs="Arial" w:eastAsia="Arial" w:hAnsi="Arial"/>
                <w:sz w:val="16"/>
                <w:szCs w:val="16"/>
                <w:color w:val="auto"/>
              </w:rPr>
              <w:t>Change in plan assets:</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Fair value of plan assets at beginning of period</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25,985</w:t>
            </w:r>
          </w:p>
        </w:tc>
        <w:tc>
          <w:tcPr>
            <w:tcW w:w="26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24,454</w:t>
            </w:r>
          </w:p>
        </w:tc>
        <w:tc>
          <w:tcPr>
            <w:tcW w:w="2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22,669</w:t>
            </w:r>
          </w:p>
        </w:tc>
        <w:tc>
          <w:tcPr>
            <w:tcW w:w="140" w:type="dxa"/>
            <w:vAlign w:val="bottom"/>
            <w:shd w:val="clear" w:color="auto" w:fill="CCEEFF"/>
          </w:tcPr>
          <w:p>
            <w:pPr>
              <w:spacing w:after="0"/>
              <w:rPr>
                <w:sz w:val="19"/>
                <w:szCs w:val="19"/>
                <w:color w:val="auto"/>
              </w:rPr>
            </w:pPr>
          </w:p>
        </w:tc>
      </w:tr>
      <w:tr>
        <w:trPr>
          <w:trHeight w:val="221"/>
        </w:trPr>
        <w:tc>
          <w:tcPr>
            <w:tcW w:w="4840" w:type="dxa"/>
            <w:vAlign w:val="bottom"/>
            <w:gridSpan w:val="2"/>
          </w:tcPr>
          <w:p>
            <w:pPr>
              <w:spacing w:after="0"/>
              <w:rPr>
                <w:sz w:val="20"/>
                <w:szCs w:val="20"/>
                <w:color w:val="auto"/>
              </w:rPr>
            </w:pPr>
            <w:r>
              <w:rPr>
                <w:rFonts w:ascii="Arial" w:cs="Arial" w:eastAsia="Arial" w:hAnsi="Arial"/>
                <w:sz w:val="16"/>
                <w:szCs w:val="16"/>
                <w:color w:val="auto"/>
              </w:rPr>
              <w:t>Actual return on plan assets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2,544</w:t>
            </w:r>
          </w:p>
        </w:tc>
        <w:tc>
          <w:tcPr>
            <w:tcW w:w="14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Employer contribution</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r>
      <w:tr>
        <w:trPr>
          <w:trHeight w:val="221"/>
        </w:trPr>
        <w:tc>
          <w:tcPr>
            <w:tcW w:w="4840" w:type="dxa"/>
            <w:vAlign w:val="bottom"/>
            <w:gridSpan w:val="2"/>
          </w:tcPr>
          <w:p>
            <w:pPr>
              <w:spacing w:after="0"/>
              <w:rPr>
                <w:sz w:val="20"/>
                <w:szCs w:val="20"/>
                <w:color w:val="auto"/>
              </w:rPr>
            </w:pPr>
            <w:r>
              <w:rPr>
                <w:rFonts w:ascii="Arial" w:cs="Arial" w:eastAsia="Arial" w:hAnsi="Arial"/>
                <w:sz w:val="16"/>
                <w:szCs w:val="16"/>
                <w:color w:val="auto"/>
              </w:rPr>
              <w:t>Expenses paid</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(69)</w:t>
            </w: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(71)</w:t>
            </w:r>
          </w:p>
        </w:tc>
      </w:tr>
      <w:tr>
        <w:trPr>
          <w:trHeight w:val="222"/>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Benefits paid</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(778)</w:t>
            </w:r>
          </w:p>
        </w:tc>
        <w:tc>
          <w:tcPr>
            <w:tcW w:w="22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(737)</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(688)</w:t>
            </w:r>
          </w:p>
        </w:tc>
      </w:tr>
      <w:tr>
        <w:trPr>
          <w:trHeight w:val="25"/>
        </w:trPr>
        <w:tc>
          <w:tcPr>
            <w:tcW w:w="20" w:type="dxa"/>
            <w:vAlign w:val="bottom"/>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97"/>
        </w:trPr>
        <w:tc>
          <w:tcPr>
            <w:tcW w:w="4840" w:type="dxa"/>
            <w:vAlign w:val="bottom"/>
            <w:gridSpan w:val="2"/>
          </w:tcPr>
          <w:p>
            <w:pPr>
              <w:spacing w:after="0"/>
              <w:rPr>
                <w:sz w:val="20"/>
                <w:szCs w:val="20"/>
                <w:color w:val="auto"/>
              </w:rPr>
            </w:pPr>
            <w:r>
              <w:rPr>
                <w:rFonts w:ascii="Arial" w:cs="Arial" w:eastAsia="Arial" w:hAnsi="Arial"/>
                <w:sz w:val="16"/>
                <w:szCs w:val="16"/>
                <w:color w:val="auto"/>
              </w:rPr>
              <w:t>Fair value of plan assets at end of period</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25,750</w:t>
            </w:r>
          </w:p>
        </w:tc>
        <w:tc>
          <w:tcPr>
            <w:tcW w:w="260" w:type="dxa"/>
            <w:vAlign w:val="bottom"/>
          </w:tcPr>
          <w:p>
            <w:pPr>
              <w:spacing w:after="0"/>
              <w:rPr>
                <w:sz w:val="17"/>
                <w:szCs w:val="17"/>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25,985</w:t>
            </w:r>
          </w:p>
        </w:tc>
        <w:tc>
          <w:tcPr>
            <w:tcW w:w="24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24,454</w:t>
            </w:r>
          </w:p>
        </w:tc>
        <w:tc>
          <w:tcPr>
            <w:tcW w:w="1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820" w:type="dxa"/>
            <w:vAlign w:val="bottom"/>
            <w:shd w:val="clear" w:color="auto" w:fill="CCEEFF"/>
          </w:tcPr>
          <w:p>
            <w:pPr>
              <w:spacing w:after="0" w:line="174" w:lineRule="exact"/>
              <w:rPr>
                <w:sz w:val="20"/>
                <w:szCs w:val="20"/>
                <w:color w:val="auto"/>
              </w:rPr>
            </w:pPr>
            <w:r>
              <w:rPr>
                <w:rFonts w:ascii="Arial" w:cs="Arial" w:eastAsia="Arial" w:hAnsi="Arial"/>
                <w:sz w:val="16"/>
                <w:szCs w:val="16"/>
                <w:color w:val="auto"/>
              </w:rPr>
              <w:t>Funded Status</w:t>
            </w:r>
          </w:p>
        </w:tc>
        <w:tc>
          <w:tcPr>
            <w:tcW w:w="1440" w:type="dxa"/>
            <w:vAlign w:val="bottom"/>
            <w:gridSpan w:val="2"/>
            <w:shd w:val="clear" w:color="auto" w:fill="CCEEFF"/>
          </w:tcPr>
          <w:p>
            <w:pPr>
              <w:jc w:val="right"/>
              <w:ind w:right="140"/>
              <w:spacing w:after="0" w:line="174"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3,669</w:t>
            </w:r>
          </w:p>
        </w:tc>
        <w:tc>
          <w:tcPr>
            <w:tcW w:w="26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2,518</w:t>
            </w:r>
          </w:p>
        </w:tc>
        <w:tc>
          <w:tcPr>
            <w:tcW w:w="2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2,546</w:t>
            </w:r>
          </w:p>
        </w:tc>
        <w:tc>
          <w:tcPr>
            <w:tcW w:w="14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4840" w:type="dxa"/>
            <w:vAlign w:val="bottom"/>
            <w:gridSpan w:val="2"/>
          </w:tcPr>
          <w:p>
            <w:pPr>
              <w:spacing w:after="0"/>
              <w:rPr>
                <w:sz w:val="20"/>
                <w:szCs w:val="20"/>
                <w:color w:val="auto"/>
              </w:rPr>
            </w:pPr>
            <w:r>
              <w:rPr>
                <w:rFonts w:ascii="Arial" w:cs="Arial" w:eastAsia="Arial" w:hAnsi="Arial"/>
                <w:sz w:val="16"/>
                <w:szCs w:val="16"/>
                <w:color w:val="auto"/>
              </w:rPr>
              <w:t>Amounts recognized in statement of financial position:</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Non-current assets</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3,669</w:t>
            </w:r>
          </w:p>
        </w:tc>
        <w:tc>
          <w:tcPr>
            <w:tcW w:w="26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2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2,546</w:t>
            </w:r>
          </w:p>
        </w:tc>
        <w:tc>
          <w:tcPr>
            <w:tcW w:w="140" w:type="dxa"/>
            <w:vAlign w:val="bottom"/>
            <w:shd w:val="clear" w:color="auto" w:fill="CCEEFF"/>
          </w:tcPr>
          <w:p>
            <w:pPr>
              <w:spacing w:after="0"/>
              <w:rPr>
                <w:sz w:val="19"/>
                <w:szCs w:val="19"/>
                <w:color w:val="auto"/>
              </w:rPr>
            </w:pPr>
          </w:p>
        </w:tc>
      </w:tr>
      <w:tr>
        <w:trPr>
          <w:trHeight w:val="226"/>
        </w:trPr>
        <w:tc>
          <w:tcPr>
            <w:tcW w:w="4840" w:type="dxa"/>
            <w:vAlign w:val="bottom"/>
            <w:gridSpan w:val="2"/>
          </w:tcPr>
          <w:p>
            <w:pPr>
              <w:spacing w:after="0"/>
              <w:rPr>
                <w:sz w:val="20"/>
                <w:szCs w:val="20"/>
                <w:color w:val="auto"/>
              </w:rPr>
            </w:pPr>
            <w:r>
              <w:rPr>
                <w:rFonts w:ascii="Arial" w:cs="Arial" w:eastAsia="Arial" w:hAnsi="Arial"/>
                <w:sz w:val="16"/>
                <w:szCs w:val="16"/>
                <w:color w:val="auto"/>
              </w:rPr>
              <w:t>Non-current liabilities</w:t>
            </w:r>
          </w:p>
        </w:tc>
        <w:tc>
          <w:tcPr>
            <w:tcW w:w="1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Net amount recognized</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3,669</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2,546</w:t>
            </w:r>
          </w:p>
        </w:tc>
        <w:tc>
          <w:tcPr>
            <w:tcW w:w="1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4840" w:type="dxa"/>
            <w:vAlign w:val="bottom"/>
            <w:gridSpan w:val="2"/>
          </w:tcPr>
          <w:p>
            <w:pPr>
              <w:spacing w:after="0"/>
              <w:rPr>
                <w:sz w:val="20"/>
                <w:szCs w:val="20"/>
                <w:color w:val="auto"/>
              </w:rPr>
            </w:pPr>
            <w:r>
              <w:rPr>
                <w:rFonts w:ascii="Arial" w:cs="Arial" w:eastAsia="Arial" w:hAnsi="Arial"/>
                <w:sz w:val="16"/>
                <w:szCs w:val="16"/>
                <w:color w:val="auto"/>
              </w:rPr>
              <w:t>Weighted average assumptions used:</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Discount rate</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2.90%</w:t>
            </w:r>
          </w:p>
        </w:tc>
        <w:tc>
          <w:tcPr>
            <w:tcW w:w="22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2.50%</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w:t>
            </w:r>
          </w:p>
        </w:tc>
      </w:tr>
      <w:tr>
        <w:trPr>
          <w:trHeight w:val="220"/>
        </w:trPr>
        <w:tc>
          <w:tcPr>
            <w:tcW w:w="4840" w:type="dxa"/>
            <w:vAlign w:val="bottom"/>
            <w:gridSpan w:val="2"/>
          </w:tcPr>
          <w:p>
            <w:pPr>
              <w:spacing w:after="0"/>
              <w:rPr>
                <w:sz w:val="20"/>
                <w:szCs w:val="20"/>
                <w:color w:val="auto"/>
              </w:rPr>
            </w:pPr>
            <w:r>
              <w:rPr>
                <w:rFonts w:ascii="Arial" w:cs="Arial" w:eastAsia="Arial" w:hAnsi="Arial"/>
                <w:sz w:val="16"/>
                <w:szCs w:val="16"/>
                <w:color w:val="auto"/>
              </w:rPr>
              <w:t>Rate of compensation increases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N/A</w:t>
            </w:r>
          </w:p>
        </w:tc>
      </w:tr>
    </w:tbl>
    <w:p>
      <w:pPr>
        <w:spacing w:after="0" w:line="173"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The following benefit payments are expected to be paid in each of the next five fiscal years and in the aggregate for the five fiscal years thereafter: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40" w:type="dxa"/>
            <w:vAlign w:val="bottom"/>
            <w:gridSpan w:val="2"/>
          </w:tcPr>
          <w:p>
            <w:pPr>
              <w:ind w:left="1300"/>
              <w:spacing w:after="0"/>
              <w:rPr>
                <w:sz w:val="20"/>
                <w:szCs w:val="20"/>
                <w:color w:val="auto"/>
              </w:rPr>
            </w:pPr>
            <w:r>
              <w:rPr>
                <w:rFonts w:ascii="Arial" w:cs="Arial" w:eastAsia="Arial" w:hAnsi="Arial"/>
                <w:sz w:val="16"/>
                <w:szCs w:val="16"/>
                <w:color w:val="auto"/>
              </w:rPr>
              <w:t>Fiscal Year</w:t>
            </w:r>
          </w:p>
        </w:tc>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ind w:left="60"/>
              <w:spacing w:after="0"/>
              <w:rPr>
                <w:sz w:val="20"/>
                <w:szCs w:val="20"/>
                <w:color w:val="auto"/>
              </w:rPr>
            </w:pPr>
            <w:r>
              <w:rPr>
                <w:rFonts w:ascii="Arial" w:cs="Arial" w:eastAsia="Arial" w:hAnsi="Arial"/>
                <w:sz w:val="16"/>
                <w:szCs w:val="16"/>
                <w:color w:val="auto"/>
              </w:rPr>
              <w:t>Other Benefits</w:t>
            </w:r>
          </w:p>
        </w:tc>
      </w:tr>
      <w:tr>
        <w:trPr>
          <w:trHeight w:val="221"/>
        </w:trPr>
        <w:tc>
          <w:tcPr>
            <w:tcW w:w="1320" w:type="dxa"/>
            <w:vAlign w:val="bottom"/>
          </w:tcPr>
          <w:p>
            <w:pPr>
              <w:spacing w:after="0"/>
              <w:rPr>
                <w:sz w:val="19"/>
                <w:szCs w:val="19"/>
                <w:color w:val="auto"/>
              </w:rPr>
            </w:pPr>
          </w:p>
        </w:tc>
        <w:tc>
          <w:tcPr>
            <w:tcW w:w="2420" w:type="dxa"/>
            <w:vAlign w:val="bottom"/>
            <w:tcBorders>
              <w:top w:val="single" w:sz="8" w:color="auto"/>
            </w:tcBorders>
            <w:shd w:val="clear" w:color="auto" w:fill="CCEEFF"/>
          </w:tcPr>
          <w:p>
            <w:pPr>
              <w:jc w:val="right"/>
              <w:ind w:right="2018"/>
              <w:spacing w:after="0"/>
              <w:rPr>
                <w:sz w:val="20"/>
                <w:szCs w:val="20"/>
                <w:color w:val="auto"/>
              </w:rPr>
            </w:pPr>
            <w:r>
              <w:rPr>
                <w:rFonts w:ascii="Arial" w:cs="Arial" w:eastAsia="Arial" w:hAnsi="Arial"/>
                <w:sz w:val="16"/>
                <w:szCs w:val="16"/>
                <w:color w:val="auto"/>
                <w:w w:val="84"/>
              </w:rPr>
              <w:t>2022</w:t>
            </w:r>
          </w:p>
        </w:tc>
        <w:tc>
          <w:tcPr>
            <w:tcW w:w="612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100" w:type="dxa"/>
            <w:vAlign w:val="bottom"/>
            <w:shd w:val="clear" w:color="auto" w:fill="CCEEFF"/>
          </w:tcPr>
          <w:p>
            <w:pPr>
              <w:spacing w:after="0"/>
              <w:rPr>
                <w:sz w:val="19"/>
                <w:szCs w:val="19"/>
                <w:color w:val="auto"/>
              </w:rPr>
            </w:pPr>
          </w:p>
        </w:tc>
      </w:tr>
      <w:tr>
        <w:trPr>
          <w:trHeight w:val="221"/>
        </w:trPr>
        <w:tc>
          <w:tcPr>
            <w:tcW w:w="3740" w:type="dxa"/>
            <w:vAlign w:val="bottom"/>
            <w:gridSpan w:val="2"/>
          </w:tcPr>
          <w:p>
            <w:pPr>
              <w:jc w:val="right"/>
              <w:ind w:right="2018"/>
              <w:spacing w:after="0"/>
              <w:rPr>
                <w:sz w:val="20"/>
                <w:szCs w:val="20"/>
                <w:color w:val="auto"/>
              </w:rPr>
            </w:pPr>
            <w:r>
              <w:rPr>
                <w:rFonts w:ascii="Arial" w:cs="Arial" w:eastAsia="Arial" w:hAnsi="Arial"/>
                <w:sz w:val="16"/>
                <w:szCs w:val="16"/>
                <w:color w:val="auto"/>
              </w:rPr>
              <w:t>2023</w:t>
            </w:r>
          </w:p>
        </w:tc>
        <w:tc>
          <w:tcPr>
            <w:tcW w:w="6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1,029</w:t>
            </w:r>
          </w:p>
        </w:tc>
        <w:tc>
          <w:tcPr>
            <w:tcW w:w="100" w:type="dxa"/>
            <w:vAlign w:val="bottom"/>
          </w:tcPr>
          <w:p>
            <w:pPr>
              <w:spacing w:after="0"/>
              <w:rPr>
                <w:sz w:val="19"/>
                <w:szCs w:val="19"/>
                <w:color w:val="auto"/>
              </w:rPr>
            </w:pPr>
          </w:p>
        </w:tc>
      </w:tr>
      <w:tr>
        <w:trPr>
          <w:trHeight w:val="222"/>
        </w:trPr>
        <w:tc>
          <w:tcPr>
            <w:tcW w:w="1320" w:type="dxa"/>
            <w:vAlign w:val="bottom"/>
          </w:tcPr>
          <w:p>
            <w:pPr>
              <w:spacing w:after="0"/>
              <w:rPr>
                <w:sz w:val="19"/>
                <w:szCs w:val="19"/>
                <w:color w:val="auto"/>
              </w:rPr>
            </w:pPr>
          </w:p>
        </w:tc>
        <w:tc>
          <w:tcPr>
            <w:tcW w:w="2420" w:type="dxa"/>
            <w:vAlign w:val="bottom"/>
            <w:shd w:val="clear" w:color="auto" w:fill="CCEEFF"/>
          </w:tcPr>
          <w:p>
            <w:pPr>
              <w:jc w:val="right"/>
              <w:ind w:right="2018"/>
              <w:spacing w:after="0"/>
              <w:rPr>
                <w:sz w:val="20"/>
                <w:szCs w:val="20"/>
                <w:color w:val="auto"/>
              </w:rPr>
            </w:pPr>
            <w:r>
              <w:rPr>
                <w:rFonts w:ascii="Arial" w:cs="Arial" w:eastAsia="Arial" w:hAnsi="Arial"/>
                <w:sz w:val="16"/>
                <w:szCs w:val="16"/>
                <w:color w:val="auto"/>
                <w:w w:val="84"/>
              </w:rPr>
              <w:t>2024</w:t>
            </w:r>
          </w:p>
        </w:tc>
        <w:tc>
          <w:tcPr>
            <w:tcW w:w="6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100" w:type="dxa"/>
            <w:vAlign w:val="bottom"/>
            <w:shd w:val="clear" w:color="auto" w:fill="CCEEFF"/>
          </w:tcPr>
          <w:p>
            <w:pPr>
              <w:spacing w:after="0"/>
              <w:rPr>
                <w:sz w:val="19"/>
                <w:szCs w:val="19"/>
                <w:color w:val="auto"/>
              </w:rPr>
            </w:pPr>
          </w:p>
        </w:tc>
      </w:tr>
      <w:tr>
        <w:trPr>
          <w:trHeight w:val="221"/>
        </w:trPr>
        <w:tc>
          <w:tcPr>
            <w:tcW w:w="3740" w:type="dxa"/>
            <w:vAlign w:val="bottom"/>
            <w:gridSpan w:val="2"/>
          </w:tcPr>
          <w:p>
            <w:pPr>
              <w:jc w:val="right"/>
              <w:ind w:right="2018"/>
              <w:spacing w:after="0"/>
              <w:rPr>
                <w:sz w:val="20"/>
                <w:szCs w:val="20"/>
                <w:color w:val="auto"/>
              </w:rPr>
            </w:pPr>
            <w:r>
              <w:rPr>
                <w:rFonts w:ascii="Arial" w:cs="Arial" w:eastAsia="Arial" w:hAnsi="Arial"/>
                <w:sz w:val="16"/>
                <w:szCs w:val="16"/>
                <w:color w:val="auto"/>
              </w:rPr>
              <w:t>2025</w:t>
            </w:r>
          </w:p>
        </w:tc>
        <w:tc>
          <w:tcPr>
            <w:tcW w:w="6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1,161</w:t>
            </w:r>
          </w:p>
        </w:tc>
        <w:tc>
          <w:tcPr>
            <w:tcW w:w="100" w:type="dxa"/>
            <w:vAlign w:val="bottom"/>
          </w:tcPr>
          <w:p>
            <w:pPr>
              <w:spacing w:after="0"/>
              <w:rPr>
                <w:sz w:val="19"/>
                <w:szCs w:val="19"/>
                <w:color w:val="auto"/>
              </w:rPr>
            </w:pPr>
          </w:p>
        </w:tc>
      </w:tr>
      <w:tr>
        <w:trPr>
          <w:trHeight w:val="222"/>
        </w:trPr>
        <w:tc>
          <w:tcPr>
            <w:tcW w:w="1320" w:type="dxa"/>
            <w:vAlign w:val="bottom"/>
          </w:tcPr>
          <w:p>
            <w:pPr>
              <w:spacing w:after="0"/>
              <w:rPr>
                <w:sz w:val="19"/>
                <w:szCs w:val="19"/>
                <w:color w:val="auto"/>
              </w:rPr>
            </w:pPr>
          </w:p>
        </w:tc>
        <w:tc>
          <w:tcPr>
            <w:tcW w:w="2420" w:type="dxa"/>
            <w:vAlign w:val="bottom"/>
            <w:shd w:val="clear" w:color="auto" w:fill="CCEEFF"/>
          </w:tcPr>
          <w:p>
            <w:pPr>
              <w:jc w:val="right"/>
              <w:ind w:right="2018"/>
              <w:spacing w:after="0"/>
              <w:rPr>
                <w:sz w:val="20"/>
                <w:szCs w:val="20"/>
                <w:color w:val="auto"/>
              </w:rPr>
            </w:pPr>
            <w:r>
              <w:rPr>
                <w:rFonts w:ascii="Arial" w:cs="Arial" w:eastAsia="Arial" w:hAnsi="Arial"/>
                <w:sz w:val="16"/>
                <w:szCs w:val="16"/>
                <w:color w:val="auto"/>
                <w:w w:val="84"/>
              </w:rPr>
              <w:t>2026</w:t>
            </w:r>
          </w:p>
        </w:tc>
        <w:tc>
          <w:tcPr>
            <w:tcW w:w="6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w:t>
            </w:r>
          </w:p>
        </w:tc>
        <w:tc>
          <w:tcPr>
            <w:tcW w:w="100" w:type="dxa"/>
            <w:vAlign w:val="bottom"/>
            <w:shd w:val="clear" w:color="auto" w:fill="CCEEFF"/>
          </w:tcPr>
          <w:p>
            <w:pPr>
              <w:spacing w:after="0"/>
              <w:rPr>
                <w:sz w:val="19"/>
                <w:szCs w:val="19"/>
                <w:color w:val="auto"/>
              </w:rPr>
            </w:pPr>
          </w:p>
        </w:tc>
      </w:tr>
      <w:tr>
        <w:trPr>
          <w:trHeight w:val="220"/>
        </w:trPr>
        <w:tc>
          <w:tcPr>
            <w:tcW w:w="3740" w:type="dxa"/>
            <w:vAlign w:val="bottom"/>
            <w:gridSpan w:val="2"/>
          </w:tcPr>
          <w:p>
            <w:pPr>
              <w:ind w:left="1300"/>
              <w:spacing w:after="0"/>
              <w:rPr>
                <w:sz w:val="20"/>
                <w:szCs w:val="20"/>
                <w:color w:val="auto"/>
              </w:rPr>
            </w:pPr>
            <w:r>
              <w:rPr>
                <w:rFonts w:ascii="Arial" w:cs="Arial" w:eastAsia="Arial" w:hAnsi="Arial"/>
                <w:sz w:val="16"/>
                <w:szCs w:val="16"/>
                <w:color w:val="auto"/>
              </w:rPr>
              <w:t>2027-2031</w:t>
            </w:r>
          </w:p>
        </w:tc>
        <w:tc>
          <w:tcPr>
            <w:tcW w:w="6720" w:type="dxa"/>
            <w:vAlign w:val="bottom"/>
            <w:gridSpan w:val="3"/>
          </w:tcPr>
          <w:p>
            <w:pPr>
              <w:jc w:val="right"/>
              <w:ind w:right="241"/>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6,249</w:t>
            </w:r>
          </w:p>
        </w:tc>
        <w:tc>
          <w:tcPr>
            <w:tcW w:w="100" w:type="dxa"/>
            <w:vAlign w:val="bottom"/>
          </w:tcPr>
          <w:p>
            <w:pPr>
              <w:spacing w:after="0"/>
              <w:rPr>
                <w:sz w:val="19"/>
                <w:szCs w:val="19"/>
                <w:color w:val="auto"/>
              </w:rPr>
            </w:pPr>
          </w:p>
        </w:tc>
      </w:tr>
      <w:tr>
        <w:trPr>
          <w:trHeight w:val="393"/>
        </w:trPr>
        <w:tc>
          <w:tcPr>
            <w:tcW w:w="1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720" w:type="dxa"/>
            <w:vAlign w:val="bottom"/>
            <w:gridSpan w:val="3"/>
          </w:tcPr>
          <w:p>
            <w:pPr>
              <w:jc w:val="right"/>
              <w:ind w:right="4561"/>
              <w:spacing w:after="0"/>
              <w:rPr>
                <w:sz w:val="20"/>
                <w:szCs w:val="20"/>
                <w:color w:val="auto"/>
              </w:rPr>
            </w:pPr>
            <w:r>
              <w:rPr>
                <w:rFonts w:ascii="Arial" w:cs="Arial" w:eastAsia="Arial" w:hAnsi="Arial"/>
                <w:sz w:val="16"/>
                <w:szCs w:val="16"/>
                <w:color w:val="auto"/>
              </w:rPr>
              <w:t>F - 35</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1320" w:type="dxa"/>
            <w:vAlign w:val="bottom"/>
            <w:tcBorders>
              <w:bottom w:val="single" w:sz="8" w:color="EEEEEE"/>
            </w:tcBorders>
          </w:tcPr>
          <w:p>
            <w:pPr>
              <w:spacing w:after="0"/>
              <w:rPr>
                <w:sz w:val="16"/>
                <w:szCs w:val="16"/>
                <w:color w:val="auto"/>
              </w:rPr>
            </w:pPr>
          </w:p>
        </w:tc>
        <w:tc>
          <w:tcPr>
            <w:tcW w:w="2420" w:type="dxa"/>
            <w:vAlign w:val="bottom"/>
            <w:tcBorders>
              <w:bottom w:val="single" w:sz="8" w:color="EEEEEE"/>
            </w:tcBorders>
          </w:tcPr>
          <w:p>
            <w:pPr>
              <w:spacing w:after="0"/>
              <w:rPr>
                <w:sz w:val="16"/>
                <w:szCs w:val="16"/>
                <w:color w:val="auto"/>
              </w:rPr>
            </w:pPr>
          </w:p>
        </w:tc>
        <w:tc>
          <w:tcPr>
            <w:tcW w:w="6120" w:type="dxa"/>
            <w:vAlign w:val="bottom"/>
            <w:tcBorders>
              <w:bottom w:val="single" w:sz="8" w:color="EEEEEE"/>
            </w:tcBorders>
          </w:tcPr>
          <w:p>
            <w:pPr>
              <w:spacing w:after="0"/>
              <w:rPr>
                <w:sz w:val="16"/>
                <w:szCs w:val="16"/>
                <w:color w:val="auto"/>
              </w:rPr>
            </w:pPr>
          </w:p>
        </w:tc>
        <w:tc>
          <w:tcPr>
            <w:tcW w:w="200" w:type="dxa"/>
            <w:vAlign w:val="bottom"/>
            <w:tcBorders>
              <w:bottom w:val="single" w:sz="8" w:color="EEEEEE"/>
            </w:tcBorders>
          </w:tcPr>
          <w:p>
            <w:pPr>
              <w:spacing w:after="0"/>
              <w:rPr>
                <w:sz w:val="16"/>
                <w:szCs w:val="16"/>
                <w:color w:val="auto"/>
              </w:rPr>
            </w:pPr>
          </w:p>
        </w:tc>
        <w:tc>
          <w:tcPr>
            <w:tcW w:w="400" w:type="dxa"/>
            <w:vAlign w:val="bottom"/>
            <w:tcBorders>
              <w:bottom w:val="single" w:sz="8" w:color="EEEEEE"/>
            </w:tcBorders>
          </w:tcPr>
          <w:p>
            <w:pPr>
              <w:spacing w:after="0"/>
              <w:rPr>
                <w:sz w:val="16"/>
                <w:szCs w:val="16"/>
                <w:color w:val="auto"/>
              </w:rPr>
            </w:pPr>
          </w:p>
        </w:tc>
        <w:tc>
          <w:tcPr>
            <w:tcW w:w="68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-35560</wp:posOffset>
            </wp:positionV>
            <wp:extent cx="7169785" cy="488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13:</w:t>
        <w:tab/>
        <w:t>EMPLOYEE RELATED LIABILITIES (Continued)</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Description of Significant Gains and Losses in Obligations:</w:t>
      </w:r>
    </w:p>
    <w:p>
      <w:pPr>
        <w:spacing w:after="0" w:line="197" w:lineRule="exact"/>
        <w:rPr>
          <w:sz w:val="20"/>
          <w:szCs w:val="20"/>
          <w:color w:val="auto"/>
        </w:rPr>
      </w:pPr>
    </w:p>
    <w:p>
      <w:pPr>
        <w:jc w:val="both"/>
        <w:ind w:left="1300"/>
        <w:spacing w:after="0" w:line="272" w:lineRule="auto"/>
        <w:rPr>
          <w:sz w:val="20"/>
          <w:szCs w:val="20"/>
          <w:color w:val="auto"/>
        </w:rPr>
      </w:pPr>
      <w:r>
        <w:rPr>
          <w:rFonts w:ascii="Arial" w:cs="Arial" w:eastAsia="Arial" w:hAnsi="Arial"/>
          <w:sz w:val="16"/>
          <w:szCs w:val="16"/>
          <w:color w:val="auto"/>
        </w:rPr>
        <w:t>For fiscal year ended December 31, 2021, the benefit obligation experienced a net actuarial gain that was primarily attributable to the discount rate increase to 2.90%, compared to 2.50% in the prior year. For fiscal year ended December 31, 2020, the benefit obligation experienced a net actuarial loss that was primarily attributable to the discount rate decrease to 2.50%, compared to 3.20% in the prior year.</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plan’s assets measured at fair value on a recurring basis consisted of the following as of December 31, 2021:</w:t>
      </w:r>
    </w:p>
    <w:p>
      <w:pPr>
        <w:spacing w:after="0" w:line="185" w:lineRule="exact"/>
        <w:rPr>
          <w:sz w:val="20"/>
          <w:szCs w:val="20"/>
          <w:color w:val="auto"/>
        </w:rPr>
      </w:pPr>
    </w:p>
    <w:tbl>
      <w:tblPr>
        <w:tblLayout w:type="fixed"/>
        <w:tblInd w:w="1300" w:type="dxa"/>
        <w:tblCellMar>
          <w:top w:w="0" w:type="dxa"/>
          <w:left w:w="0" w:type="dxa"/>
          <w:bottom w:w="0" w:type="dxa"/>
          <w:right w:w="0" w:type="dxa"/>
        </w:tblCellMar>
      </w:tblPr>
      <w:tr>
        <w:trPr>
          <w:trHeight w:val="209"/>
        </w:trPr>
        <w:tc>
          <w:tcPr>
            <w:tcW w:w="6080" w:type="dxa"/>
            <w:vAlign w:val="bottom"/>
            <w:gridSpan w:val="2"/>
          </w:tcPr>
          <w:p>
            <w:pPr>
              <w:spacing w:after="0"/>
              <w:rPr>
                <w:sz w:val="20"/>
                <w:szCs w:val="20"/>
                <w:color w:val="auto"/>
              </w:rPr>
            </w:pPr>
            <w:r>
              <w:rPr>
                <w:rFonts w:ascii="Arial" w:cs="Arial" w:eastAsia="Arial" w:hAnsi="Arial"/>
                <w:sz w:val="16"/>
                <w:szCs w:val="16"/>
                <w:color w:val="auto"/>
              </w:rPr>
              <w:t>Details</w:t>
            </w:r>
          </w:p>
        </w:tc>
        <w:tc>
          <w:tcPr>
            <w:tcW w:w="10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Level 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18"/>
              <w:spacing w:after="0"/>
              <w:rPr>
                <w:sz w:val="20"/>
                <w:szCs w:val="20"/>
                <w:color w:val="auto"/>
              </w:rPr>
            </w:pPr>
            <w:r>
              <w:rPr>
                <w:rFonts w:ascii="Arial" w:cs="Arial" w:eastAsia="Arial" w:hAnsi="Arial"/>
                <w:sz w:val="16"/>
                <w:szCs w:val="16"/>
                <w:color w:val="auto"/>
              </w:rPr>
              <w:t>Level 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6"/>
                <w:szCs w:val="16"/>
                <w:color w:val="auto"/>
              </w:rPr>
              <w:t>Level 3</w:t>
            </w:r>
          </w:p>
        </w:tc>
      </w:tr>
      <w:tr>
        <w:trPr>
          <w:trHeight w:val="25"/>
        </w:trPr>
        <w:tc>
          <w:tcPr>
            <w:tcW w:w="20" w:type="dxa"/>
            <w:vAlign w:val="bottom"/>
          </w:tcPr>
          <w:p>
            <w:pPr>
              <w:spacing w:after="0"/>
              <w:rPr>
                <w:sz w:val="2"/>
                <w:szCs w:val="2"/>
                <w:color w:val="auto"/>
              </w:rPr>
            </w:pPr>
          </w:p>
        </w:tc>
        <w:tc>
          <w:tcPr>
            <w:tcW w:w="6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7"/>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Investments in commingled funds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r>
      <w:tr>
        <w:trPr>
          <w:trHeight w:val="25"/>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7"/>
        </w:trPr>
        <w:tc>
          <w:tcPr>
            <w:tcW w:w="6080" w:type="dxa"/>
            <w:vAlign w:val="bottom"/>
            <w:gridSpan w:val="2"/>
          </w:tcPr>
          <w:p>
            <w:pPr>
              <w:spacing w:after="0"/>
              <w:rPr>
                <w:sz w:val="20"/>
                <w:szCs w:val="20"/>
                <w:color w:val="auto"/>
              </w:rPr>
            </w:pPr>
            <w:r>
              <w:rPr>
                <w:rFonts w:ascii="Arial" w:cs="Arial" w:eastAsia="Arial" w:hAnsi="Arial"/>
                <w:sz w:val="16"/>
                <w:szCs w:val="16"/>
                <w:color w:val="auto"/>
              </w:rPr>
              <w:t>Total plan assets at fair value</w:t>
            </w:r>
          </w:p>
        </w:tc>
        <w:tc>
          <w:tcPr>
            <w:tcW w:w="1000" w:type="dxa"/>
            <w:vAlign w:val="bottom"/>
            <w:gridSpan w:val="2"/>
          </w:tcPr>
          <w:p>
            <w:pPr>
              <w:jc w:val="right"/>
              <w:ind w:right="741"/>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25,750</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plan’s assets measured at fair value on a recurring basis consisted of the following as of December 31, 2020:</w:t>
      </w:r>
    </w:p>
    <w:p>
      <w:pPr>
        <w:spacing w:after="0" w:line="197" w:lineRule="exact"/>
        <w:rPr>
          <w:sz w:val="20"/>
          <w:szCs w:val="20"/>
          <w:color w:val="auto"/>
        </w:rPr>
      </w:pPr>
    </w:p>
    <w:tbl>
      <w:tblPr>
        <w:tblLayout w:type="fixed"/>
        <w:tblInd w:w="1300" w:type="dxa"/>
        <w:tblCellMar>
          <w:top w:w="0" w:type="dxa"/>
          <w:left w:w="0" w:type="dxa"/>
          <w:bottom w:w="0" w:type="dxa"/>
          <w:right w:w="0" w:type="dxa"/>
        </w:tblCellMar>
      </w:tblPr>
      <w:tr>
        <w:trPr>
          <w:trHeight w:val="209"/>
        </w:trPr>
        <w:tc>
          <w:tcPr>
            <w:tcW w:w="6080" w:type="dxa"/>
            <w:vAlign w:val="bottom"/>
            <w:gridSpan w:val="2"/>
          </w:tcPr>
          <w:p>
            <w:pPr>
              <w:spacing w:after="0"/>
              <w:rPr>
                <w:sz w:val="20"/>
                <w:szCs w:val="20"/>
                <w:color w:val="auto"/>
              </w:rPr>
            </w:pPr>
            <w:r>
              <w:rPr>
                <w:rFonts w:ascii="Arial" w:cs="Arial" w:eastAsia="Arial" w:hAnsi="Arial"/>
                <w:sz w:val="16"/>
                <w:szCs w:val="16"/>
                <w:color w:val="auto"/>
              </w:rPr>
              <w:t>Details</w:t>
            </w:r>
          </w:p>
        </w:tc>
        <w:tc>
          <w:tcPr>
            <w:tcW w:w="10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Level 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18"/>
              <w:spacing w:after="0"/>
              <w:rPr>
                <w:sz w:val="20"/>
                <w:szCs w:val="20"/>
                <w:color w:val="auto"/>
              </w:rPr>
            </w:pPr>
            <w:r>
              <w:rPr>
                <w:rFonts w:ascii="Arial" w:cs="Arial" w:eastAsia="Arial" w:hAnsi="Arial"/>
                <w:sz w:val="16"/>
                <w:szCs w:val="16"/>
                <w:color w:val="auto"/>
              </w:rPr>
              <w:t>Level 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Level 3</w:t>
            </w:r>
          </w:p>
        </w:tc>
      </w:tr>
      <w:tr>
        <w:trPr>
          <w:trHeight w:val="25"/>
        </w:trPr>
        <w:tc>
          <w:tcPr>
            <w:tcW w:w="20" w:type="dxa"/>
            <w:vAlign w:val="bottom"/>
          </w:tcPr>
          <w:p>
            <w:pPr>
              <w:spacing w:after="0"/>
              <w:rPr>
                <w:sz w:val="2"/>
                <w:szCs w:val="2"/>
                <w:color w:val="auto"/>
              </w:rPr>
            </w:pPr>
          </w:p>
        </w:tc>
        <w:tc>
          <w:tcPr>
            <w:tcW w:w="6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97"/>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Investments in mutual funds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25,985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r>
      <w:tr>
        <w:trPr>
          <w:trHeight w:val="25"/>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97"/>
        </w:trPr>
        <w:tc>
          <w:tcPr>
            <w:tcW w:w="6080" w:type="dxa"/>
            <w:vAlign w:val="bottom"/>
            <w:gridSpan w:val="2"/>
          </w:tcPr>
          <w:p>
            <w:pPr>
              <w:spacing w:after="0"/>
              <w:rPr>
                <w:sz w:val="20"/>
                <w:szCs w:val="20"/>
                <w:color w:val="auto"/>
              </w:rPr>
            </w:pPr>
            <w:r>
              <w:rPr>
                <w:rFonts w:ascii="Arial" w:cs="Arial" w:eastAsia="Arial" w:hAnsi="Arial"/>
                <w:sz w:val="16"/>
                <w:szCs w:val="16"/>
                <w:color w:val="auto"/>
              </w:rPr>
              <w:t>Total plan assets at fair value</w:t>
            </w:r>
          </w:p>
        </w:tc>
        <w:tc>
          <w:tcPr>
            <w:tcW w:w="1000" w:type="dxa"/>
            <w:vAlign w:val="bottom"/>
            <w:gridSpan w:val="2"/>
          </w:tcPr>
          <w:p>
            <w:pPr>
              <w:jc w:val="right"/>
              <w:ind w:right="74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25,985</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TSNB’s pension plan weighted average asset allocations on December 31, 2021, by asset category are as follows:</w:t>
      </w:r>
    </w:p>
    <w:p>
      <w:pPr>
        <w:spacing w:after="0" w:line="234" w:lineRule="exact"/>
        <w:rPr>
          <w:sz w:val="20"/>
          <w:szCs w:val="20"/>
          <w:color w:val="auto"/>
        </w:rPr>
      </w:pPr>
    </w:p>
    <w:tbl>
      <w:tblPr>
        <w:tblLayout w:type="fixed"/>
        <w:tblInd w:w="130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Target</w:t>
            </w:r>
          </w:p>
        </w:tc>
      </w:tr>
      <w:tr>
        <w:trPr>
          <w:trHeight w:val="197"/>
        </w:trPr>
        <w:tc>
          <w:tcPr>
            <w:tcW w:w="2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December 31,</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allocation</w:t>
            </w:r>
          </w:p>
        </w:tc>
      </w:tr>
      <w:tr>
        <w:trPr>
          <w:trHeight w:val="209"/>
        </w:trPr>
        <w:tc>
          <w:tcPr>
            <w:tcW w:w="7300" w:type="dxa"/>
            <w:vAlign w:val="bottom"/>
            <w:gridSpan w:val="2"/>
          </w:tcPr>
          <w:p>
            <w:pPr>
              <w:spacing w:after="0"/>
              <w:rPr>
                <w:sz w:val="20"/>
                <w:szCs w:val="20"/>
                <w:color w:val="auto"/>
              </w:rPr>
            </w:pPr>
            <w:r>
              <w:rPr>
                <w:rFonts w:ascii="Arial" w:cs="Arial" w:eastAsia="Arial" w:hAnsi="Arial"/>
                <w:sz w:val="16"/>
                <w:szCs w:val="16"/>
                <w:color w:val="auto"/>
              </w:rPr>
              <w:t>Asset Category</w:t>
            </w:r>
          </w:p>
        </w:tc>
        <w:tc>
          <w:tcPr>
            <w:tcW w:w="1180" w:type="dxa"/>
            <w:vAlign w:val="bottom"/>
            <w:gridSpan w:val="2"/>
          </w:tcPr>
          <w:p>
            <w:pPr>
              <w:jc w:val="right"/>
              <w:ind w:right="298"/>
              <w:spacing w:after="0"/>
              <w:rPr>
                <w:sz w:val="20"/>
                <w:szCs w:val="20"/>
                <w:color w:val="auto"/>
              </w:rPr>
            </w:pPr>
            <w:r>
              <w:rPr>
                <w:rFonts w:ascii="Arial" w:cs="Arial" w:eastAsia="Arial" w:hAnsi="Arial"/>
                <w:sz w:val="16"/>
                <w:szCs w:val="16"/>
                <w:color w:val="auto"/>
              </w:rPr>
              <w:t>2021</w:t>
            </w:r>
          </w:p>
        </w:tc>
        <w:tc>
          <w:tcPr>
            <w:tcW w:w="2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2022</w:t>
            </w:r>
          </w:p>
        </w:tc>
        <w:tc>
          <w:tcPr>
            <w:tcW w:w="140" w:type="dxa"/>
            <w:vAlign w:val="bottom"/>
          </w:tcPr>
          <w:p>
            <w:pPr>
              <w:spacing w:after="0"/>
              <w:rPr>
                <w:sz w:val="18"/>
                <w:szCs w:val="18"/>
                <w:color w:val="auto"/>
              </w:rPr>
            </w:pPr>
          </w:p>
        </w:tc>
      </w:tr>
      <w:tr>
        <w:trPr>
          <w:trHeight w:val="25"/>
        </w:trPr>
        <w:tc>
          <w:tcPr>
            <w:tcW w:w="20" w:type="dxa"/>
            <w:vAlign w:val="bottom"/>
          </w:tcPr>
          <w:p>
            <w:pPr>
              <w:spacing w:after="0"/>
              <w:rPr>
                <w:sz w:val="2"/>
                <w:szCs w:val="2"/>
                <w:color w:val="auto"/>
              </w:rPr>
            </w:pPr>
          </w:p>
        </w:tc>
        <w:tc>
          <w:tcPr>
            <w:tcW w:w="7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1"/>
        </w:trPr>
        <w:tc>
          <w:tcPr>
            <w:tcW w:w="20" w:type="dxa"/>
            <w:vAlign w:val="bottom"/>
          </w:tcPr>
          <w:p>
            <w:pPr>
              <w:spacing w:after="0"/>
              <w:rPr>
                <w:sz w:val="19"/>
                <w:szCs w:val="19"/>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21"/>
        </w:trPr>
        <w:tc>
          <w:tcPr>
            <w:tcW w:w="7300" w:type="dxa"/>
            <w:vAlign w:val="bottom"/>
            <w:gridSpan w:val="2"/>
          </w:tcPr>
          <w:p>
            <w:pPr>
              <w:spacing w:after="0"/>
              <w:rPr>
                <w:sz w:val="20"/>
                <w:szCs w:val="20"/>
                <w:color w:val="auto"/>
              </w:rPr>
            </w:pPr>
            <w:r>
              <w:rPr>
                <w:rFonts w:ascii="Arial" w:cs="Arial" w:eastAsia="Arial" w:hAnsi="Arial"/>
                <w:sz w:val="16"/>
                <w:szCs w:val="16"/>
                <w:color w:val="auto"/>
              </w:rPr>
              <w:t>Debt securities</w:t>
            </w:r>
          </w:p>
        </w:tc>
        <w:tc>
          <w:tcPr>
            <w:tcW w:w="1420" w:type="dxa"/>
            <w:vAlign w:val="bottom"/>
            <w:gridSpan w:val="3"/>
          </w:tcPr>
          <w:p>
            <w:pPr>
              <w:jc w:val="right"/>
              <w:ind w:right="120"/>
              <w:spacing w:after="0"/>
              <w:rPr>
                <w:sz w:val="20"/>
                <w:szCs w:val="20"/>
                <w:color w:val="auto"/>
              </w:rPr>
            </w:pPr>
            <w:r>
              <w:rPr>
                <w:rFonts w:ascii="Arial" w:cs="Arial" w:eastAsia="Arial" w:hAnsi="Arial"/>
                <w:sz w:val="16"/>
                <w:szCs w:val="16"/>
                <w:color w:val="auto"/>
              </w:rPr>
              <w:t>90%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90%</w:t>
            </w:r>
          </w:p>
        </w:tc>
      </w:tr>
      <w:tr>
        <w:trPr>
          <w:trHeight w:val="222"/>
        </w:trPr>
        <w:tc>
          <w:tcPr>
            <w:tcW w:w="20" w:type="dxa"/>
            <w:vAlign w:val="bottom"/>
          </w:tcPr>
          <w:p>
            <w:pPr>
              <w:spacing w:after="0"/>
              <w:rPr>
                <w:sz w:val="19"/>
                <w:szCs w:val="19"/>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bl>
    <w:p>
      <w:pPr>
        <w:spacing w:after="0" w:line="172" w:lineRule="exact"/>
        <w:rPr>
          <w:sz w:val="20"/>
          <w:szCs w:val="20"/>
          <w:color w:val="auto"/>
        </w:rPr>
      </w:pPr>
    </w:p>
    <w:p>
      <w:pPr>
        <w:jc w:val="both"/>
        <w:ind w:left="1300"/>
        <w:spacing w:after="0" w:line="283" w:lineRule="auto"/>
        <w:rPr>
          <w:sz w:val="20"/>
          <w:szCs w:val="20"/>
          <w:color w:val="auto"/>
        </w:rPr>
      </w:pPr>
      <w:r>
        <w:rPr>
          <w:rFonts w:ascii="Arial" w:cs="Arial" w:eastAsia="Arial" w:hAnsi="Arial"/>
          <w:sz w:val="15"/>
          <w:szCs w:val="15"/>
          <w:color w:val="auto"/>
        </w:rPr>
        <w:t>TSNB’s primary policy goals regarding the plan’s assets are to (1) provide liquidity to meet the Plan benefit payments and expenses payable from the Plan, (2) offer a reasonable probability of achieving a growth of assets that will assist in closing the Plan’s funding gap, and (3) manage the Plan’s assets in a liability framework. Plan assets are currently invested in commingled funds with various debt and equity investment objectives. The target asset allocation for the plan assets is 90% debt, or fixed income securities, and 10% equity securities. Individual funds are evaluated periodically based on comparisons to benchmark indices and peer group funds and investment decisions are made by TSNB in accordance with the policy goals. Actual allocation to each asset category fluctuates and may not be within the target allocation specified above due to changes in market conditions.</w:t>
      </w:r>
    </w:p>
    <w:p>
      <w:pPr>
        <w:spacing w:after="0" w:line="157" w:lineRule="exact"/>
        <w:rPr>
          <w:sz w:val="20"/>
          <w:szCs w:val="20"/>
          <w:color w:val="auto"/>
        </w:rPr>
      </w:pPr>
    </w:p>
    <w:p>
      <w:pPr>
        <w:jc w:val="both"/>
        <w:ind w:left="1300"/>
        <w:spacing w:after="0" w:line="267" w:lineRule="auto"/>
        <w:rPr>
          <w:sz w:val="20"/>
          <w:szCs w:val="20"/>
          <w:color w:val="auto"/>
        </w:rPr>
      </w:pPr>
      <w:r>
        <w:rPr>
          <w:rFonts w:ascii="Arial" w:cs="Arial" w:eastAsia="Arial" w:hAnsi="Arial"/>
          <w:sz w:val="16"/>
          <w:szCs w:val="16"/>
          <w:color w:val="auto"/>
        </w:rPr>
        <w:t>The estimated expected return on assets of the plan is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104775</wp:posOffset>
            </wp:positionV>
            <wp:extent cx="7169785" cy="488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379"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14:</w:t>
        <w:tab/>
        <w:t>COMMITMENTS AND CONTINGENCIES</w:t>
      </w:r>
    </w:p>
    <w:p>
      <w:pPr>
        <w:spacing w:after="0" w:line="185" w:lineRule="exact"/>
        <w:rPr>
          <w:sz w:val="20"/>
          <w:szCs w:val="20"/>
          <w:color w:val="auto"/>
        </w:rPr>
      </w:pPr>
    </w:p>
    <w:p>
      <w:pPr>
        <w:ind w:left="1300" w:hanging="318"/>
        <w:spacing w:after="0"/>
        <w:tabs>
          <w:tab w:leader="none" w:pos="130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Liens</w:t>
      </w:r>
    </w:p>
    <w:p>
      <w:pPr>
        <w:spacing w:after="0" w:line="201" w:lineRule="exact"/>
        <w:rPr>
          <w:rFonts w:ascii="Arial" w:cs="Arial" w:eastAsia="Arial" w:hAnsi="Arial"/>
          <w:sz w:val="16"/>
          <w:szCs w:val="16"/>
          <w:b w:val="1"/>
          <w:bCs w:val="1"/>
          <w:color w:val="auto"/>
        </w:rPr>
      </w:pPr>
    </w:p>
    <w:p>
      <w:pPr>
        <w:ind w:left="1640" w:hanging="330"/>
        <w:spacing w:after="0"/>
        <w:tabs>
          <w:tab w:leader="none" w:pos="16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Loans, Bonds and Capital Leases</w:t>
      </w:r>
    </w:p>
    <w:p>
      <w:pPr>
        <w:spacing w:after="0" w:line="197" w:lineRule="exact"/>
        <w:rPr>
          <w:sz w:val="20"/>
          <w:szCs w:val="20"/>
          <w:color w:val="auto"/>
        </w:rPr>
      </w:pPr>
    </w:p>
    <w:p>
      <w:pPr>
        <w:ind w:left="1300"/>
        <w:spacing w:after="0" w:line="288" w:lineRule="auto"/>
        <w:rPr>
          <w:sz w:val="20"/>
          <w:szCs w:val="20"/>
          <w:color w:val="auto"/>
        </w:rPr>
      </w:pPr>
      <w:r>
        <w:rPr>
          <w:rFonts w:ascii="Arial" w:cs="Arial" w:eastAsia="Arial" w:hAnsi="Arial"/>
          <w:sz w:val="16"/>
          <w:szCs w:val="16"/>
          <w:color w:val="auto"/>
        </w:rPr>
        <w:t>For liens relating to the TSNB Credit Line Agreement, see Note 11F. For liens under TPSCo’s JP Loan, see Note 11C. For liens under the capital lease agreements, see Note 11D. For negative pledge under the Series G Debentures’ indenture, see Note 10.</w:t>
      </w:r>
    </w:p>
    <w:p>
      <w:pPr>
        <w:spacing w:after="0" w:line="124"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4"/>
          <w:szCs w:val="14"/>
          <w:color w:val="auto"/>
        </w:rPr>
        <w:t>Approved Enterprise Program</w:t>
      </w:r>
    </w:p>
    <w:p>
      <w:pPr>
        <w:spacing w:after="0" w:line="197" w:lineRule="exact"/>
        <w:rPr>
          <w:sz w:val="20"/>
          <w:szCs w:val="20"/>
          <w:color w:val="auto"/>
        </w:rPr>
      </w:pPr>
    </w:p>
    <w:p>
      <w:pPr>
        <w:ind w:left="1300"/>
        <w:spacing w:after="0" w:line="288" w:lineRule="auto"/>
        <w:rPr>
          <w:sz w:val="20"/>
          <w:szCs w:val="20"/>
          <w:color w:val="auto"/>
        </w:rPr>
      </w:pPr>
      <w:r>
        <w:rPr>
          <w:rFonts w:ascii="Arial" w:cs="Arial" w:eastAsia="Arial" w:hAnsi="Arial"/>
          <w:sz w:val="16"/>
          <w:szCs w:val="16"/>
          <w:color w:val="auto"/>
        </w:rPr>
        <w:t>Floating liens are registered in favor of the State of Israel on substantially all of Tower’s assets under the Investment Center’s approved enterprise status program.</w:t>
      </w:r>
    </w:p>
    <w:p>
      <w:pPr>
        <w:spacing w:after="0" w:line="132" w:lineRule="exact"/>
        <w:rPr>
          <w:sz w:val="20"/>
          <w:szCs w:val="20"/>
          <w:color w:val="auto"/>
        </w:rPr>
      </w:pPr>
    </w:p>
    <w:p>
      <w:pPr>
        <w:ind w:left="1300" w:hanging="318"/>
        <w:spacing w:after="0"/>
        <w:tabs>
          <w:tab w:leader="none" w:pos="130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Renewed Contract in Relation to TPSCo</w:t>
      </w:r>
    </w:p>
    <w:p>
      <w:pPr>
        <w:spacing w:after="0" w:line="188" w:lineRule="exact"/>
        <w:rPr>
          <w:rFonts w:ascii="Arial" w:cs="Arial" w:eastAsia="Arial" w:hAnsi="Arial"/>
          <w:sz w:val="16"/>
          <w:szCs w:val="16"/>
          <w:b w:val="1"/>
          <w:bCs w:val="1"/>
          <w:color w:val="auto"/>
        </w:rPr>
      </w:pPr>
    </w:p>
    <w:p>
      <w:pPr>
        <w:jc w:val="both"/>
        <w:ind w:left="1300"/>
        <w:spacing w:after="0" w:line="286" w:lineRule="auto"/>
        <w:rPr>
          <w:rFonts w:ascii="Arial" w:cs="Arial" w:eastAsia="Arial" w:hAnsi="Arial"/>
          <w:sz w:val="16"/>
          <w:szCs w:val="16"/>
          <w:b w:val="1"/>
          <w:bCs w:val="1"/>
          <w:color w:val="auto"/>
        </w:rPr>
      </w:pPr>
      <w:r>
        <w:rPr>
          <w:rFonts w:ascii="Arial" w:cs="Arial" w:eastAsia="Arial" w:hAnsi="Arial"/>
          <w:sz w:val="15"/>
          <w:szCs w:val="15"/>
          <w:color w:val="auto"/>
        </w:rPr>
        <w:t>In March 2019, agreements were signed between Tower, TPSCo and PSCS (a fully owned subsidiary of Panasonic Corporation) to extend the business relationship by an additional three-year period under certain amended terms, including a manufacturing agreement between TPSCo and PSCS, under which TPSCo manufactured products for PSCS under a revised pricing structure. Following the purchase of NTCJ (previously named PSCS) by Nuvoton from Panasonic Corporation in September 2020, NTCJ assumed the contracts at the same commercial terms, and leases three manufacturing facilities in Japan to TPSCo under a buildings lease that runs through March 2032 (see Note 11D).</w:t>
      </w:r>
    </w:p>
    <w:p>
      <w:pPr>
        <w:spacing w:after="0" w:line="177" w:lineRule="exact"/>
        <w:rPr>
          <w:rFonts w:ascii="Arial" w:cs="Arial" w:eastAsia="Arial" w:hAnsi="Arial"/>
          <w:sz w:val="16"/>
          <w:szCs w:val="16"/>
          <w:b w:val="1"/>
          <w:bCs w:val="1"/>
          <w:color w:val="auto"/>
        </w:rPr>
      </w:pPr>
    </w:p>
    <w:p>
      <w:pPr>
        <w:jc w:val="both"/>
        <w:ind w:left="1300"/>
        <w:spacing w:after="0" w:line="264" w:lineRule="auto"/>
        <w:rPr>
          <w:rFonts w:ascii="Arial" w:cs="Arial" w:eastAsia="Arial" w:hAnsi="Arial"/>
          <w:sz w:val="16"/>
          <w:szCs w:val="16"/>
          <w:b w:val="1"/>
          <w:bCs w:val="1"/>
          <w:color w:val="auto"/>
        </w:rPr>
      </w:pPr>
      <w:r>
        <w:rPr>
          <w:rFonts w:ascii="Arial" w:cs="Arial" w:eastAsia="Arial" w:hAnsi="Arial"/>
          <w:sz w:val="16"/>
          <w:szCs w:val="16"/>
          <w:color w:val="auto"/>
        </w:rPr>
        <w:t>As part of the agreement between the Company, NTCJ and TPSCo, it has been decided to re-organize and re-structure operations in Japan such that, while operations at the Uozu and Tonami facilities will remain unchanged, the Arai manufacturing factory, which is currently manufacturing products solely for NTCJ and is not serving the Company’s customers, will cease operations effective July 1, 2022. The Company evaluated the need for impairment charges and determined that no such charges are required as of December 31, 2021. All other restructuring related costs will be reported as incurred in 2022.</w:t>
      </w:r>
    </w:p>
    <w:p>
      <w:pPr>
        <w:spacing w:after="0" w:line="152" w:lineRule="exact"/>
        <w:rPr>
          <w:rFonts w:ascii="Arial" w:cs="Arial" w:eastAsia="Arial" w:hAnsi="Arial"/>
          <w:sz w:val="16"/>
          <w:szCs w:val="16"/>
          <w:b w:val="1"/>
          <w:bCs w:val="1"/>
          <w:color w:val="auto"/>
        </w:rPr>
      </w:pPr>
    </w:p>
    <w:p>
      <w:pPr>
        <w:ind w:left="1300" w:hanging="318"/>
        <w:spacing w:after="0"/>
        <w:tabs>
          <w:tab w:leader="none" w:pos="130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License Agreements</w:t>
      </w:r>
    </w:p>
    <w:p>
      <w:pPr>
        <w:spacing w:after="0" w:line="201" w:lineRule="exact"/>
        <w:rPr>
          <w:rFonts w:ascii="Arial" w:cs="Arial" w:eastAsia="Arial" w:hAnsi="Arial"/>
          <w:sz w:val="16"/>
          <w:szCs w:val="16"/>
          <w:b w:val="1"/>
          <w:bCs w:val="1"/>
          <w:color w:val="auto"/>
        </w:rPr>
      </w:pPr>
    </w:p>
    <w:p>
      <w:pPr>
        <w:jc w:val="both"/>
        <w:ind w:left="1300"/>
        <w:spacing w:after="0" w:line="272" w:lineRule="auto"/>
        <w:rPr>
          <w:rFonts w:ascii="Arial" w:cs="Arial" w:eastAsia="Arial" w:hAnsi="Arial"/>
          <w:sz w:val="16"/>
          <w:szCs w:val="16"/>
          <w:b w:val="1"/>
          <w:bCs w:val="1"/>
          <w:color w:val="auto"/>
        </w:rPr>
      </w:pPr>
      <w:r>
        <w:rPr>
          <w:rFonts w:ascii="Arial" w:cs="Arial" w:eastAsia="Arial" w:hAnsi="Arial"/>
          <w:sz w:val="16"/>
          <w:szCs w:val="16"/>
          <w:color w:val="auto"/>
        </w:rPr>
        <w:t>The Company enters into intellectual property and licensing agreements with third parties from time to time. The effect of each of them on the Company’s total assets and results of operations is immaterial. Certain of these agreements call for royalties to be paid by the Company to these third parties.</w:t>
      </w:r>
    </w:p>
    <w:p>
      <w:pPr>
        <w:spacing w:after="0" w:line="132" w:lineRule="exact"/>
        <w:rPr>
          <w:rFonts w:ascii="Arial" w:cs="Arial" w:eastAsia="Arial" w:hAnsi="Arial"/>
          <w:sz w:val="16"/>
          <w:szCs w:val="16"/>
          <w:b w:val="1"/>
          <w:bCs w:val="1"/>
          <w:color w:val="auto"/>
        </w:rPr>
      </w:pPr>
    </w:p>
    <w:p>
      <w:pPr>
        <w:ind w:left="1300" w:hanging="318"/>
        <w:spacing w:after="0"/>
        <w:tabs>
          <w:tab w:leader="none" w:pos="130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TSNB Lease Agreement</w:t>
      </w:r>
    </w:p>
    <w:p>
      <w:pPr>
        <w:spacing w:after="0" w:line="201" w:lineRule="exact"/>
        <w:rPr>
          <w:rFonts w:ascii="Arial" w:cs="Arial" w:eastAsia="Arial" w:hAnsi="Arial"/>
          <w:sz w:val="16"/>
          <w:szCs w:val="16"/>
          <w:b w:val="1"/>
          <w:bCs w:val="1"/>
          <w:color w:val="auto"/>
        </w:rPr>
      </w:pPr>
    </w:p>
    <w:p>
      <w:pPr>
        <w:jc w:val="both"/>
        <w:ind w:left="1300"/>
        <w:spacing w:after="0" w:line="262" w:lineRule="auto"/>
        <w:rPr>
          <w:rFonts w:ascii="Arial" w:cs="Arial" w:eastAsia="Arial" w:hAnsi="Arial"/>
          <w:sz w:val="16"/>
          <w:szCs w:val="16"/>
          <w:b w:val="1"/>
          <w:bCs w:val="1"/>
          <w:color w:val="auto"/>
        </w:rPr>
      </w:pPr>
      <w:r>
        <w:rPr>
          <w:rFonts w:ascii="Arial" w:cs="Arial" w:eastAsia="Arial" w:hAnsi="Arial"/>
          <w:sz w:val="16"/>
          <w:szCs w:val="16"/>
          <w:color w:val="auto"/>
        </w:rPr>
        <w:t>TSNB leases its fabrication facilities under an operational lease contract that is due to expire in 2027. In amendments to its lease, (i) TSNB secured various contractual safeguards designed to limit and mitigate any adverse impact of construction activities on its fabrication operations; and (ii) certain obligations of TSNB and the landlord are specified, including certain noise abatement actions at the fabrication facility. The landlord has made claims that TSNB’s noise abatement efforts are not adequate under the terms of the amended lease, and has requested a judicial declaration that TSNB has committed material non-curable breaches of the lease and that, in accordance with the lease, the landlord would be entitled to terminate the lease. TSNB does not agree and is disputing these claims.</w:t>
      </w:r>
    </w:p>
    <w:p>
      <w:pPr>
        <w:spacing w:after="0" w:line="155" w:lineRule="exact"/>
        <w:rPr>
          <w:rFonts w:ascii="Arial" w:cs="Arial" w:eastAsia="Arial" w:hAnsi="Arial"/>
          <w:sz w:val="16"/>
          <w:szCs w:val="16"/>
          <w:b w:val="1"/>
          <w:bCs w:val="1"/>
          <w:color w:val="auto"/>
        </w:rPr>
      </w:pPr>
    </w:p>
    <w:p>
      <w:pPr>
        <w:ind w:left="1300" w:hanging="318"/>
        <w:spacing w:after="0"/>
        <w:tabs>
          <w:tab w:leader="none" w:pos="130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IT Security System Event</w:t>
      </w:r>
    </w:p>
    <w:p>
      <w:pPr>
        <w:spacing w:after="0" w:line="188" w:lineRule="exact"/>
        <w:rPr>
          <w:rFonts w:ascii="Arial" w:cs="Arial" w:eastAsia="Arial" w:hAnsi="Arial"/>
          <w:sz w:val="16"/>
          <w:szCs w:val="16"/>
          <w:b w:val="1"/>
          <w:bCs w:val="1"/>
          <w:color w:val="auto"/>
        </w:rPr>
      </w:pPr>
    </w:p>
    <w:p>
      <w:pPr>
        <w:jc w:val="both"/>
        <w:ind w:left="1300"/>
        <w:spacing w:after="0" w:line="298" w:lineRule="auto"/>
        <w:rPr>
          <w:rFonts w:ascii="Arial" w:cs="Arial" w:eastAsia="Arial" w:hAnsi="Arial"/>
          <w:sz w:val="16"/>
          <w:szCs w:val="16"/>
          <w:b w:val="1"/>
          <w:bCs w:val="1"/>
          <w:color w:val="auto"/>
        </w:rPr>
      </w:pPr>
      <w:r>
        <w:rPr>
          <w:rFonts w:ascii="Arial" w:cs="Arial" w:eastAsia="Arial" w:hAnsi="Arial"/>
          <w:sz w:val="15"/>
          <w:szCs w:val="15"/>
          <w:color w:val="auto"/>
        </w:rPr>
        <w:t>In September 2020, the Company’s information technology (“IT”) security systems identified a security event on some of its computerized systems. As a preventive measure, the Company halted certain of its servers and proactively stopped operations in some of its manufacturing facilities for a few days, following which it commenced to gradually restore operations and return to full capability in all its facilities.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14:</w:t>
        <w:tab/>
        <w:t>COMMITMENTS AND CONTINGENCIES (Continued)</w:t>
      </w:r>
    </w:p>
    <w:p>
      <w:pPr>
        <w:spacing w:after="0" w:line="189" w:lineRule="exact"/>
        <w:rPr>
          <w:sz w:val="20"/>
          <w:szCs w:val="20"/>
          <w:color w:val="auto"/>
        </w:rPr>
      </w:pPr>
    </w:p>
    <w:p>
      <w:pPr>
        <w:ind w:left="1300"/>
        <w:spacing w:after="0" w:line="288" w:lineRule="auto"/>
        <w:rPr>
          <w:sz w:val="20"/>
          <w:szCs w:val="20"/>
          <w:color w:val="auto"/>
        </w:rPr>
      </w:pPr>
      <w:r>
        <w:rPr>
          <w:rFonts w:ascii="Arial" w:cs="Arial" w:eastAsia="Arial" w:hAnsi="Arial"/>
          <w:sz w:val="16"/>
          <w:szCs w:val="16"/>
          <w:color w:val="auto"/>
        </w:rPr>
        <w:t>Due to the immediate procedures implemented, the functionality and quality of the work in progress, as well as customer and employee data, remained protected.</w:t>
      </w:r>
    </w:p>
    <w:p>
      <w:pPr>
        <w:spacing w:after="0" w:line="136" w:lineRule="exact"/>
        <w:rPr>
          <w:sz w:val="20"/>
          <w:szCs w:val="20"/>
          <w:color w:val="auto"/>
        </w:rPr>
      </w:pPr>
    </w:p>
    <w:p>
      <w:pPr>
        <w:ind w:left="1300"/>
        <w:spacing w:after="0" w:line="288" w:lineRule="auto"/>
        <w:rPr>
          <w:sz w:val="20"/>
          <w:szCs w:val="20"/>
          <w:color w:val="auto"/>
        </w:rPr>
      </w:pPr>
      <w:r>
        <w:rPr>
          <w:rFonts w:ascii="Arial" w:cs="Arial" w:eastAsia="Arial" w:hAnsi="Arial"/>
          <w:sz w:val="16"/>
          <w:szCs w:val="16"/>
          <w:color w:val="auto"/>
        </w:rPr>
        <w:t>Tower maintains a cyber insurance policy and received compensation for the damage resulted from the event, including cost reimbursement and business interruption compensation. The event had no material impact on the financial position of the Company.</w:t>
      </w:r>
    </w:p>
    <w:p>
      <w:pPr>
        <w:spacing w:after="0" w:line="132" w:lineRule="exact"/>
        <w:rPr>
          <w:sz w:val="20"/>
          <w:szCs w:val="20"/>
          <w:color w:val="auto"/>
        </w:rPr>
      </w:pPr>
    </w:p>
    <w:p>
      <w:pPr>
        <w:ind w:left="1300" w:hanging="318"/>
        <w:spacing w:after="0"/>
        <w:tabs>
          <w:tab w:leader="none" w:pos="130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Definitive Agreement with ST Microelectronics</w:t>
      </w:r>
    </w:p>
    <w:p>
      <w:pPr>
        <w:spacing w:after="0" w:line="188" w:lineRule="exact"/>
        <w:rPr>
          <w:rFonts w:ascii="Arial" w:cs="Arial" w:eastAsia="Arial" w:hAnsi="Arial"/>
          <w:sz w:val="16"/>
          <w:szCs w:val="16"/>
          <w:b w:val="1"/>
          <w:bCs w:val="1"/>
          <w:color w:val="auto"/>
        </w:rPr>
      </w:pPr>
    </w:p>
    <w:p>
      <w:pPr>
        <w:jc w:val="both"/>
        <w:ind w:left="1300"/>
        <w:spacing w:after="0" w:line="283" w:lineRule="auto"/>
        <w:rPr>
          <w:rFonts w:ascii="Arial" w:cs="Arial" w:eastAsia="Arial" w:hAnsi="Arial"/>
          <w:sz w:val="16"/>
          <w:szCs w:val="16"/>
          <w:b w:val="1"/>
          <w:bCs w:val="1"/>
          <w:color w:val="auto"/>
        </w:rPr>
      </w:pPr>
      <w:r>
        <w:rPr>
          <w:rFonts w:ascii="Arial" w:cs="Arial" w:eastAsia="Arial" w:hAnsi="Arial"/>
          <w:sz w:val="15"/>
          <w:szCs w:val="15"/>
          <w:color w:val="auto"/>
        </w:rPr>
        <w:t>In 2021, TSIT, Tower’s wholly-owned Italian subsidiary, entered into a definitive agreement with ST to share under collaborative arrangement a 300 mm manufacturing fabrication facility in Agrate Italy. The fab is currently under construction by ST, and the parties will share the cleanroom space and the facility infrastructure, with the Company installing its own equipment in one-third of the total space. Both companies will invest in their respective process equipment, and work together to accelerate the fab qualification and subsequent ramp-up. Operations will continue to be managed by ST. In the early stage, technology processes for power, analog mixed signal and RF processes are planned to be qualified in the factory and the products in these technologies may be used in automotive, industrial and personal electronics.</w:t>
      </w:r>
    </w:p>
    <w:p>
      <w:pPr>
        <w:spacing w:after="0" w:line="140" w:lineRule="exact"/>
        <w:rPr>
          <w:rFonts w:ascii="Arial" w:cs="Arial" w:eastAsia="Arial" w:hAnsi="Arial"/>
          <w:sz w:val="16"/>
          <w:szCs w:val="16"/>
          <w:b w:val="1"/>
          <w:bCs w:val="1"/>
          <w:color w:val="auto"/>
        </w:rPr>
      </w:pPr>
    </w:p>
    <w:p>
      <w:pPr>
        <w:ind w:left="1300" w:hanging="318"/>
        <w:spacing w:after="0"/>
        <w:tabs>
          <w:tab w:leader="none" w:pos="130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Other Agreements</w:t>
      </w:r>
    </w:p>
    <w:p>
      <w:pPr>
        <w:spacing w:after="0" w:line="201" w:lineRule="exact"/>
        <w:rPr>
          <w:sz w:val="20"/>
          <w:szCs w:val="20"/>
          <w:color w:val="auto"/>
        </w:rPr>
      </w:pPr>
    </w:p>
    <w:p>
      <w:pPr>
        <w:jc w:val="both"/>
        <w:ind w:left="1300"/>
        <w:spacing w:after="0" w:line="272" w:lineRule="auto"/>
        <w:rPr>
          <w:sz w:val="20"/>
          <w:szCs w:val="20"/>
          <w:color w:val="auto"/>
        </w:rPr>
      </w:pPr>
      <w:r>
        <w:rPr>
          <w:rFonts w:ascii="Arial" w:cs="Arial" w:eastAsia="Arial" w:hAnsi="Arial"/>
          <w:sz w:val="16"/>
          <w:szCs w:val="16"/>
          <w:color w:val="auto"/>
        </w:rPr>
        <w:t>From time to time, in the ordinary course of business, the Company enters into long-term agreements with various entities for the joint development of products IPs and processes. The developed IPs may be owned separately by either the other entity or the Company, or owned jointly by both parties, as applicable.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SHAREHOLDERS’ EQUITY</w:t>
      </w:r>
    </w:p>
    <w:p>
      <w:pPr>
        <w:spacing w:after="0" w:line="197" w:lineRule="exact"/>
        <w:rPr>
          <w:sz w:val="20"/>
          <w:szCs w:val="20"/>
          <w:color w:val="auto"/>
        </w:rPr>
      </w:pPr>
    </w:p>
    <w:p>
      <w:pPr>
        <w:ind w:left="1300" w:hanging="318"/>
        <w:spacing w:after="0"/>
        <w:tabs>
          <w:tab w:leader="none" w:pos="130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Description of Ordinary Shares</w:t>
      </w:r>
    </w:p>
    <w:p>
      <w:pPr>
        <w:spacing w:after="0" w:line="176" w:lineRule="exact"/>
        <w:rPr>
          <w:rFonts w:ascii="Arial" w:cs="Arial" w:eastAsia="Arial" w:hAnsi="Arial"/>
          <w:sz w:val="16"/>
          <w:szCs w:val="16"/>
          <w:b w:val="1"/>
          <w:bCs w:val="1"/>
          <w:color w:val="auto"/>
        </w:rPr>
      </w:pPr>
    </w:p>
    <w:p>
      <w:pPr>
        <w:jc w:val="both"/>
        <w:ind w:left="1300"/>
        <w:spacing w:after="0" w:line="267" w:lineRule="auto"/>
        <w:rPr>
          <w:rFonts w:ascii="Arial" w:cs="Arial" w:eastAsia="Arial" w:hAnsi="Arial"/>
          <w:sz w:val="16"/>
          <w:szCs w:val="16"/>
          <w:b w:val="1"/>
          <w:bCs w:val="1"/>
          <w:color w:val="auto"/>
        </w:rPr>
      </w:pPr>
      <w:r>
        <w:rPr>
          <w:rFonts w:ascii="Arial" w:cs="Arial" w:eastAsia="Arial" w:hAnsi="Arial"/>
          <w:sz w:val="16"/>
          <w:szCs w:val="16"/>
          <w:color w:val="auto"/>
        </w:rPr>
        <w:t>As of December 31, 2021, Tower had 150 million authorized ordinary shares, par value NIS 15.00 each, of which approximately 109 million were outstanding. Holders of ordinary shares are entitled to participate equally in the payment of cash dividends and bonus share (stock dividend) distributions and, in the event of the liquidation of Tower, in the distribution of assets after satisfaction of liabilities to creditors. Each ordinary share is entitled to one vote on all matters to be voted on by shareholders.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15:</w:t>
        <w:tab/>
        <w:t>SHAREHOLDERS’ EQUITY (Continued)</w:t>
      </w:r>
    </w:p>
    <w:p>
      <w:pPr>
        <w:spacing w:after="0" w:line="185" w:lineRule="exact"/>
        <w:rPr>
          <w:sz w:val="20"/>
          <w:szCs w:val="20"/>
          <w:color w:val="auto"/>
        </w:rPr>
      </w:pPr>
    </w:p>
    <w:p>
      <w:pPr>
        <w:ind w:left="1300" w:hanging="318"/>
        <w:spacing w:after="0"/>
        <w:tabs>
          <w:tab w:leader="none" w:pos="130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Equity Incentive Plans</w:t>
      </w:r>
    </w:p>
    <w:p>
      <w:pPr>
        <w:spacing w:after="0" w:line="197" w:lineRule="exact"/>
        <w:rPr>
          <w:rFonts w:ascii="Arial" w:cs="Arial" w:eastAsia="Arial" w:hAnsi="Arial"/>
          <w:sz w:val="16"/>
          <w:szCs w:val="16"/>
          <w:b w:val="1"/>
          <w:bCs w:val="1"/>
          <w:color w:val="auto"/>
        </w:rPr>
      </w:pPr>
    </w:p>
    <w:p>
      <w:pPr>
        <w:ind w:left="1640" w:hanging="330"/>
        <w:spacing w:after="0"/>
        <w:tabs>
          <w:tab w:leader="none" w:pos="1640" w:val="left"/>
        </w:tabs>
        <w:numPr>
          <w:ilvl w:val="1"/>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Tower’s 2013 Share Incentive Plan (the "2013 Plan")</w:t>
      </w:r>
    </w:p>
    <w:p>
      <w:pPr>
        <w:spacing w:after="0" w:line="201" w:lineRule="exact"/>
        <w:rPr>
          <w:sz w:val="20"/>
          <w:szCs w:val="20"/>
          <w:color w:val="auto"/>
        </w:rPr>
      </w:pPr>
    </w:p>
    <w:p>
      <w:pPr>
        <w:jc w:val="both"/>
        <w:ind w:left="1300"/>
        <w:spacing w:after="0" w:line="267" w:lineRule="auto"/>
        <w:rPr>
          <w:sz w:val="20"/>
          <w:szCs w:val="20"/>
          <w:color w:val="auto"/>
        </w:rPr>
      </w:pPr>
      <w:r>
        <w:rPr>
          <w:rFonts w:ascii="Arial" w:cs="Arial" w:eastAsia="Arial" w:hAnsi="Arial"/>
          <w:sz w:val="16"/>
          <w:szCs w:val="16"/>
          <w:color w:val="auto"/>
        </w:rPr>
        <w:t>In 2013, the Company adopted a share incentive plan for directors, officers and employees of the Company, which in 2019 was extended to enable grants to third party service providers (“2013 Plan”). Options granted under the 2013 Plan bear an exercise price equal to the average closing price during the thirty trading days immediately prior to the date of grant, vest over up to a three-year period and are not exercisable beyond seven years from the grant date.</w:t>
      </w:r>
    </w:p>
    <w:p>
      <w:pPr>
        <w:spacing w:after="0" w:line="140" w:lineRule="exact"/>
        <w:rPr>
          <w:sz w:val="20"/>
          <w:szCs w:val="20"/>
          <w:color w:val="auto"/>
        </w:rPr>
      </w:pPr>
    </w:p>
    <w:p>
      <w:pPr>
        <w:jc w:val="both"/>
        <w:ind w:left="1300"/>
        <w:spacing w:after="0" w:line="290" w:lineRule="auto"/>
        <w:rPr>
          <w:sz w:val="20"/>
          <w:szCs w:val="20"/>
          <w:color w:val="auto"/>
        </w:rPr>
      </w:pPr>
      <w:r>
        <w:rPr>
          <w:rFonts w:ascii="Arial" w:cs="Arial" w:eastAsia="Arial" w:hAnsi="Arial"/>
          <w:sz w:val="15"/>
          <w:szCs w:val="15"/>
          <w:color w:val="auto"/>
        </w:rPr>
        <w:t>Under the 2013 Plan, the Company granted, in 2021 and 2020, a total of 1.0 million restricted stock units (“RSUs”) and 1.1 million RSUs, respectively, to its employees and directors (including the below-described grants to the CEO and Chairman), with vesting over up to a three-year period. The Company measures compensation expenses of the RSUs based on the closing market price of the ordinary shares immediately prior to the date of grant and amortizes it over the applicable vesting period taking into consideration compliance with performance criteria, if any.</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During 2021, the Company's CEO and members of the Board of Directors were awarded the following RSUs under the Company’s 2013 Plan:</w:t>
      </w:r>
    </w:p>
    <w:p>
      <w:pPr>
        <w:spacing w:after="0" w:line="270" w:lineRule="exact"/>
        <w:rPr>
          <w:sz w:val="20"/>
          <w:szCs w:val="20"/>
          <w:color w:val="auto"/>
        </w:rPr>
      </w:pPr>
    </w:p>
    <w:p>
      <w:pPr>
        <w:jc w:val="both"/>
        <w:ind w:left="1300" w:firstLine="10"/>
        <w:spacing w:after="0" w:line="260" w:lineRule="auto"/>
        <w:tabs>
          <w:tab w:leader="none" w:pos="1503" w:val="left"/>
        </w:tabs>
        <w:numPr>
          <w:ilvl w:val="0"/>
          <w:numId w:val="27"/>
        </w:numPr>
        <w:rPr>
          <w:rFonts w:ascii="Arial" w:cs="Arial" w:eastAsia="Arial" w:hAnsi="Arial"/>
          <w:sz w:val="16"/>
          <w:szCs w:val="16"/>
          <w:color w:val="auto"/>
        </w:rPr>
      </w:pPr>
      <w:r>
        <w:rPr>
          <w:rFonts w:ascii="Arial" w:cs="Arial" w:eastAsia="Arial" w:hAnsi="Arial"/>
          <w:sz w:val="16"/>
          <w:szCs w:val="16"/>
          <w:color w:val="auto"/>
        </w:rPr>
        <w:t>80 thousand time-vested RSUs and 132 thousand performance RSUs (“PSUs”) subject also to time-vesting, consisting of 120 thousand base PSUs and 12 thousand upside PSUs to the CEO, with 33% of such RSUs and PSUs to vest at the end of each year for 3 years following the grant date. Total compensation value of the RSUs granted was approximately $6,000. In addition, the Company's CEO was awarded 31 thousand PSUs that would be vesting upon attainment of certain performance conditions and not before one year from the date of grant, with a compensation value of approximately $1,000. As was approved by shareholders in 2019, the grant also includes a provision requiring the CEO to own, commencing May 2024, ordinary shares of the Company at a minimum value that equals at least three times his annual base salary as of May 2024 (the “Minimum Holding”). The CEO has until May 2024 to accumulate the Minimum Holding (whether by conversion of RSUs to ordinary shares or by purchase of ordinary shares), and during such period, until he accumulates the Minimum Holding, he must retain at least 20% of the vested time-based RSUs granted to him in or after May 2019;</w:t>
      </w:r>
    </w:p>
    <w:p>
      <w:pPr>
        <w:spacing w:after="0" w:line="222" w:lineRule="exact"/>
        <w:rPr>
          <w:rFonts w:ascii="Arial" w:cs="Arial" w:eastAsia="Arial" w:hAnsi="Arial"/>
          <w:sz w:val="16"/>
          <w:szCs w:val="16"/>
          <w:color w:val="auto"/>
        </w:rPr>
      </w:pPr>
    </w:p>
    <w:p>
      <w:pPr>
        <w:ind w:left="1300" w:firstLine="10"/>
        <w:spacing w:after="0" w:line="288" w:lineRule="auto"/>
        <w:tabs>
          <w:tab w:leader="none" w:pos="1542" w:val="left"/>
        </w:tabs>
        <w:numPr>
          <w:ilvl w:val="0"/>
          <w:numId w:val="27"/>
        </w:numPr>
        <w:rPr>
          <w:rFonts w:ascii="Arial" w:cs="Arial" w:eastAsia="Arial" w:hAnsi="Arial"/>
          <w:sz w:val="16"/>
          <w:szCs w:val="16"/>
          <w:color w:val="auto"/>
        </w:rPr>
      </w:pPr>
      <w:r>
        <w:rPr>
          <w:rFonts w:ascii="Arial" w:cs="Arial" w:eastAsia="Arial" w:hAnsi="Arial"/>
          <w:sz w:val="16"/>
          <w:szCs w:val="16"/>
          <w:color w:val="auto"/>
        </w:rPr>
        <w:t>10.3 thousand time-vested RSUs to the chairman of the Board of Directors (“the Chairman”) for a total compensation value of $300, to vest 33% at the end of each year following the grant date; and</w:t>
      </w:r>
    </w:p>
    <w:p>
      <w:pPr>
        <w:spacing w:after="0" w:line="197" w:lineRule="exact"/>
        <w:rPr>
          <w:rFonts w:ascii="Arial" w:cs="Arial" w:eastAsia="Arial" w:hAnsi="Arial"/>
          <w:sz w:val="16"/>
          <w:szCs w:val="16"/>
          <w:color w:val="auto"/>
        </w:rPr>
      </w:pPr>
    </w:p>
    <w:p>
      <w:pPr>
        <w:jc w:val="both"/>
        <w:ind w:left="1300" w:firstLine="10"/>
        <w:spacing w:after="0" w:line="272" w:lineRule="auto"/>
        <w:tabs>
          <w:tab w:leader="none" w:pos="1587" w:val="left"/>
        </w:tabs>
        <w:numPr>
          <w:ilvl w:val="0"/>
          <w:numId w:val="27"/>
        </w:numPr>
        <w:rPr>
          <w:rFonts w:ascii="Arial" w:cs="Arial" w:eastAsia="Arial" w:hAnsi="Arial"/>
          <w:sz w:val="16"/>
          <w:szCs w:val="16"/>
          <w:color w:val="auto"/>
        </w:rPr>
      </w:pPr>
      <w:r>
        <w:rPr>
          <w:rFonts w:ascii="Arial" w:cs="Arial" w:eastAsia="Arial" w:hAnsi="Arial"/>
          <w:sz w:val="16"/>
          <w:szCs w:val="16"/>
          <w:color w:val="auto"/>
        </w:rPr>
        <w:t>4.3 thousand time-vested RSUs to each of the seven members of the Board of Directors then serving (other than to the Chairman and the CEO), for an aggregate compensation value of approximately $900, vesting over a two-year period, with 50% vesting at the first anniversary of the date of grant and 50% on the second anniversary of the date of grant.</w:t>
      </w:r>
    </w:p>
    <w:p>
      <w:pPr>
        <w:spacing w:after="0" w:line="211" w:lineRule="exact"/>
        <w:rPr>
          <w:sz w:val="20"/>
          <w:szCs w:val="20"/>
          <w:color w:val="auto"/>
        </w:rPr>
      </w:pPr>
    </w:p>
    <w:p>
      <w:pPr>
        <w:jc w:val="both"/>
        <w:ind w:left="1300"/>
        <w:spacing w:after="0" w:line="288" w:lineRule="auto"/>
        <w:rPr>
          <w:sz w:val="20"/>
          <w:szCs w:val="20"/>
          <w:color w:val="auto"/>
        </w:rPr>
      </w:pPr>
      <w:r>
        <w:rPr>
          <w:rFonts w:ascii="Arial" w:cs="Arial" w:eastAsia="Arial" w:hAnsi="Arial"/>
          <w:sz w:val="16"/>
          <w:szCs w:val="16"/>
          <w:color w:val="auto"/>
        </w:rPr>
        <w:t>As was approved by shareholders in 2020, the Chairman and the members of the Board will have to own, commencing July 2025, ordinary shares of the Company at a minimum value that equals at least 50% of their annual cash compensation (the “BOD Minimum Holding”).</w:t>
      </w:r>
    </w:p>
    <w:p>
      <w:pPr>
        <w:spacing w:after="0" w:line="198" w:lineRule="exact"/>
        <w:rPr>
          <w:sz w:val="20"/>
          <w:szCs w:val="20"/>
          <w:color w:val="auto"/>
        </w:rPr>
      </w:pPr>
    </w:p>
    <w:p>
      <w:pPr>
        <w:jc w:val="both"/>
        <w:ind w:left="1300"/>
        <w:spacing w:after="0" w:line="261" w:lineRule="auto"/>
        <w:rPr>
          <w:sz w:val="20"/>
          <w:szCs w:val="20"/>
          <w:color w:val="auto"/>
        </w:rPr>
      </w:pPr>
      <w:r>
        <w:rPr>
          <w:rFonts w:ascii="Arial" w:cs="Arial" w:eastAsia="Arial" w:hAnsi="Arial"/>
          <w:sz w:val="16"/>
          <w:szCs w:val="16"/>
          <w:color w:val="auto"/>
        </w:rPr>
        <w:t>The Chairman and the members of the Board have until July 2025 to accumulate the BOD Minimum Holding (whether by conversion of RSUs to ordinary shares or by purchase of ordinary shares), and during such period, until they accumulate the BOD Minimum Holding, they must retain at least 20% of the vested time-based RSUs granted to them in or after July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121285</wp:posOffset>
            </wp:positionV>
            <wp:extent cx="7169785" cy="488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SHAREHOLDERS’ EQUITY (Continued)</w:t>
      </w:r>
    </w:p>
    <w:p>
      <w:pPr>
        <w:spacing w:after="0" w:line="152" w:lineRule="exact"/>
        <w:rPr>
          <w:sz w:val="20"/>
          <w:szCs w:val="20"/>
          <w:color w:val="auto"/>
        </w:rPr>
      </w:pPr>
    </w:p>
    <w:p>
      <w:pPr>
        <w:jc w:val="both"/>
        <w:ind w:left="1300"/>
        <w:spacing w:after="0" w:line="261" w:lineRule="auto"/>
        <w:rPr>
          <w:sz w:val="20"/>
          <w:szCs w:val="20"/>
          <w:color w:val="auto"/>
        </w:rPr>
      </w:pPr>
      <w:r>
        <w:rPr>
          <w:rFonts w:ascii="Arial" w:cs="Arial" w:eastAsia="Arial" w:hAnsi="Arial"/>
          <w:sz w:val="16"/>
          <w:szCs w:val="16"/>
          <w:color w:val="auto"/>
        </w:rPr>
        <w:t>During 2020, the Company's CEO and members of the Board of Directors were awarded the following RSUs under the 2013 Plan: (i) 109 thousand time-vested RSUs and 163 thousand PSUs to the CEO (subject also to time-vesting, under which 33% of the RSUs and PSUs will vest at the end of each year for 3 years following the grant date), with a compensation value of approximately $5,000; (ii) 16 thousand time vested RSUs to the Chairman for a total compensation value of $300, to vest 33% at the end of each year following the grant date; and (iii) 5 thousand time vested RSUs to each of the nine members of the Board of Directors serving then (other than to the Chairman and the CEO), for an aggregate compensation value of $900, vesting over a two-year period, with 50% vesting at the first anniversary of the date of grant and 50% on the second anniversary of the date of grant.</w:t>
      </w:r>
    </w:p>
    <w:p>
      <w:pPr>
        <w:spacing w:after="0" w:line="223" w:lineRule="exact"/>
        <w:rPr>
          <w:sz w:val="20"/>
          <w:szCs w:val="20"/>
          <w:color w:val="auto"/>
        </w:rPr>
      </w:pPr>
    </w:p>
    <w:p>
      <w:pPr>
        <w:jc w:val="both"/>
        <w:ind w:left="1300"/>
        <w:spacing w:after="0" w:line="334" w:lineRule="auto"/>
        <w:rPr>
          <w:sz w:val="20"/>
          <w:szCs w:val="20"/>
          <w:color w:val="auto"/>
        </w:rPr>
      </w:pPr>
      <w:r>
        <w:rPr>
          <w:rFonts w:ascii="Arial" w:cs="Arial" w:eastAsia="Arial" w:hAnsi="Arial"/>
          <w:sz w:val="15"/>
          <w:szCs w:val="15"/>
          <w:color w:val="auto"/>
        </w:rPr>
        <w:t>During 2019, the Company's CEO and members of the Board of Directors were awarded the following RSUs under the 2013 Plan: (i) 129 thousand time-vested RSUs and 129 thousand PSUs to the CEO subject also to time-vesting; which will both vest 33% at the end of each year following the grant date, for a compensation value of $3,900; (ii) 20 thousand time-vested RSUs to the Chairman for a total compensation value of $300, to vest 33% at the end of each year following the grant date; and (iii) 5 thousand time-vested RSUs to each of the 8 members of the Board of Directors serving then (other than to the Chairman and the CEO), for an aggregate compensation value of $600, vesting over a two-year period, with 50% vesting at the first anniversary of the date of grant and 50% on the second anniversary of the date of grant.</w:t>
      </w:r>
    </w:p>
    <w:p>
      <w:pPr>
        <w:spacing w:after="0" w:line="134" w:lineRule="exact"/>
        <w:rPr>
          <w:sz w:val="20"/>
          <w:szCs w:val="20"/>
          <w:color w:val="auto"/>
        </w:rPr>
      </w:pPr>
    </w:p>
    <w:p>
      <w:pPr>
        <w:jc w:val="both"/>
        <w:ind w:left="1300"/>
        <w:spacing w:after="0" w:line="272" w:lineRule="auto"/>
        <w:rPr>
          <w:sz w:val="20"/>
          <w:szCs w:val="20"/>
          <w:color w:val="auto"/>
        </w:rPr>
      </w:pPr>
      <w:r>
        <w:rPr>
          <w:rFonts w:ascii="Arial" w:cs="Arial" w:eastAsia="Arial" w:hAnsi="Arial"/>
          <w:sz w:val="16"/>
          <w:szCs w:val="16"/>
          <w:color w:val="auto"/>
        </w:rPr>
        <w:t>Under the compensation plan of the Company, and as approved by the Company’s shareholders in September 2013, the awards to the CEO shall be accelerated upon the occurrence of a change of control event (as defined therein), subject to termination of his employment (or resignation due to diminution of responsibilities, as defined therein).</w:t>
      </w:r>
    </w:p>
    <w:p>
      <w:pPr>
        <w:spacing w:after="0" w:line="161" w:lineRule="exact"/>
        <w:rPr>
          <w:sz w:val="20"/>
          <w:szCs w:val="20"/>
          <w:color w:val="auto"/>
        </w:rPr>
      </w:pPr>
    </w:p>
    <w:p>
      <w:pPr>
        <w:jc w:val="both"/>
        <w:ind w:left="1300"/>
        <w:spacing w:after="0" w:line="298" w:lineRule="auto"/>
        <w:rPr>
          <w:sz w:val="20"/>
          <w:szCs w:val="20"/>
          <w:color w:val="auto"/>
        </w:rPr>
      </w:pPr>
      <w:r>
        <w:rPr>
          <w:rFonts w:ascii="Arial" w:cs="Arial" w:eastAsia="Arial" w:hAnsi="Arial"/>
          <w:sz w:val="15"/>
          <w:szCs w:val="15"/>
          <w:color w:val="auto"/>
        </w:rPr>
        <w:t>With respect to the members of the Board of Directors, including the Chairman, in the event of termination, such as termination due to a change of control event, each Director who served less than 5 years on the Board of Directors would be entitled to acceleration of 50% of his/her unvested equity and each Director who served 5 years or more on the Board of Directors would be entitled to acceleration of all of his/her unvested equity.</w:t>
      </w:r>
    </w:p>
    <w:p>
      <w:pPr>
        <w:spacing w:after="0" w:line="108"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Further grants may be approved subject to Compensation Committee, Board of Directors and shareholders’ approval, as may be required by law.</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12"/>
        </w:trPr>
        <w:tc>
          <w:tcPr>
            <w:tcW w:w="3160" w:type="dxa"/>
            <w:vAlign w:val="bottom"/>
            <w:gridSpan w:val="2"/>
          </w:tcPr>
          <w:p>
            <w:pPr>
              <w:spacing w:after="0"/>
              <w:rPr>
                <w:sz w:val="20"/>
                <w:szCs w:val="20"/>
                <w:color w:val="auto"/>
              </w:rPr>
            </w:pPr>
            <w:r>
              <w:rPr>
                <w:rFonts w:ascii="Arial" w:cs="Arial" w:eastAsia="Arial" w:hAnsi="Arial"/>
                <w:sz w:val="16"/>
                <w:szCs w:val="16"/>
                <w:b w:val="1"/>
                <w:bCs w:val="1"/>
                <w:color w:val="auto"/>
              </w:rPr>
              <w:t>(2)  i. Share Options awards: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75"/>
        </w:trPr>
        <w:tc>
          <w:tcPr>
            <w:tcW w:w="38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Details</w:t>
            </w: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2021</w:t>
            </w:r>
          </w:p>
        </w:tc>
        <w:tc>
          <w:tcPr>
            <w:tcW w:w="8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2020</w:t>
            </w:r>
          </w:p>
        </w:tc>
        <w:tc>
          <w:tcPr>
            <w:tcW w:w="8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2019</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3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38"/>
              <w:spacing w:after="0"/>
              <w:rPr>
                <w:sz w:val="20"/>
                <w:szCs w:val="20"/>
                <w:color w:val="auto"/>
              </w:rPr>
            </w:pPr>
            <w:r>
              <w:rPr>
                <w:rFonts w:ascii="Arial" w:cs="Arial" w:eastAsia="Arial" w:hAnsi="Arial"/>
                <w:sz w:val="16"/>
                <w:szCs w:val="16"/>
                <w:color w:val="auto"/>
                <w:w w:val="94"/>
              </w:rPr>
              <w:t>Weighted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ind w:right="38"/>
              <w:spacing w:after="0"/>
              <w:rPr>
                <w:sz w:val="20"/>
                <w:szCs w:val="20"/>
                <w:color w:val="auto"/>
              </w:rPr>
            </w:pPr>
            <w:r>
              <w:rPr>
                <w:rFonts w:ascii="Arial" w:cs="Arial" w:eastAsia="Arial" w:hAnsi="Arial"/>
                <w:sz w:val="16"/>
                <w:szCs w:val="16"/>
                <w:color w:val="auto"/>
                <w:w w:val="91"/>
              </w:rPr>
              <w:t>Weighted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38"/>
              <w:spacing w:after="0"/>
              <w:rPr>
                <w:sz w:val="20"/>
                <w:szCs w:val="20"/>
                <w:color w:val="auto"/>
              </w:rPr>
            </w:pPr>
            <w:r>
              <w:rPr>
                <w:rFonts w:ascii="Arial" w:cs="Arial" w:eastAsia="Arial" w:hAnsi="Arial"/>
                <w:sz w:val="16"/>
                <w:szCs w:val="16"/>
                <w:color w:val="auto"/>
                <w:w w:val="91"/>
              </w:rPr>
              <w:t>Weighted</w:t>
            </w:r>
          </w:p>
        </w:tc>
        <w:tc>
          <w:tcPr>
            <w:tcW w:w="80" w:type="dxa"/>
            <w:vAlign w:val="bottom"/>
          </w:tcPr>
          <w:p>
            <w:pPr>
              <w:spacing w:after="0"/>
              <w:rPr>
                <w:sz w:val="16"/>
                <w:szCs w:val="16"/>
                <w:color w:val="auto"/>
              </w:rPr>
            </w:pPr>
          </w:p>
        </w:tc>
      </w:tr>
      <w:tr>
        <w:trPr>
          <w:trHeight w:val="197"/>
        </w:trPr>
        <w:tc>
          <w:tcPr>
            <w:tcW w:w="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color w:val="auto"/>
                <w:w w:val="94"/>
              </w:rPr>
              <w:t>Number</w:t>
            </w:r>
          </w:p>
        </w:tc>
        <w:tc>
          <w:tcPr>
            <w:tcW w:w="12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color w:val="auto"/>
                <w:w w:val="89"/>
              </w:rPr>
              <w:t>average</w:t>
            </w: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Number</w:t>
            </w:r>
          </w:p>
        </w:tc>
        <w:tc>
          <w:tcPr>
            <w:tcW w:w="14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color w:val="auto"/>
                <w:w w:val="86"/>
              </w:rPr>
              <w:t>average</w:t>
            </w: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Number</w:t>
            </w: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6"/>
                <w:szCs w:val="16"/>
                <w:color w:val="auto"/>
                <w:w w:val="86"/>
              </w:rPr>
              <w:t>average</w:t>
            </w:r>
          </w:p>
        </w:tc>
      </w:tr>
      <w:tr>
        <w:trPr>
          <w:trHeight w:val="197"/>
        </w:trPr>
        <w:tc>
          <w:tcPr>
            <w:tcW w:w="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of share</w:t>
            </w:r>
          </w:p>
        </w:tc>
        <w:tc>
          <w:tcPr>
            <w:tcW w:w="12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color w:val="auto"/>
                <w:w w:val="87"/>
              </w:rPr>
              <w:t>exercise</w:t>
            </w: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of share</w:t>
            </w:r>
          </w:p>
        </w:tc>
        <w:tc>
          <w:tcPr>
            <w:tcW w:w="14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color w:val="auto"/>
                <w:w w:val="90"/>
              </w:rPr>
              <w:t>exercise</w:t>
            </w: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of share</w:t>
            </w: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exercise</w:t>
            </w:r>
          </w:p>
        </w:tc>
      </w:tr>
      <w:tr>
        <w:trPr>
          <w:trHeight w:val="214"/>
        </w:trPr>
        <w:tc>
          <w:tcPr>
            <w:tcW w:w="3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options</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w w:val="92"/>
              </w:rPr>
              <w:t>price</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options</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w w:val="97"/>
              </w:rPr>
              <w:t>price</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options</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w w:val="97"/>
              </w:rPr>
              <w:t>price</w:t>
            </w:r>
          </w:p>
        </w:tc>
        <w:tc>
          <w:tcPr>
            <w:tcW w:w="80" w:type="dxa"/>
            <w:vAlign w:val="bottom"/>
          </w:tcPr>
          <w:p>
            <w:pPr>
              <w:spacing w:after="0"/>
              <w:rPr>
                <w:sz w:val="18"/>
                <w:szCs w:val="18"/>
                <w:color w:val="auto"/>
              </w:rPr>
            </w:pPr>
          </w:p>
        </w:tc>
      </w:tr>
      <w:tr>
        <w:trPr>
          <w:trHeight w:val="221"/>
        </w:trPr>
        <w:tc>
          <w:tcPr>
            <w:tcW w:w="38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Outstanding as of beginning of year</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32,805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15.28</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343,451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8.79</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508,493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9.58</w:t>
            </w:r>
          </w:p>
        </w:tc>
      </w:tr>
      <w:tr>
        <w:trPr>
          <w:trHeight w:val="221"/>
        </w:trPr>
        <w:tc>
          <w:tcPr>
            <w:tcW w:w="38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Granted</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22"/>
        </w:trPr>
        <w:tc>
          <w:tcPr>
            <w:tcW w:w="38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(30,247)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15.12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(308,479)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(163,375)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11.28</w:t>
            </w:r>
          </w:p>
        </w:tc>
      </w:tr>
      <w:tr>
        <w:trPr>
          <w:trHeight w:val="221"/>
        </w:trPr>
        <w:tc>
          <w:tcPr>
            <w:tcW w:w="38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Terminated</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(667)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9.90</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(667)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9.90</w:t>
            </w:r>
          </w:p>
        </w:tc>
      </w:tr>
      <w:tr>
        <w:trPr>
          <w:trHeight w:val="222"/>
        </w:trPr>
        <w:tc>
          <w:tcPr>
            <w:tcW w:w="38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4.42</w:t>
            </w:r>
          </w:p>
        </w:tc>
      </w:tr>
      <w:tr>
        <w:trPr>
          <w:trHeight w:val="25"/>
        </w:trPr>
        <w:tc>
          <w:tcPr>
            <w:tcW w:w="380" w:type="dxa"/>
            <w:vAlign w:val="bottom"/>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1"/>
        </w:trPr>
        <w:tc>
          <w:tcPr>
            <w:tcW w:w="38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Outstanding as of end of year</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2,558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17.16</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32,805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15.28</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343,451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8.79</w:t>
            </w:r>
          </w:p>
        </w:tc>
      </w:tr>
      <w:tr>
        <w:trPr>
          <w:trHeight w:val="20"/>
        </w:trPr>
        <w:tc>
          <w:tcPr>
            <w:tcW w:w="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8"/>
        </w:trPr>
        <w:tc>
          <w:tcPr>
            <w:tcW w:w="38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Options exercisable as of end of year</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17.16</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32,805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15.28</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343,451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8.79</w:t>
            </w:r>
          </w:p>
        </w:tc>
      </w:tr>
      <w:tr>
        <w:trPr>
          <w:trHeight w:val="20"/>
        </w:trPr>
        <w:tc>
          <w:tcPr>
            <w:tcW w:w="380" w:type="dxa"/>
            <w:vAlign w:val="bottom"/>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68" w:lineRule="exact"/>
        <w:rPr>
          <w:sz w:val="20"/>
          <w:szCs w:val="20"/>
          <w:color w:val="auto"/>
        </w:rPr>
      </w:pPr>
    </w:p>
    <w:p>
      <w:pPr>
        <w:sectPr>
          <w:pgSz w:w="11900" w:h="16838" w:orient="portrait"/>
          <w:cols w:equalWidth="0" w:num="1">
            <w:col w:w="11240"/>
          </w:cols>
          <w:pgMar w:left="320" w:top="271" w:right="339" w:bottom="1440" w:gutter="0" w:footer="0" w:header="0"/>
        </w:sectPr>
      </w:pPr>
    </w:p>
    <w:p>
      <w:pPr>
        <w:ind w:left="1680"/>
        <w:spacing w:after="0"/>
        <w:rPr>
          <w:sz w:val="20"/>
          <w:szCs w:val="20"/>
          <w:color w:val="auto"/>
        </w:rPr>
      </w:pPr>
      <w:r>
        <w:rPr>
          <w:rFonts w:ascii="Arial" w:cs="Arial" w:eastAsia="Arial" w:hAnsi="Arial"/>
          <w:sz w:val="16"/>
          <w:szCs w:val="16"/>
          <w:b w:val="1"/>
          <w:bCs w:val="1"/>
          <w:color w:val="auto"/>
        </w:rPr>
        <w:t>ii. RSUs awards:</w:t>
      </w:r>
    </w:p>
    <w:p>
      <w:pPr>
        <w:spacing w:after="0" w:line="22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Details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Outstanding as of beginning of year</w:t>
      </w:r>
    </w:p>
    <w:p>
      <w:pPr>
        <w:spacing w:after="0" w:line="60"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Granted</w:t>
      </w:r>
    </w:p>
    <w:p>
      <w:pPr>
        <w:spacing w:after="0" w:line="37"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Converted</w:t>
      </w:r>
    </w:p>
    <w:p>
      <w:pPr>
        <w:spacing w:after="0" w:line="62"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Forfeited</w:t>
      </w:r>
    </w:p>
    <w:p>
      <w:pPr>
        <w:spacing w:after="0" w:line="74"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Outstanding as of end of year</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280" w:type="dxa"/>
            <w:vAlign w:val="bottom"/>
            <w:gridSpan w:val="4"/>
          </w:tcPr>
          <w:p>
            <w:pPr>
              <w:jc w:val="right"/>
              <w:ind w:right="60"/>
              <w:spacing w:after="0"/>
              <w:rPr>
                <w:sz w:val="20"/>
                <w:szCs w:val="20"/>
                <w:color w:val="auto"/>
              </w:rPr>
            </w:pPr>
            <w:r>
              <w:rPr>
                <w:rFonts w:ascii="Arial" w:cs="Arial" w:eastAsia="Arial" w:hAnsi="Arial"/>
                <w:sz w:val="16"/>
                <w:szCs w:val="16"/>
                <w:color w:val="auto"/>
              </w:rPr>
              <w:t>2021</w:t>
            </w:r>
          </w:p>
        </w:tc>
        <w:tc>
          <w:tcPr>
            <w:tcW w:w="820" w:type="dxa"/>
            <w:vAlign w:val="bottom"/>
          </w:tcPr>
          <w:p>
            <w:pPr>
              <w:spacing w:after="0"/>
              <w:rPr>
                <w:sz w:val="18"/>
                <w:szCs w:val="18"/>
                <w:color w:val="auto"/>
              </w:rPr>
            </w:pPr>
          </w:p>
        </w:tc>
        <w:tc>
          <w:tcPr>
            <w:tcW w:w="1480" w:type="dxa"/>
            <w:vAlign w:val="bottom"/>
            <w:gridSpan w:val="5"/>
          </w:tcPr>
          <w:p>
            <w:pPr>
              <w:jc w:val="right"/>
              <w:ind w:right="60"/>
              <w:spacing w:after="0"/>
              <w:rPr>
                <w:sz w:val="20"/>
                <w:szCs w:val="20"/>
                <w:color w:val="auto"/>
              </w:rPr>
            </w:pPr>
            <w:r>
              <w:rPr>
                <w:rFonts w:ascii="Arial" w:cs="Arial" w:eastAsia="Arial" w:hAnsi="Arial"/>
                <w:sz w:val="16"/>
                <w:szCs w:val="16"/>
                <w:color w:val="auto"/>
              </w:rPr>
              <w:t>2020</w:t>
            </w:r>
          </w:p>
        </w:tc>
        <w:tc>
          <w:tcPr>
            <w:tcW w:w="840" w:type="dxa"/>
            <w:vAlign w:val="bottom"/>
          </w:tcPr>
          <w:p>
            <w:pPr>
              <w:spacing w:after="0"/>
              <w:rPr>
                <w:sz w:val="18"/>
                <w:szCs w:val="18"/>
                <w:color w:val="auto"/>
              </w:rPr>
            </w:pPr>
          </w:p>
        </w:tc>
        <w:tc>
          <w:tcPr>
            <w:tcW w:w="1440" w:type="dxa"/>
            <w:vAlign w:val="bottom"/>
            <w:gridSpan w:val="5"/>
          </w:tcPr>
          <w:p>
            <w:pPr>
              <w:jc w:val="right"/>
              <w:ind w:right="40"/>
              <w:spacing w:after="0"/>
              <w:rPr>
                <w:sz w:val="20"/>
                <w:szCs w:val="20"/>
                <w:color w:val="auto"/>
              </w:rPr>
            </w:pPr>
            <w:r>
              <w:rPr>
                <w:rFonts w:ascii="Arial" w:cs="Arial" w:eastAsia="Arial" w:hAnsi="Arial"/>
                <w:sz w:val="16"/>
                <w:szCs w:val="16"/>
                <w:color w:val="auto"/>
              </w:rPr>
              <w:t>2019</w:t>
            </w:r>
          </w:p>
        </w:tc>
        <w:tc>
          <w:tcPr>
            <w:tcW w:w="820" w:type="dxa"/>
            <w:vAlign w:val="bottom"/>
          </w:tcPr>
          <w:p>
            <w:pPr>
              <w:spacing w:after="0"/>
              <w:rPr>
                <w:sz w:val="18"/>
                <w:szCs w:val="18"/>
                <w:color w:val="auto"/>
              </w:rPr>
            </w:pPr>
          </w:p>
        </w:tc>
      </w:tr>
      <w:tr>
        <w:trPr>
          <w:trHeight w:val="184"/>
        </w:trPr>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ind w:right="38"/>
              <w:spacing w:after="0"/>
              <w:rPr>
                <w:sz w:val="20"/>
                <w:szCs w:val="20"/>
                <w:color w:val="auto"/>
              </w:rPr>
            </w:pPr>
            <w:r>
              <w:rPr>
                <w:rFonts w:ascii="Arial" w:cs="Arial" w:eastAsia="Arial" w:hAnsi="Arial"/>
                <w:sz w:val="16"/>
                <w:szCs w:val="16"/>
                <w:color w:val="auto"/>
                <w:w w:val="91"/>
              </w:rPr>
              <w:t>Weighted</w:t>
            </w:r>
          </w:p>
        </w:tc>
        <w:tc>
          <w:tcPr>
            <w:tcW w:w="2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58"/>
              <w:spacing w:after="0"/>
              <w:rPr>
                <w:sz w:val="20"/>
                <w:szCs w:val="20"/>
                <w:color w:val="auto"/>
              </w:rPr>
            </w:pPr>
            <w:r>
              <w:rPr>
                <w:rFonts w:ascii="Arial" w:cs="Arial" w:eastAsia="Arial" w:hAnsi="Arial"/>
                <w:sz w:val="16"/>
                <w:szCs w:val="16"/>
                <w:color w:val="auto"/>
                <w:w w:val="91"/>
              </w:rPr>
              <w:t>Weighted</w:t>
            </w:r>
          </w:p>
        </w:tc>
        <w:tc>
          <w:tcPr>
            <w:tcW w:w="2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ind w:right="38"/>
              <w:spacing w:after="0"/>
              <w:rPr>
                <w:sz w:val="20"/>
                <w:szCs w:val="20"/>
                <w:color w:val="auto"/>
              </w:rPr>
            </w:pPr>
            <w:r>
              <w:rPr>
                <w:rFonts w:ascii="Arial" w:cs="Arial" w:eastAsia="Arial" w:hAnsi="Arial"/>
                <w:sz w:val="16"/>
                <w:szCs w:val="16"/>
                <w:color w:val="auto"/>
                <w:w w:val="91"/>
              </w:rPr>
              <w:t>Weighted</w:t>
            </w:r>
          </w:p>
        </w:tc>
      </w:tr>
      <w:tr>
        <w:trPr>
          <w:trHeight w:val="197"/>
        </w:trPr>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Number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ind w:right="38"/>
              <w:spacing w:after="0"/>
              <w:rPr>
                <w:sz w:val="20"/>
                <w:szCs w:val="20"/>
                <w:color w:val="auto"/>
              </w:rPr>
            </w:pPr>
            <w:r>
              <w:rPr>
                <w:rFonts w:ascii="Arial" w:cs="Arial" w:eastAsia="Arial" w:hAnsi="Arial"/>
                <w:sz w:val="16"/>
                <w:szCs w:val="16"/>
                <w:color w:val="auto"/>
                <w:w w:val="86"/>
              </w:rPr>
              <w:t>average</w:t>
            </w:r>
          </w:p>
        </w:tc>
        <w:tc>
          <w:tcPr>
            <w:tcW w:w="20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Number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38"/>
              <w:spacing w:after="0"/>
              <w:rPr>
                <w:sz w:val="20"/>
                <w:szCs w:val="20"/>
                <w:color w:val="auto"/>
              </w:rPr>
            </w:pPr>
            <w:r>
              <w:rPr>
                <w:rFonts w:ascii="Arial" w:cs="Arial" w:eastAsia="Arial" w:hAnsi="Arial"/>
                <w:sz w:val="16"/>
                <w:szCs w:val="16"/>
                <w:color w:val="auto"/>
                <w:w w:val="89"/>
              </w:rPr>
              <w:t>average</w:t>
            </w:r>
          </w:p>
        </w:tc>
        <w:tc>
          <w:tcPr>
            <w:tcW w:w="20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Number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ind w:right="38"/>
              <w:spacing w:after="0"/>
              <w:rPr>
                <w:sz w:val="20"/>
                <w:szCs w:val="20"/>
                <w:color w:val="auto"/>
              </w:rPr>
            </w:pPr>
            <w:r>
              <w:rPr>
                <w:rFonts w:ascii="Arial" w:cs="Arial" w:eastAsia="Arial" w:hAnsi="Arial"/>
                <w:sz w:val="16"/>
                <w:szCs w:val="16"/>
                <w:color w:val="auto"/>
                <w:w w:val="86"/>
              </w:rPr>
              <w:t>average</w:t>
            </w:r>
          </w:p>
        </w:tc>
      </w:tr>
      <w:tr>
        <w:trPr>
          <w:trHeight w:val="214"/>
        </w:trPr>
        <w:tc>
          <w:tcPr>
            <w:tcW w:w="96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of RSUs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w w:val="95"/>
              </w:rPr>
              <w:t>fair value</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of RSUs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58"/>
              <w:spacing w:after="0"/>
              <w:rPr>
                <w:sz w:val="20"/>
                <w:szCs w:val="20"/>
                <w:color w:val="auto"/>
              </w:rPr>
            </w:pPr>
            <w:r>
              <w:rPr>
                <w:rFonts w:ascii="Arial" w:cs="Arial" w:eastAsia="Arial" w:hAnsi="Arial"/>
                <w:sz w:val="16"/>
                <w:szCs w:val="16"/>
                <w:color w:val="auto"/>
                <w:w w:val="95"/>
              </w:rPr>
              <w:t>fair value</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of RSUs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w w:val="95"/>
              </w:rPr>
              <w:t>fair value</w:t>
            </w:r>
          </w:p>
        </w:tc>
      </w:tr>
      <w:tr>
        <w:trPr>
          <w:trHeight w:val="220"/>
        </w:trPr>
        <w:tc>
          <w:tcPr>
            <w:tcW w:w="960" w:type="dxa"/>
            <w:vAlign w:val="bottom"/>
          </w:tcPr>
          <w:p>
            <w:pPr>
              <w:jc w:val="right"/>
              <w:spacing w:after="0"/>
              <w:rPr>
                <w:sz w:val="20"/>
                <w:szCs w:val="20"/>
                <w:color w:val="auto"/>
              </w:rPr>
            </w:pPr>
            <w:r>
              <w:rPr>
                <w:rFonts w:ascii="Arial" w:cs="Arial" w:eastAsia="Arial" w:hAnsi="Arial"/>
                <w:sz w:val="16"/>
                <w:szCs w:val="16"/>
                <w:color w:val="auto"/>
              </w:rPr>
              <w:t>2,223,043</w:t>
            </w:r>
          </w:p>
        </w:tc>
        <w:tc>
          <w:tcPr>
            <w:tcW w:w="12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19.45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2,013,613</w:t>
            </w:r>
          </w:p>
        </w:tc>
        <w:tc>
          <w:tcPr>
            <w:tcW w:w="12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19.13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1,599,296</w:t>
            </w:r>
          </w:p>
        </w:tc>
        <w:tc>
          <w:tcPr>
            <w:tcW w:w="100" w:type="dxa"/>
            <w:vAlign w:val="bottom"/>
          </w:tcPr>
          <w:p>
            <w:pPr>
              <w:spacing w:after="0"/>
              <w:rPr>
                <w:sz w:val="19"/>
                <w:szCs w:val="1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22.27</w:t>
            </w:r>
          </w:p>
        </w:tc>
      </w:tr>
      <w:tr>
        <w:trPr>
          <w:trHeight w:val="221"/>
        </w:trPr>
        <w:tc>
          <w:tcPr>
            <w:tcW w:w="960" w:type="dxa"/>
            <w:vAlign w:val="bottom"/>
          </w:tcPr>
          <w:p>
            <w:pPr>
              <w:jc w:val="right"/>
              <w:spacing w:after="0"/>
              <w:rPr>
                <w:sz w:val="20"/>
                <w:szCs w:val="20"/>
                <w:color w:val="auto"/>
              </w:rPr>
            </w:pPr>
            <w:r>
              <w:rPr>
                <w:rFonts w:ascii="Arial" w:cs="Arial" w:eastAsia="Arial" w:hAnsi="Arial"/>
                <w:sz w:val="16"/>
                <w:szCs w:val="16"/>
                <w:color w:val="auto"/>
              </w:rPr>
              <w:t>1,002,275</w:t>
            </w:r>
          </w:p>
        </w:tc>
        <w:tc>
          <w:tcPr>
            <w:tcW w:w="12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29.91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1,105,155</w:t>
            </w:r>
          </w:p>
        </w:tc>
        <w:tc>
          <w:tcPr>
            <w:tcW w:w="12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19.86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1,159,881</w:t>
            </w:r>
          </w:p>
        </w:tc>
        <w:tc>
          <w:tcPr>
            <w:tcW w:w="100" w:type="dxa"/>
            <w:vAlign w:val="bottom"/>
          </w:tcPr>
          <w:p>
            <w:pPr>
              <w:spacing w:after="0"/>
              <w:rPr>
                <w:sz w:val="19"/>
                <w:szCs w:val="1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18.06</w:t>
            </w:r>
          </w:p>
        </w:tc>
      </w:tr>
      <w:tr>
        <w:trPr>
          <w:trHeight w:val="221"/>
        </w:trPr>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(929,466)</w:t>
            </w: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19.56</w:t>
            </w:r>
          </w:p>
        </w:tc>
        <w:tc>
          <w:tcPr>
            <w:tcW w:w="1280" w:type="dxa"/>
            <w:vAlign w:val="bottom"/>
            <w:gridSpan w:val="3"/>
          </w:tcPr>
          <w:p>
            <w:pPr>
              <w:jc w:val="right"/>
              <w:ind w:right="60"/>
              <w:spacing w:after="0"/>
              <w:rPr>
                <w:sz w:val="20"/>
                <w:szCs w:val="20"/>
                <w:color w:val="auto"/>
              </w:rPr>
            </w:pPr>
            <w:r>
              <w:rPr>
                <w:rFonts w:ascii="Arial" w:cs="Arial" w:eastAsia="Arial" w:hAnsi="Arial"/>
                <w:sz w:val="16"/>
                <w:szCs w:val="16"/>
                <w:color w:val="auto"/>
              </w:rPr>
              <w:t>(806,993)</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20.45</w:t>
            </w:r>
          </w:p>
        </w:tc>
        <w:tc>
          <w:tcPr>
            <w:tcW w:w="1260" w:type="dxa"/>
            <w:vAlign w:val="bottom"/>
            <w:gridSpan w:val="3"/>
          </w:tcPr>
          <w:p>
            <w:pPr>
              <w:jc w:val="right"/>
              <w:ind w:right="60"/>
              <w:spacing w:after="0"/>
              <w:rPr>
                <w:sz w:val="20"/>
                <w:szCs w:val="20"/>
                <w:color w:val="auto"/>
              </w:rPr>
            </w:pPr>
            <w:r>
              <w:rPr>
                <w:rFonts w:ascii="Arial" w:cs="Arial" w:eastAsia="Arial" w:hAnsi="Arial"/>
                <w:sz w:val="16"/>
                <w:szCs w:val="16"/>
                <w:color w:val="auto"/>
              </w:rPr>
              <w:t>(484,665)</w:t>
            </w: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23.91</w:t>
            </w:r>
          </w:p>
        </w:tc>
      </w:tr>
      <w:tr>
        <w:trPr>
          <w:trHeight w:val="227"/>
        </w:trPr>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(84,752)</w:t>
            </w: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20.28</w:t>
            </w:r>
          </w:p>
        </w:tc>
        <w:tc>
          <w:tcPr>
            <w:tcW w:w="1280" w:type="dxa"/>
            <w:vAlign w:val="bottom"/>
            <w:gridSpan w:val="3"/>
          </w:tcPr>
          <w:p>
            <w:pPr>
              <w:jc w:val="right"/>
              <w:ind w:right="60"/>
              <w:spacing w:after="0"/>
              <w:rPr>
                <w:sz w:val="20"/>
                <w:szCs w:val="20"/>
                <w:color w:val="auto"/>
              </w:rPr>
            </w:pPr>
            <w:r>
              <w:rPr>
                <w:rFonts w:ascii="Arial" w:cs="Arial" w:eastAsia="Arial" w:hAnsi="Arial"/>
                <w:sz w:val="16"/>
                <w:szCs w:val="16"/>
                <w:color w:val="auto"/>
              </w:rPr>
              <w:t>(88,732)</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18.62</w:t>
            </w:r>
          </w:p>
        </w:tc>
        <w:tc>
          <w:tcPr>
            <w:tcW w:w="1260" w:type="dxa"/>
            <w:vAlign w:val="bottom"/>
            <w:gridSpan w:val="3"/>
          </w:tcPr>
          <w:p>
            <w:pPr>
              <w:jc w:val="right"/>
              <w:ind w:right="60"/>
              <w:spacing w:after="0"/>
              <w:rPr>
                <w:sz w:val="20"/>
                <w:szCs w:val="20"/>
                <w:color w:val="auto"/>
              </w:rPr>
            </w:pPr>
            <w:r>
              <w:rPr>
                <w:rFonts w:ascii="Arial" w:cs="Arial" w:eastAsia="Arial" w:hAnsi="Arial"/>
                <w:sz w:val="16"/>
                <w:szCs w:val="16"/>
                <w:color w:val="auto"/>
              </w:rPr>
              <w:t>(260,899)</w:t>
            </w: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21.19</w:t>
            </w:r>
          </w:p>
        </w:tc>
      </w:tr>
      <w:tr>
        <w:trPr>
          <w:trHeight w:val="221"/>
        </w:trPr>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2,211,100</w:t>
            </w:r>
          </w:p>
        </w:tc>
        <w:tc>
          <w:tcPr>
            <w:tcW w:w="12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24.11</w:t>
            </w:r>
          </w:p>
        </w:tc>
        <w:tc>
          <w:tcPr>
            <w:tcW w:w="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2,223,043</w:t>
            </w:r>
          </w:p>
        </w:tc>
        <w:tc>
          <w:tcPr>
            <w:tcW w:w="12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19.45</w:t>
            </w:r>
          </w:p>
        </w:tc>
        <w:tc>
          <w:tcPr>
            <w:tcW w:w="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2,013,613</w:t>
            </w:r>
          </w:p>
        </w:tc>
        <w:tc>
          <w:tcPr>
            <w:tcW w:w="100" w:type="dxa"/>
            <w:vAlign w:val="bottom"/>
          </w:tcPr>
          <w:p>
            <w:pPr>
              <w:spacing w:after="0"/>
              <w:rPr>
                <w:sz w:val="19"/>
                <w:szCs w:val="1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19.13</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-1767840</wp:posOffset>
            </wp:positionH>
            <wp:positionV relativeFrom="paragraph">
              <wp:posOffset>-741045</wp:posOffset>
            </wp:positionV>
            <wp:extent cx="6066790" cy="140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066790" cy="140335"/>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-459740</wp:posOffset>
            </wp:positionV>
            <wp:extent cx="6066790" cy="140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066790" cy="140335"/>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-163195</wp:posOffset>
            </wp:positionV>
            <wp:extent cx="6066790" cy="163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066790" cy="163830"/>
                    </a:xfrm>
                    <a:prstGeom prst="rect">
                      <a:avLst/>
                    </a:prstGeom>
                    <a:noFill/>
                  </pic:spPr>
                </pic:pic>
              </a:graphicData>
            </a:graphic>
          </wp:anchor>
        </w:drawing>
      </w:r>
    </w:p>
    <w:p>
      <w:pPr>
        <w:spacing w:after="0" w:line="12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F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128270</wp:posOffset>
            </wp:positionV>
            <wp:extent cx="7169785" cy="488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2">
            <w:col w:w="4040" w:space="440"/>
            <w:col w:w="6760"/>
          </w:cols>
          <w:pgMar w:left="320" w:top="271" w:right="339" w:bottom="144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15:</w:t>
        <w:tab/>
        <w:t>SHAREHOLDERS’ EQUITY (Continued)</w:t>
      </w:r>
    </w:p>
    <w:p>
      <w:pPr>
        <w:spacing w:after="0" w:line="185" w:lineRule="exact"/>
        <w:rPr>
          <w:sz w:val="20"/>
          <w:szCs w:val="20"/>
          <w:color w:val="auto"/>
        </w:rPr>
      </w:pPr>
    </w:p>
    <w:p>
      <w:pPr>
        <w:ind w:left="1680" w:hanging="370"/>
        <w:spacing w:after="0"/>
        <w:tabs>
          <w:tab w:leader="none" w:pos="168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Information about Employees’ Share Incentive Plans</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table summarizes information about employees’ share options outstanding as of December 31, 2021:</w:t>
      </w:r>
    </w:p>
    <w:p>
      <w:pPr>
        <w:spacing w:after="0" w:line="197" w:lineRule="exact"/>
        <w:rPr>
          <w:sz w:val="20"/>
          <w:szCs w:val="20"/>
          <w:color w:val="auto"/>
        </w:rPr>
      </w:pPr>
    </w:p>
    <w:tbl>
      <w:tblPr>
        <w:tblLayout w:type="fixed"/>
        <w:tblInd w:w="1680" w:type="dxa"/>
        <w:tblCellMar>
          <w:top w:w="0" w:type="dxa"/>
          <w:left w:w="0" w:type="dxa"/>
          <w:bottom w:w="0" w:type="dxa"/>
          <w:right w:w="0" w:type="dxa"/>
        </w:tblCellMar>
      </w:tblPr>
      <w:tr>
        <w:trPr>
          <w:trHeight w:val="214"/>
        </w:trPr>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ind w:left="1100"/>
              <w:spacing w:after="0"/>
              <w:rPr>
                <w:sz w:val="20"/>
                <w:szCs w:val="20"/>
                <w:color w:val="auto"/>
              </w:rPr>
            </w:pPr>
            <w:r>
              <w:rPr>
                <w:rFonts w:ascii="Arial" w:cs="Arial" w:eastAsia="Arial" w:hAnsi="Arial"/>
                <w:sz w:val="16"/>
                <w:szCs w:val="16"/>
                <w:color w:val="auto"/>
              </w:rPr>
              <w:t>Outstanding</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7"/>
          </w:tcPr>
          <w:p>
            <w:pPr>
              <w:ind w:left="160"/>
              <w:spacing w:after="0"/>
              <w:rPr>
                <w:sz w:val="20"/>
                <w:szCs w:val="20"/>
                <w:color w:val="auto"/>
              </w:rPr>
            </w:pPr>
            <w:r>
              <w:rPr>
                <w:rFonts w:ascii="Arial" w:cs="Arial" w:eastAsia="Arial" w:hAnsi="Arial"/>
                <w:sz w:val="16"/>
                <w:szCs w:val="16"/>
                <w:color w:val="auto"/>
              </w:rPr>
              <w:t>Exercisable</w:t>
            </w: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4"/>
        </w:trPr>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Weighted average</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7"/>
        </w:trPr>
        <w:tc>
          <w:tcPr>
            <w:tcW w:w="26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6"/>
                <w:szCs w:val="16"/>
                <w:color w:val="auto"/>
                <w:w w:val="92"/>
              </w:rPr>
              <w:t>Range of</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remaining</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26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6"/>
                <w:szCs w:val="16"/>
                <w:color w:val="auto"/>
                <w:w w:val="90"/>
              </w:rPr>
              <w:t>exercise</w:t>
            </w:r>
          </w:p>
        </w:tc>
        <w:tc>
          <w:tcPr>
            <w:tcW w:w="154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Number</w:t>
            </w:r>
          </w:p>
        </w:tc>
        <w:tc>
          <w:tcPr>
            <w:tcW w:w="162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contractual life</w:t>
            </w:r>
          </w:p>
        </w:tc>
        <w:tc>
          <w:tcPr>
            <w:tcW w:w="120" w:type="dxa"/>
            <w:vAlign w:val="bottom"/>
          </w:tcPr>
          <w:p>
            <w:pPr>
              <w:spacing w:after="0"/>
              <w:rPr>
                <w:sz w:val="17"/>
                <w:szCs w:val="17"/>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6"/>
                <w:szCs w:val="16"/>
                <w:color w:val="auto"/>
                <w:w w:val="90"/>
              </w:rPr>
              <w:t>Weighted average</w:t>
            </w:r>
          </w:p>
        </w:tc>
        <w:tc>
          <w:tcPr>
            <w:tcW w:w="140" w:type="dxa"/>
            <w:vAlign w:val="bottom"/>
          </w:tcPr>
          <w:p>
            <w:pPr>
              <w:spacing w:after="0"/>
              <w:rPr>
                <w:sz w:val="17"/>
                <w:szCs w:val="17"/>
                <w:color w:val="auto"/>
              </w:rPr>
            </w:pPr>
          </w:p>
        </w:tc>
        <w:tc>
          <w:tcPr>
            <w:tcW w:w="980" w:type="dxa"/>
            <w:vAlign w:val="bottom"/>
            <w:gridSpan w:val="3"/>
          </w:tcPr>
          <w:p>
            <w:pPr>
              <w:jc w:val="center"/>
              <w:ind w:left="318"/>
              <w:spacing w:after="0"/>
              <w:rPr>
                <w:sz w:val="20"/>
                <w:szCs w:val="20"/>
                <w:color w:val="auto"/>
              </w:rPr>
            </w:pPr>
            <w:r>
              <w:rPr>
                <w:rFonts w:ascii="Arial" w:cs="Arial" w:eastAsia="Arial" w:hAnsi="Arial"/>
                <w:sz w:val="16"/>
                <w:szCs w:val="16"/>
                <w:color w:val="auto"/>
                <w:w w:val="94"/>
              </w:rPr>
              <w:t>Number</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7"/>
          </w:tcPr>
          <w:p>
            <w:pPr>
              <w:ind w:left="160"/>
              <w:spacing w:after="0"/>
              <w:rPr>
                <w:sz w:val="20"/>
                <w:szCs w:val="20"/>
                <w:color w:val="auto"/>
              </w:rPr>
            </w:pPr>
            <w:r>
              <w:rPr>
                <w:rFonts w:ascii="Arial" w:cs="Arial" w:eastAsia="Arial" w:hAnsi="Arial"/>
                <w:sz w:val="16"/>
                <w:szCs w:val="16"/>
                <w:color w:val="auto"/>
              </w:rPr>
              <w:t>Weighted average</w:t>
            </w:r>
          </w:p>
        </w:tc>
      </w:tr>
      <w:tr>
        <w:trPr>
          <w:trHeight w:val="214"/>
        </w:trPr>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78"/>
              <w:spacing w:after="0"/>
              <w:rPr>
                <w:sz w:val="20"/>
                <w:szCs w:val="20"/>
                <w:color w:val="auto"/>
              </w:rPr>
            </w:pPr>
            <w:r>
              <w:rPr>
                <w:rFonts w:ascii="Arial" w:cs="Arial" w:eastAsia="Arial" w:hAnsi="Arial"/>
                <w:sz w:val="16"/>
                <w:szCs w:val="16"/>
                <w:color w:val="auto"/>
                <w:w w:val="88"/>
              </w:rPr>
              <w:t>prices</w:t>
            </w:r>
          </w:p>
        </w:tc>
        <w:tc>
          <w:tcPr>
            <w:tcW w:w="16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outstanding</w:t>
            </w:r>
          </w:p>
        </w:tc>
        <w:tc>
          <w:tcPr>
            <w:tcW w:w="16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(in years)</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exercise price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1"/>
              </w:rPr>
              <w:t>exercisable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98"/>
              <w:spacing w:after="0"/>
              <w:rPr>
                <w:sz w:val="20"/>
                <w:szCs w:val="20"/>
                <w:color w:val="auto"/>
              </w:rPr>
            </w:pPr>
            <w:r>
              <w:rPr>
                <w:rFonts w:ascii="Arial" w:cs="Arial" w:eastAsia="Arial" w:hAnsi="Arial"/>
                <w:sz w:val="16"/>
                <w:szCs w:val="16"/>
                <w:color w:val="auto"/>
                <w:w w:val="91"/>
              </w:rPr>
              <w:t>exercise price</w:t>
            </w:r>
          </w:p>
        </w:tc>
        <w:tc>
          <w:tcPr>
            <w:tcW w:w="100" w:type="dxa"/>
            <w:vAlign w:val="bottom"/>
            <w:gridSpan w:val="2"/>
          </w:tcPr>
          <w:p>
            <w:pPr>
              <w:spacing w:after="0"/>
              <w:rPr>
                <w:sz w:val="18"/>
                <w:szCs w:val="18"/>
                <w:color w:val="auto"/>
              </w:rPr>
            </w:pPr>
          </w:p>
        </w:tc>
      </w:tr>
      <w:tr>
        <w:trPr>
          <w:trHeight w:val="221"/>
        </w:trPr>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17.16</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2,558</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0.27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17.16</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2,558</w:t>
            </w:r>
          </w:p>
        </w:tc>
        <w:tc>
          <w:tcPr>
            <w:tcW w:w="40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17.16</w:t>
            </w:r>
          </w:p>
        </w:tc>
        <w:tc>
          <w:tcPr>
            <w:tcW w:w="80" w:type="dxa"/>
            <w:vAlign w:val="bottom"/>
            <w:shd w:val="clear" w:color="auto" w:fill="CCEEFF"/>
          </w:tcPr>
          <w:p>
            <w:pPr>
              <w:spacing w:after="0"/>
              <w:rPr>
                <w:sz w:val="19"/>
                <w:szCs w:val="19"/>
                <w:color w:val="auto"/>
              </w:rPr>
            </w:pPr>
          </w:p>
        </w:tc>
      </w:tr>
      <w:tr>
        <w:trPr>
          <w:trHeight w:val="373"/>
        </w:trPr>
        <w:tc>
          <w:tcPr>
            <w:tcW w:w="3160" w:type="dxa"/>
            <w:vAlign w:val="bottom"/>
            <w:gridSpan w:val="5"/>
          </w:tcPr>
          <w:p>
            <w:pPr>
              <w:spacing w:after="0"/>
              <w:rPr>
                <w:sz w:val="20"/>
                <w:szCs w:val="20"/>
                <w:color w:val="auto"/>
              </w:rPr>
            </w:pPr>
            <w:r>
              <w:rPr>
                <w:rFonts w:ascii="Arial" w:cs="Arial" w:eastAsia="Arial" w:hAnsi="Arial"/>
                <w:sz w:val="16"/>
                <w:szCs w:val="16"/>
                <w:color w:val="auto"/>
              </w:rPr>
              <w:t>Details for the year ended December 31</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278"/>
              <w:spacing w:after="0"/>
              <w:rPr>
                <w:sz w:val="20"/>
                <w:szCs w:val="20"/>
                <w:color w:val="auto"/>
              </w:rPr>
            </w:pPr>
            <w:r>
              <w:rPr>
                <w:rFonts w:ascii="Arial" w:cs="Arial" w:eastAsia="Arial" w:hAnsi="Arial"/>
                <w:sz w:val="16"/>
                <w:szCs w:val="16"/>
                <w:color w:val="auto"/>
                <w:w w:val="89"/>
              </w:rPr>
              <w:t>2021</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color w:val="auto"/>
              </w:rPr>
              <w:t>2020</w:t>
            </w:r>
          </w:p>
        </w:tc>
        <w:tc>
          <w:tcPr>
            <w:tcW w:w="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2019</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1"/>
        </w:trPr>
        <w:tc>
          <w:tcPr>
            <w:tcW w:w="31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The intrinsic value of options exercised</w:t>
            </w:r>
          </w:p>
        </w:tc>
        <w:tc>
          <w:tcPr>
            <w:tcW w:w="1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504</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94"/>
              </w:rPr>
              <w:t>4,429</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1,824</w:t>
            </w:r>
          </w:p>
        </w:tc>
      </w:tr>
      <w:tr>
        <w:trPr>
          <w:trHeight w:val="220"/>
        </w:trPr>
        <w:tc>
          <w:tcPr>
            <w:tcW w:w="3160" w:type="dxa"/>
            <w:vAlign w:val="bottom"/>
            <w:gridSpan w:val="5"/>
          </w:tcPr>
          <w:p>
            <w:pPr>
              <w:spacing w:after="0"/>
              <w:rPr>
                <w:sz w:val="20"/>
                <w:szCs w:val="20"/>
                <w:color w:val="auto"/>
              </w:rPr>
            </w:pPr>
            <w:r>
              <w:rPr>
                <w:rFonts w:ascii="Arial" w:cs="Arial" w:eastAsia="Arial" w:hAnsi="Arial"/>
                <w:sz w:val="16"/>
                <w:szCs w:val="16"/>
                <w:color w:val="auto"/>
              </w:rPr>
              <w:t>The original fair value of options exercised</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188</w:t>
            </w:r>
          </w:p>
        </w:tc>
        <w:tc>
          <w:tcPr>
            <w:tcW w:w="220" w:type="dxa"/>
            <w:vAlign w:val="bottom"/>
          </w:tcPr>
          <w:p>
            <w:pPr>
              <w:jc w:val="right"/>
              <w:ind w:right="38"/>
              <w:spacing w:after="0"/>
              <w:rPr>
                <w:sz w:val="20"/>
                <w:szCs w:val="20"/>
                <w:color w:val="auto"/>
              </w:rPr>
            </w:pPr>
            <w:r>
              <w:rPr>
                <w:rFonts w:ascii="Arial" w:cs="Arial" w:eastAsia="Arial" w:hAnsi="Arial"/>
                <w:sz w:val="16"/>
                <w:szCs w:val="16"/>
                <w:color w:val="auto"/>
                <w:w w:val="89"/>
              </w:rPr>
              <w:t>$</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6"/>
                <w:szCs w:val="16"/>
                <w:color w:val="auto"/>
                <w:w w:val="94"/>
              </w:rPr>
              <w:t>1,018</w:t>
            </w: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665</w:t>
            </w:r>
          </w:p>
        </w:tc>
      </w:tr>
      <w:tr>
        <w:trPr>
          <w:trHeight w:val="387"/>
        </w:trPr>
        <w:tc>
          <w:tcPr>
            <w:tcW w:w="3160" w:type="dxa"/>
            <w:vAlign w:val="bottom"/>
            <w:gridSpan w:val="5"/>
          </w:tcPr>
          <w:p>
            <w:pPr>
              <w:spacing w:after="0"/>
              <w:rPr>
                <w:sz w:val="20"/>
                <w:szCs w:val="20"/>
                <w:color w:val="auto"/>
              </w:rPr>
            </w:pPr>
            <w:r>
              <w:rPr>
                <w:rFonts w:ascii="Arial" w:cs="Arial" w:eastAsia="Arial" w:hAnsi="Arial"/>
                <w:sz w:val="16"/>
                <w:szCs w:val="16"/>
                <w:color w:val="auto"/>
              </w:rPr>
              <w:t>Details for the year ended December 31</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278"/>
              <w:spacing w:after="0"/>
              <w:rPr>
                <w:sz w:val="20"/>
                <w:szCs w:val="20"/>
                <w:color w:val="auto"/>
              </w:rPr>
            </w:pPr>
            <w:r>
              <w:rPr>
                <w:rFonts w:ascii="Arial" w:cs="Arial" w:eastAsia="Arial" w:hAnsi="Arial"/>
                <w:sz w:val="16"/>
                <w:szCs w:val="16"/>
                <w:color w:val="auto"/>
                <w:w w:val="89"/>
              </w:rPr>
              <w:t>2021</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color w:val="auto"/>
              </w:rPr>
              <w:t>2020</w:t>
            </w:r>
          </w:p>
        </w:tc>
        <w:tc>
          <w:tcPr>
            <w:tcW w:w="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2019</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1"/>
        </w:trPr>
        <w:tc>
          <w:tcPr>
            <w:tcW w:w="31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The intrinsic value of converted RSUs</w:t>
            </w:r>
          </w:p>
        </w:tc>
        <w:tc>
          <w:tcPr>
            <w:tcW w:w="1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27,807</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15,971</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8,207</w:t>
            </w:r>
          </w:p>
        </w:tc>
      </w:tr>
      <w:tr>
        <w:trPr>
          <w:trHeight w:val="220"/>
        </w:trPr>
        <w:tc>
          <w:tcPr>
            <w:tcW w:w="3160" w:type="dxa"/>
            <w:vAlign w:val="bottom"/>
            <w:gridSpan w:val="5"/>
          </w:tcPr>
          <w:p>
            <w:pPr>
              <w:spacing w:after="0"/>
              <w:rPr>
                <w:sz w:val="20"/>
                <w:szCs w:val="20"/>
                <w:color w:val="auto"/>
              </w:rPr>
            </w:pPr>
            <w:r>
              <w:rPr>
                <w:rFonts w:ascii="Arial" w:cs="Arial" w:eastAsia="Arial" w:hAnsi="Arial"/>
                <w:sz w:val="16"/>
                <w:szCs w:val="16"/>
                <w:color w:val="auto"/>
              </w:rPr>
              <w:t>The original fair value of converted RSUs</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18,183</w:t>
            </w:r>
          </w:p>
        </w:tc>
        <w:tc>
          <w:tcPr>
            <w:tcW w:w="220" w:type="dxa"/>
            <w:vAlign w:val="bottom"/>
          </w:tcPr>
          <w:p>
            <w:pPr>
              <w:jc w:val="right"/>
              <w:ind w:right="38"/>
              <w:spacing w:after="0"/>
              <w:rPr>
                <w:sz w:val="20"/>
                <w:szCs w:val="20"/>
                <w:color w:val="auto"/>
              </w:rPr>
            </w:pPr>
            <w:r>
              <w:rPr>
                <w:rFonts w:ascii="Arial" w:cs="Arial" w:eastAsia="Arial" w:hAnsi="Arial"/>
                <w:sz w:val="16"/>
                <w:szCs w:val="16"/>
                <w:color w:val="auto"/>
                <w:w w:val="89"/>
              </w:rPr>
              <w:t>$</w:t>
            </w:r>
          </w:p>
        </w:tc>
        <w:tc>
          <w:tcPr>
            <w:tcW w:w="860" w:type="dxa"/>
            <w:vAlign w:val="bottom"/>
            <w:gridSpan w:val="5"/>
          </w:tcPr>
          <w:p>
            <w:pPr>
              <w:jc w:val="right"/>
              <w:ind w:right="20"/>
              <w:spacing w:after="0"/>
              <w:rPr>
                <w:sz w:val="20"/>
                <w:szCs w:val="20"/>
                <w:color w:val="auto"/>
              </w:rPr>
            </w:pPr>
            <w:r>
              <w:rPr>
                <w:rFonts w:ascii="Arial" w:cs="Arial" w:eastAsia="Arial" w:hAnsi="Arial"/>
                <w:sz w:val="16"/>
                <w:szCs w:val="16"/>
                <w:color w:val="auto"/>
              </w:rPr>
              <w:t>16,506</w:t>
            </w: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11,588</w:t>
            </w:r>
          </w:p>
        </w:tc>
      </w:tr>
    </w:tbl>
    <w:p>
      <w:pPr>
        <w:spacing w:after="0" w:line="173"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Stock-based compensation expenses were recognized in the Statement of Operations for the years ended December 31, 2021, 2020 and 2019:</w:t>
      </w:r>
    </w:p>
    <w:p>
      <w:pPr>
        <w:spacing w:after="0" w:line="196" w:lineRule="exact"/>
        <w:rPr>
          <w:sz w:val="20"/>
          <w:szCs w:val="20"/>
          <w:color w:val="auto"/>
        </w:rPr>
      </w:pPr>
    </w:p>
    <w:tbl>
      <w:tblPr>
        <w:tblLayout w:type="fixed"/>
        <w:tblInd w:w="1680" w:type="dxa"/>
        <w:tblCellMar>
          <w:top w:w="0" w:type="dxa"/>
          <w:left w:w="0" w:type="dxa"/>
          <w:bottom w:w="0" w:type="dxa"/>
          <w:right w:w="0" w:type="dxa"/>
        </w:tblCellMar>
      </w:tblPr>
      <w:tr>
        <w:trPr>
          <w:trHeight w:val="214"/>
        </w:trPr>
        <w:tc>
          <w:tcPr>
            <w:tcW w:w="5920" w:type="dxa"/>
            <w:vAlign w:val="bottom"/>
          </w:tcPr>
          <w:p>
            <w:pPr>
              <w:spacing w:after="0"/>
              <w:rPr>
                <w:sz w:val="20"/>
                <w:szCs w:val="20"/>
                <w:color w:val="auto"/>
              </w:rPr>
            </w:pPr>
            <w:r>
              <w:rPr>
                <w:rFonts w:ascii="Arial" w:cs="Arial" w:eastAsia="Arial" w:hAnsi="Arial"/>
                <w:sz w:val="16"/>
                <w:szCs w:val="16"/>
                <w:color w:val="auto"/>
              </w:rPr>
              <w:t>Details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2019</w:t>
            </w:r>
          </w:p>
        </w:tc>
        <w:tc>
          <w:tcPr>
            <w:tcW w:w="80" w:type="dxa"/>
            <w:vAlign w:val="bottom"/>
          </w:tcPr>
          <w:p>
            <w:pPr>
              <w:spacing w:after="0"/>
              <w:rPr>
                <w:sz w:val="18"/>
                <w:szCs w:val="18"/>
                <w:color w:val="auto"/>
              </w:rPr>
            </w:pPr>
          </w:p>
        </w:tc>
      </w:tr>
      <w:tr>
        <w:trPr>
          <w:trHeight w:val="221"/>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Cost of goods</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5,197</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4,529</w:t>
            </w:r>
          </w:p>
        </w:tc>
      </w:tr>
      <w:tr>
        <w:trPr>
          <w:trHeight w:val="221"/>
        </w:trPr>
        <w:tc>
          <w:tcPr>
            <w:tcW w:w="5920" w:type="dxa"/>
            <w:vAlign w:val="bottom"/>
          </w:tcPr>
          <w:p>
            <w:pPr>
              <w:spacing w:after="0"/>
              <w:rPr>
                <w:sz w:val="20"/>
                <w:szCs w:val="20"/>
                <w:color w:val="auto"/>
              </w:rPr>
            </w:pPr>
            <w:r>
              <w:rPr>
                <w:rFonts w:ascii="Arial" w:cs="Arial" w:eastAsia="Arial" w:hAnsi="Arial"/>
                <w:sz w:val="16"/>
                <w:szCs w:val="16"/>
                <w:color w:val="auto"/>
              </w:rPr>
              <w:t>Research and development, net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4,855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3,568</w:t>
            </w: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2,900</w:t>
            </w:r>
          </w:p>
        </w:tc>
      </w:tr>
      <w:tr>
        <w:trPr>
          <w:trHeight w:val="222"/>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Marketing, general and administrative</w:t>
            </w:r>
          </w:p>
        </w:tc>
        <w:tc>
          <w:tcPr>
            <w:tcW w:w="24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13,286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8,223</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7,119</w:t>
            </w:r>
          </w:p>
        </w:tc>
      </w:tr>
      <w:tr>
        <w:trPr>
          <w:trHeight w:val="25"/>
        </w:trPr>
        <w:tc>
          <w:tcPr>
            <w:tcW w:w="59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97"/>
        </w:trPr>
        <w:tc>
          <w:tcPr>
            <w:tcW w:w="5920" w:type="dxa"/>
            <w:vAlign w:val="bottom"/>
          </w:tcPr>
          <w:p>
            <w:pPr>
              <w:spacing w:after="0"/>
              <w:rPr>
                <w:sz w:val="20"/>
                <w:szCs w:val="20"/>
                <w:color w:val="auto"/>
              </w:rPr>
            </w:pPr>
            <w:r>
              <w:rPr>
                <w:rFonts w:ascii="Arial" w:cs="Arial" w:eastAsia="Arial" w:hAnsi="Arial"/>
                <w:sz w:val="16"/>
                <w:szCs w:val="16"/>
                <w:color w:val="auto"/>
              </w:rPr>
              <w:t>Total stock-based compensation expense</w:t>
            </w: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25,144</w:t>
            </w:r>
          </w:p>
        </w:tc>
        <w:tc>
          <w:tcPr>
            <w:tcW w:w="180" w:type="dxa"/>
            <w:vAlign w:val="bottom"/>
          </w:tcPr>
          <w:p>
            <w:pPr>
              <w:spacing w:after="0"/>
              <w:rPr>
                <w:sz w:val="17"/>
                <w:szCs w:val="17"/>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16,988</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14,548</w:t>
            </w:r>
          </w:p>
        </w:tc>
      </w:tr>
      <w:tr>
        <w:trPr>
          <w:trHeight w:val="20"/>
        </w:trPr>
        <w:tc>
          <w:tcPr>
            <w:tcW w:w="5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8" w:lineRule="exact"/>
        <w:rPr>
          <w:sz w:val="20"/>
          <w:szCs w:val="20"/>
          <w:color w:val="auto"/>
        </w:rPr>
      </w:pPr>
    </w:p>
    <w:p>
      <w:pPr>
        <w:ind w:left="1300" w:hanging="318"/>
        <w:spacing w:after="0"/>
        <w:tabs>
          <w:tab w:leader="none" w:pos="130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Treasury Stock</w:t>
      </w:r>
    </w:p>
    <w:p>
      <w:pPr>
        <w:spacing w:after="0" w:line="201" w:lineRule="exact"/>
        <w:rPr>
          <w:rFonts w:ascii="Arial" w:cs="Arial" w:eastAsia="Arial" w:hAnsi="Arial"/>
          <w:sz w:val="16"/>
          <w:szCs w:val="16"/>
          <w:b w:val="1"/>
          <w:bCs w:val="1"/>
          <w:color w:val="auto"/>
        </w:rPr>
      </w:pPr>
    </w:p>
    <w:p>
      <w:pPr>
        <w:ind w:left="130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During 1999 and 1998, the Company funded the purchase by a trustee of an aggregate of approximately 87 thousand Tower’s ordinary shares. These shares are classified as treasury shares.</w:t>
      </w:r>
    </w:p>
    <w:p>
      <w:pPr>
        <w:spacing w:after="0" w:line="120" w:lineRule="exact"/>
        <w:rPr>
          <w:rFonts w:ascii="Arial" w:cs="Arial" w:eastAsia="Arial" w:hAnsi="Arial"/>
          <w:sz w:val="16"/>
          <w:szCs w:val="16"/>
          <w:b w:val="1"/>
          <w:bCs w:val="1"/>
          <w:color w:val="auto"/>
        </w:rPr>
      </w:pPr>
    </w:p>
    <w:p>
      <w:pPr>
        <w:ind w:left="1300" w:hanging="318"/>
        <w:spacing w:after="0"/>
        <w:tabs>
          <w:tab w:leader="none" w:pos="130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Dividend Restriction</w:t>
      </w:r>
    </w:p>
    <w:p>
      <w:pPr>
        <w:spacing w:after="0" w:line="201" w:lineRule="exact"/>
        <w:rPr>
          <w:sz w:val="20"/>
          <w:szCs w:val="20"/>
          <w:color w:val="auto"/>
        </w:rPr>
      </w:pPr>
    </w:p>
    <w:p>
      <w:pPr>
        <w:ind w:left="1300"/>
        <w:spacing w:after="0" w:line="288" w:lineRule="auto"/>
        <w:rPr>
          <w:sz w:val="20"/>
          <w:szCs w:val="20"/>
          <w:color w:val="auto"/>
        </w:rPr>
      </w:pPr>
      <w:r>
        <w:rPr>
          <w:rFonts w:ascii="Arial" w:cs="Arial" w:eastAsia="Arial" w:hAnsi="Arial"/>
          <w:sz w:val="16"/>
          <w:szCs w:val="16"/>
          <w:color w:val="auto"/>
        </w:rPr>
        <w:t>Tower is subject to certain limitations on dividend distribution under the Series G Debentures indenture that allows for distribution of dividends subject to satisfying certain financial ratios.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(dollars in thousands, except per share data)</w:t>
      </w:r>
    </w:p>
    <w:p>
      <w:pPr>
        <w:sectPr>
          <w:pgSz w:w="11900" w:h="16838" w:orient="portrait"/>
          <w:cols w:equalWidth="0" w:num="1">
            <w:col w:w="11240"/>
          </w:cols>
          <w:pgMar w:left="320" w:top="271" w:right="339" w:bottom="1440" w:gutter="0" w:footer="0" w:header="0"/>
        </w:sectPr>
      </w:pP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16:</w:t>
        <w:tab/>
        <w:t>INFORMATION ON GEOGRAPHIC AREAS AND MAJOR CUSTOMERS</w:t>
      </w:r>
    </w:p>
    <w:p>
      <w:pPr>
        <w:spacing w:after="0" w:line="185" w:lineRule="exact"/>
        <w:rPr>
          <w:sz w:val="20"/>
          <w:szCs w:val="20"/>
          <w:color w:val="auto"/>
        </w:rPr>
      </w:pPr>
    </w:p>
    <w:p>
      <w:pPr>
        <w:ind w:left="1280" w:right="900" w:hanging="298"/>
        <w:spacing w:after="0" w:line="469" w:lineRule="auto"/>
        <w:tabs>
          <w:tab w:leader="none" w:pos="1299"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Revenues by Geographic Area - as Percentage of Total Revenue </w:t>
      </w:r>
      <w:r>
        <w:rPr>
          <w:rFonts w:ascii="Arial" w:cs="Arial" w:eastAsia="Arial" w:hAnsi="Arial"/>
          <w:sz w:val="16"/>
          <w:szCs w:val="16"/>
          <w:color w:val="auto"/>
        </w:rPr>
        <w:t>Years ended December 31, 2021, 2020 and 2019:</w:t>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15875</wp:posOffset>
            </wp:positionV>
            <wp:extent cx="6309360" cy="140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309360" cy="140335"/>
                    </a:xfrm>
                    <a:prstGeom prst="rect">
                      <a:avLst/>
                    </a:prstGeom>
                    <a:noFill/>
                  </pic:spPr>
                </pic:pic>
              </a:graphicData>
            </a:graphic>
          </wp:anchor>
        </w:drawing>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USA</w:t>
      </w:r>
    </w:p>
    <w:p>
      <w:pPr>
        <w:spacing w:after="0" w:line="3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15875</wp:posOffset>
            </wp:positionV>
            <wp:extent cx="6309360" cy="140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309360" cy="140335"/>
                    </a:xfrm>
                    <a:prstGeom prst="rect">
                      <a:avLst/>
                    </a:prstGeom>
                    <a:noFill/>
                  </pic:spPr>
                </pic:pic>
              </a:graphicData>
            </a:graphic>
          </wp:anchor>
        </w:drawing>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Asia (other than Japan)</w:t>
      </w:r>
    </w:p>
    <w:p>
      <w:pPr>
        <w:spacing w:after="0" w:line="6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15875</wp:posOffset>
            </wp:positionV>
            <wp:extent cx="6309360" cy="163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309360" cy="163830"/>
                    </a:xfrm>
                    <a:prstGeom prst="rect">
                      <a:avLst/>
                    </a:prstGeom>
                    <a:noFill/>
                  </pic:spPr>
                </pic:pic>
              </a:graphicData>
            </a:graphic>
          </wp:anchor>
        </w:drawing>
      </w:r>
    </w:p>
    <w:p>
      <w:pPr>
        <w:spacing w:after="0" w:line="5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0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18"/>
                <w:szCs w:val="18"/>
                <w:color w:val="auto"/>
              </w:rPr>
            </w:pPr>
          </w:p>
        </w:tc>
        <w:tc>
          <w:tcPr>
            <w:tcW w:w="10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18"/>
                <w:szCs w:val="18"/>
                <w:color w:val="auto"/>
              </w:rPr>
            </w:pPr>
          </w:p>
        </w:tc>
      </w:tr>
      <w:tr>
        <w:trPr>
          <w:trHeight w:val="220"/>
        </w:trPr>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41%</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44%</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52%</w:t>
            </w:r>
          </w:p>
        </w:tc>
      </w:tr>
      <w:tr>
        <w:trPr>
          <w:trHeight w:val="221"/>
        </w:trPr>
        <w:tc>
          <w:tcPr>
            <w:tcW w:w="1080" w:type="dxa"/>
            <w:vAlign w:val="bottom"/>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9"/>
                <w:szCs w:val="19"/>
                <w:color w:val="auto"/>
              </w:rPr>
            </w:pPr>
          </w:p>
        </w:tc>
      </w:tr>
      <w:tr>
        <w:trPr>
          <w:trHeight w:val="221"/>
        </w:trPr>
        <w:tc>
          <w:tcPr>
            <w:tcW w:w="1080" w:type="dxa"/>
            <w:vAlign w:val="bottom"/>
          </w:tcPr>
          <w:p>
            <w:pPr>
              <w:jc w:val="right"/>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9"/>
                <w:szCs w:val="19"/>
                <w:color w:val="auto"/>
              </w:rPr>
            </w:pPr>
          </w:p>
        </w:tc>
      </w:tr>
      <w:tr>
        <w:trPr>
          <w:trHeight w:val="227"/>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9"/>
                <w:szCs w:val="19"/>
                <w:color w:val="auto"/>
              </w:rPr>
            </w:pPr>
          </w:p>
        </w:tc>
      </w:tr>
      <w:tr>
        <w:trPr>
          <w:trHeight w:val="221"/>
        </w:trPr>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0" w:lineRule="exact"/>
        <w:rPr>
          <w:sz w:val="20"/>
          <w:szCs w:val="20"/>
          <w:color w:val="auto"/>
        </w:rPr>
      </w:pPr>
    </w:p>
    <w:p>
      <w:pPr>
        <w:sectPr>
          <w:pgSz w:w="11900" w:h="16838" w:orient="portrait"/>
          <w:cols w:equalWidth="0" w:num="2">
            <w:col w:w="6640" w:space="720"/>
            <w:col w:w="3880"/>
          </w:cols>
          <w:pgMar w:left="320" w:top="271" w:right="339" w:bottom="1440" w:gutter="0" w:footer="0" w:header="0"/>
          <w:type w:val="continuous"/>
        </w:sectPr>
      </w:pPr>
    </w:p>
    <w:p>
      <w:pPr>
        <w:ind w:left="1300"/>
        <w:spacing w:after="0" w:line="288" w:lineRule="auto"/>
        <w:rPr>
          <w:sz w:val="20"/>
          <w:szCs w:val="20"/>
          <w:color w:val="auto"/>
        </w:rPr>
      </w:pPr>
      <w:r>
        <w:rPr>
          <w:rFonts w:ascii="Arial" w:cs="Arial" w:eastAsia="Arial" w:hAnsi="Arial"/>
          <w:sz w:val="16"/>
          <w:szCs w:val="16"/>
          <w:color w:val="auto"/>
        </w:rPr>
        <w:t>The basis of attributing revenues from external customers to geographic area is based on the headquarters location of the customer issuing the purchase order; actual delivery may be shipped to another geographic area per customer request.</w:t>
      </w:r>
    </w:p>
    <w:p>
      <w:pPr>
        <w:spacing w:after="0" w:line="132" w:lineRule="exact"/>
        <w:rPr>
          <w:sz w:val="20"/>
          <w:szCs w:val="20"/>
          <w:color w:val="auto"/>
        </w:rPr>
      </w:pPr>
    </w:p>
    <w:p>
      <w:pPr>
        <w:ind w:left="1300" w:hanging="318"/>
        <w:spacing w:after="0"/>
        <w:tabs>
          <w:tab w:leader="none" w:pos="130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Long-Lived Assets by Geographic Area</w:t>
      </w:r>
    </w:p>
    <w:p>
      <w:pPr>
        <w:spacing w:after="0" w:line="201" w:lineRule="exact"/>
        <w:rPr>
          <w:sz w:val="20"/>
          <w:szCs w:val="20"/>
          <w:color w:val="auto"/>
        </w:rPr>
      </w:pPr>
    </w:p>
    <w:p>
      <w:pPr>
        <w:ind w:left="1300"/>
        <w:spacing w:after="0" w:line="288" w:lineRule="auto"/>
        <w:rPr>
          <w:sz w:val="20"/>
          <w:szCs w:val="20"/>
          <w:color w:val="auto"/>
        </w:rPr>
      </w:pPr>
      <w:r>
        <w:rPr>
          <w:rFonts w:ascii="Arial" w:cs="Arial" w:eastAsia="Arial" w:hAnsi="Arial"/>
          <w:sz w:val="16"/>
          <w:szCs w:val="16"/>
          <w:color w:val="auto"/>
        </w:rPr>
        <w:t>Substantially all of Tower’s long-lived assets are located in Israel, substantially all of TSNB’s and TSSA’s long-lived assets are located in the United States and substantially all of TPSCo’s long-lived assets are located in Japan.</w:t>
      </w:r>
    </w:p>
    <w:p>
      <w:pPr>
        <w:spacing w:after="0" w:line="124" w:lineRule="exact"/>
        <w:rPr>
          <w:sz w:val="20"/>
          <w:szCs w:val="20"/>
          <w:color w:val="auto"/>
        </w:rPr>
      </w:pPr>
    </w:p>
    <w:tbl>
      <w:tblPr>
        <w:tblLayout w:type="fixed"/>
        <w:tblInd w:w="1280" w:type="dxa"/>
        <w:tblCellMar>
          <w:top w:w="0" w:type="dxa"/>
          <w:left w:w="0" w:type="dxa"/>
          <w:bottom w:w="0" w:type="dxa"/>
          <w:right w:w="0" w:type="dxa"/>
        </w:tblCellMar>
      </w:tblPr>
      <w:tr>
        <w:trPr>
          <w:trHeight w:val="208"/>
        </w:trPr>
        <w:tc>
          <w:tcPr>
            <w:tcW w:w="7500" w:type="dxa"/>
            <w:vAlign w:val="bottom"/>
            <w:gridSpan w:val="2"/>
          </w:tcPr>
          <w:p>
            <w:pPr>
              <w:spacing w:after="0"/>
              <w:rPr>
                <w:sz w:val="20"/>
                <w:szCs w:val="20"/>
                <w:color w:val="auto"/>
              </w:rPr>
            </w:pPr>
            <w:r>
              <w:rPr>
                <w:rFonts w:ascii="Arial" w:cs="Arial" w:eastAsia="Arial" w:hAnsi="Arial"/>
                <w:sz w:val="16"/>
                <w:szCs w:val="16"/>
                <w:color w:val="auto"/>
              </w:rPr>
              <w:t>As of December 31, 2021 and 2020:</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50"/>
        </w:trPr>
        <w:tc>
          <w:tcPr>
            <w:tcW w:w="7500" w:type="dxa"/>
            <w:vAlign w:val="bottom"/>
            <w:gridSpan w:val="2"/>
          </w:tcPr>
          <w:p>
            <w:pPr>
              <w:ind w:left="20"/>
              <w:spacing w:after="0"/>
              <w:rPr>
                <w:sz w:val="20"/>
                <w:szCs w:val="20"/>
                <w:color w:val="auto"/>
              </w:rPr>
            </w:pPr>
            <w:r>
              <w:rPr>
                <w:rFonts w:ascii="Arial" w:cs="Arial" w:eastAsia="Arial" w:hAnsi="Arial"/>
                <w:sz w:val="16"/>
                <w:szCs w:val="16"/>
                <w:color w:val="auto"/>
              </w:rPr>
              <w:t>Details</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4"/>
                <w:szCs w:val="24"/>
                <w:color w:val="auto"/>
              </w:rPr>
            </w:pPr>
          </w:p>
        </w:tc>
      </w:tr>
      <w:tr>
        <w:trPr>
          <w:trHeight w:val="221"/>
        </w:trPr>
        <w:tc>
          <w:tcPr>
            <w:tcW w:w="40" w:type="dxa"/>
            <w:vAlign w:val="bottom"/>
          </w:tcPr>
          <w:p>
            <w:pPr>
              <w:spacing w:after="0"/>
              <w:rPr>
                <w:sz w:val="19"/>
                <w:szCs w:val="19"/>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Israel</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238,758</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215,006</w:t>
            </w:r>
          </w:p>
        </w:tc>
        <w:tc>
          <w:tcPr>
            <w:tcW w:w="100" w:type="dxa"/>
            <w:vAlign w:val="bottom"/>
            <w:shd w:val="clear" w:color="auto" w:fill="CCEEFF"/>
          </w:tcPr>
          <w:p>
            <w:pPr>
              <w:spacing w:after="0"/>
              <w:rPr>
                <w:sz w:val="19"/>
                <w:szCs w:val="19"/>
                <w:color w:val="auto"/>
              </w:rPr>
            </w:pPr>
          </w:p>
        </w:tc>
      </w:tr>
      <w:tr>
        <w:trPr>
          <w:trHeight w:val="221"/>
        </w:trPr>
        <w:tc>
          <w:tcPr>
            <w:tcW w:w="7500" w:type="dxa"/>
            <w:vAlign w:val="bottom"/>
            <w:gridSpan w:val="2"/>
          </w:tcPr>
          <w:p>
            <w:pPr>
              <w:ind w:left="20"/>
              <w:spacing w:after="0"/>
              <w:rPr>
                <w:sz w:val="20"/>
                <w:szCs w:val="20"/>
                <w:color w:val="auto"/>
              </w:rPr>
            </w:pPr>
            <w:r>
              <w:rPr>
                <w:rFonts w:ascii="Arial" w:cs="Arial" w:eastAsia="Arial" w:hAnsi="Arial"/>
                <w:sz w:val="16"/>
                <w:szCs w:val="16"/>
                <w:color w:val="auto"/>
              </w:rPr>
              <w:t>United States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264,038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234,902</w:t>
            </w:r>
          </w:p>
        </w:tc>
        <w:tc>
          <w:tcPr>
            <w:tcW w:w="10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Japan</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373,887</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389,263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7"/>
        </w:trPr>
        <w:tc>
          <w:tcPr>
            <w:tcW w:w="4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876,683</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839,171</w:t>
            </w:r>
          </w:p>
        </w:tc>
        <w:tc>
          <w:tcPr>
            <w:tcW w:w="10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6"/>
          <w:szCs w:val="16"/>
          <w:b w:val="1"/>
          <w:bCs w:val="1"/>
          <w:color w:val="auto"/>
        </w:rPr>
        <w:t>C.</w:t>
      </w:r>
      <w:r>
        <w:rPr>
          <w:sz w:val="20"/>
          <w:szCs w:val="20"/>
          <w:color w:val="auto"/>
        </w:rPr>
        <w:tab/>
      </w:r>
      <w:r>
        <w:rPr>
          <w:rFonts w:ascii="Arial" w:cs="Arial" w:eastAsia="Arial" w:hAnsi="Arial"/>
          <w:sz w:val="14"/>
          <w:szCs w:val="14"/>
          <w:b w:val="1"/>
          <w:bCs w:val="1"/>
          <w:color w:val="auto"/>
        </w:rPr>
        <w:t>Major Customers - as Percentage of Net Accounts Receivable Balance</w:t>
      </w:r>
    </w:p>
    <w:p>
      <w:pPr>
        <w:spacing w:after="0" w:line="201" w:lineRule="exact"/>
        <w:rPr>
          <w:sz w:val="20"/>
          <w:szCs w:val="20"/>
          <w:color w:val="auto"/>
        </w:rPr>
      </w:pPr>
    </w:p>
    <w:p>
      <w:pPr>
        <w:ind w:left="1300"/>
        <w:spacing w:after="0" w:line="323" w:lineRule="auto"/>
        <w:rPr>
          <w:sz w:val="20"/>
          <w:szCs w:val="20"/>
          <w:color w:val="auto"/>
        </w:rPr>
      </w:pPr>
      <w:r>
        <w:rPr>
          <w:rFonts w:ascii="Arial" w:cs="Arial" w:eastAsia="Arial" w:hAnsi="Arial"/>
          <w:sz w:val="15"/>
          <w:szCs w:val="15"/>
          <w:color w:val="auto"/>
        </w:rPr>
        <w:t>As of December 31, 2021, one customer exceeded 10% of the net accounts receivable balance and represented 14% of such balance. As of December 31, 2020, two customers exceeded 10% of the net accounts receivable balance and represented 13% and 12% of such balance.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60" w:type="dxa"/>
            <w:vAlign w:val="bottom"/>
            <w:gridSpan w:val="2"/>
          </w:tcPr>
          <w:p>
            <w:pPr>
              <w:spacing w:after="0"/>
              <w:rPr>
                <w:sz w:val="20"/>
                <w:szCs w:val="20"/>
                <w:color w:val="auto"/>
              </w:rPr>
            </w:pPr>
            <w:r>
              <w:rPr>
                <w:rFonts w:ascii="Arial" w:cs="Arial" w:eastAsia="Arial" w:hAnsi="Arial"/>
                <w:sz w:val="16"/>
                <w:szCs w:val="16"/>
                <w:b w:val="1"/>
                <w:bCs w:val="1"/>
                <w:color w:val="auto"/>
              </w:rPr>
              <w:t>NOTE 16:   INFORMATION ON GEOGRAPHIC AREAS AND MAJOR CUSTOMERS (Continued)</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69"/>
        </w:trPr>
        <w:tc>
          <w:tcPr>
            <w:tcW w:w="7360" w:type="dxa"/>
            <w:vAlign w:val="bottom"/>
            <w:gridSpan w:val="2"/>
          </w:tcPr>
          <w:p>
            <w:pPr>
              <w:jc w:val="center"/>
              <w:ind w:right="1438"/>
              <w:spacing w:after="0"/>
              <w:rPr>
                <w:sz w:val="20"/>
                <w:szCs w:val="20"/>
                <w:color w:val="auto"/>
              </w:rPr>
            </w:pPr>
            <w:r>
              <w:rPr>
                <w:rFonts w:ascii="Arial" w:cs="Arial" w:eastAsia="Arial" w:hAnsi="Arial"/>
                <w:sz w:val="16"/>
                <w:szCs w:val="16"/>
                <w:b w:val="1"/>
                <w:bCs w:val="1"/>
                <w:color w:val="auto"/>
                <w:w w:val="94"/>
              </w:rPr>
              <w:t>D.  Major Customers - as Percentage of Total Revenue</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1"/>
        </w:trPr>
        <w:tc>
          <w:tcPr>
            <w:tcW w:w="7360" w:type="dxa"/>
            <w:vAlign w:val="bottom"/>
            <w:gridSpan w:val="2"/>
          </w:tcPr>
          <w:p>
            <w:pPr>
              <w:jc w:val="center"/>
              <w:ind w:right="1478"/>
              <w:spacing w:after="0"/>
              <w:rPr>
                <w:sz w:val="20"/>
                <w:szCs w:val="20"/>
                <w:color w:val="auto"/>
              </w:rPr>
            </w:pPr>
            <w:r>
              <w:rPr>
                <w:rFonts w:ascii="Arial" w:cs="Arial" w:eastAsia="Arial" w:hAnsi="Arial"/>
                <w:sz w:val="16"/>
                <w:szCs w:val="16"/>
                <w:color w:val="auto"/>
                <w:w w:val="91"/>
              </w:rPr>
              <w:t>Years ended December 31, 2021, 2020 and 2019:</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0"/>
        </w:trPr>
        <w:tc>
          <w:tcPr>
            <w:tcW w:w="7360" w:type="dxa"/>
            <w:vAlign w:val="bottom"/>
            <w:gridSpan w:val="2"/>
          </w:tcPr>
          <w:p>
            <w:pPr>
              <w:ind w:left="1300"/>
              <w:spacing w:after="0"/>
              <w:rPr>
                <w:sz w:val="20"/>
                <w:szCs w:val="20"/>
                <w:color w:val="auto"/>
              </w:rPr>
            </w:pPr>
            <w:r>
              <w:rPr>
                <w:rFonts w:ascii="Arial" w:cs="Arial" w:eastAsia="Arial" w:hAnsi="Arial"/>
                <w:sz w:val="16"/>
                <w:szCs w:val="16"/>
                <w:color w:val="auto"/>
              </w:rPr>
              <w:t>Details</w:t>
            </w:r>
          </w:p>
        </w:tc>
        <w:tc>
          <w:tcPr>
            <w:tcW w:w="10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24"/>
                <w:szCs w:val="24"/>
                <w:color w:val="auto"/>
              </w:rPr>
            </w:pPr>
          </w:p>
        </w:tc>
        <w:tc>
          <w:tcPr>
            <w:tcW w:w="10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24"/>
                <w:szCs w:val="24"/>
                <w:color w:val="auto"/>
              </w:rPr>
            </w:pPr>
          </w:p>
        </w:tc>
        <w:tc>
          <w:tcPr>
            <w:tcW w:w="10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24"/>
                <w:szCs w:val="24"/>
                <w:color w:val="auto"/>
              </w:rPr>
            </w:pPr>
          </w:p>
        </w:tc>
      </w:tr>
      <w:tr>
        <w:trPr>
          <w:trHeight w:val="221"/>
        </w:trPr>
        <w:tc>
          <w:tcPr>
            <w:tcW w:w="13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Customer A</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21%</w:t>
            </w: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25%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21"/>
        </w:trPr>
        <w:tc>
          <w:tcPr>
            <w:tcW w:w="7360" w:type="dxa"/>
            <w:vAlign w:val="bottom"/>
            <w:gridSpan w:val="2"/>
          </w:tcPr>
          <w:p>
            <w:pPr>
              <w:ind w:left="1300"/>
              <w:spacing w:after="0"/>
              <w:rPr>
                <w:sz w:val="20"/>
                <w:szCs w:val="20"/>
                <w:color w:val="auto"/>
              </w:rPr>
            </w:pPr>
            <w:r>
              <w:rPr>
                <w:rFonts w:ascii="Arial" w:cs="Arial" w:eastAsia="Arial" w:hAnsi="Arial"/>
                <w:sz w:val="16"/>
                <w:szCs w:val="16"/>
                <w:color w:val="auto"/>
              </w:rPr>
              <w:t>Customer B</w:t>
            </w:r>
          </w:p>
        </w:tc>
        <w:tc>
          <w:tcPr>
            <w:tcW w:w="1080" w:type="dxa"/>
            <w:vAlign w:val="bottom"/>
          </w:tcPr>
          <w:p>
            <w:pPr>
              <w:ind w:left="920"/>
              <w:spacing w:after="0"/>
              <w:rPr>
                <w:sz w:val="20"/>
                <w:szCs w:val="20"/>
                <w:color w:val="auto"/>
              </w:rPr>
            </w:pPr>
            <w:r>
              <w:rPr>
                <w:rFonts w:ascii="Arial" w:cs="Arial" w:eastAsia="Arial" w:hAnsi="Arial"/>
                <w:sz w:val="16"/>
                <w:szCs w:val="16"/>
                <w:color w:val="auto"/>
                <w:w w:val="78"/>
              </w:rPr>
              <w:t>13</w:t>
            </w:r>
          </w:p>
        </w:tc>
        <w:tc>
          <w:tcPr>
            <w:tcW w:w="260" w:type="dxa"/>
            <w:vAlign w:val="bottom"/>
          </w:tcPr>
          <w:p>
            <w:pPr>
              <w:spacing w:after="0"/>
              <w:rPr>
                <w:sz w:val="19"/>
                <w:szCs w:val="19"/>
                <w:color w:val="auto"/>
              </w:rPr>
            </w:pPr>
          </w:p>
        </w:tc>
        <w:tc>
          <w:tcPr>
            <w:tcW w:w="1080" w:type="dxa"/>
            <w:vAlign w:val="bottom"/>
          </w:tcPr>
          <w:p>
            <w:pPr>
              <w:ind w:left="920"/>
              <w:spacing w:after="0"/>
              <w:rPr>
                <w:sz w:val="20"/>
                <w:szCs w:val="20"/>
                <w:color w:val="auto"/>
              </w:rPr>
            </w:pPr>
            <w:r>
              <w:rPr>
                <w:rFonts w:ascii="Arial" w:cs="Arial" w:eastAsia="Arial" w:hAnsi="Arial"/>
                <w:sz w:val="16"/>
                <w:szCs w:val="16"/>
                <w:color w:val="auto"/>
                <w:w w:val="78"/>
              </w:rPr>
              <w:t>11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9"/>
                <w:szCs w:val="19"/>
                <w:color w:val="auto"/>
              </w:rPr>
            </w:pPr>
          </w:p>
        </w:tc>
      </w:tr>
      <w:tr>
        <w:trPr>
          <w:trHeight w:val="222"/>
        </w:trPr>
        <w:tc>
          <w:tcPr>
            <w:tcW w:w="13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Other customers *</w:t>
            </w:r>
          </w:p>
        </w:tc>
        <w:tc>
          <w:tcPr>
            <w:tcW w:w="1080" w:type="dxa"/>
            <w:vAlign w:val="bottom"/>
            <w:shd w:val="clear" w:color="auto" w:fill="CCEEFF"/>
          </w:tcPr>
          <w:p>
            <w:pPr>
              <w:ind w:left="920"/>
              <w:spacing w:after="0"/>
              <w:rPr>
                <w:sz w:val="20"/>
                <w:szCs w:val="20"/>
                <w:color w:val="auto"/>
              </w:rPr>
            </w:pPr>
            <w:r>
              <w:rPr>
                <w:rFonts w:ascii="Arial" w:cs="Arial" w:eastAsia="Arial" w:hAnsi="Arial"/>
                <w:sz w:val="16"/>
                <w:szCs w:val="16"/>
                <w:color w:val="auto"/>
                <w:w w:val="78"/>
              </w:rPr>
              <w:t>20</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ind w:left="900"/>
              <w:spacing w:after="0"/>
              <w:rPr>
                <w:sz w:val="20"/>
                <w:szCs w:val="20"/>
                <w:color w:val="auto"/>
              </w:rPr>
            </w:pPr>
            <w:r>
              <w:rPr>
                <w:rFonts w:ascii="Arial" w:cs="Arial" w:eastAsia="Arial" w:hAnsi="Arial"/>
                <w:sz w:val="16"/>
                <w:szCs w:val="16"/>
                <w:color w:val="auto"/>
                <w:w w:val="89"/>
              </w:rPr>
              <w:t>24</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CEEFF"/>
          </w:tcPr>
          <w:p>
            <w:pPr>
              <w:spacing w:after="0"/>
              <w:rPr>
                <w:sz w:val="19"/>
                <w:szCs w:val="19"/>
                <w:color w:val="auto"/>
              </w:rPr>
            </w:pPr>
          </w:p>
        </w:tc>
      </w:tr>
    </w:tbl>
    <w:p>
      <w:pPr>
        <w:spacing w:after="0" w:line="209" w:lineRule="exact"/>
        <w:rPr>
          <w:sz w:val="20"/>
          <w:szCs w:val="20"/>
          <w:color w:val="auto"/>
        </w:rPr>
      </w:pPr>
    </w:p>
    <w:p>
      <w:pPr>
        <w:jc w:val="both"/>
        <w:ind w:left="1620" w:hanging="310"/>
        <w:spacing w:after="0" w:line="272" w:lineRule="auto"/>
        <w:tabs>
          <w:tab w:leader="none" w:pos="1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aggregated revenue to four customers that accounted for between 4% and 7% of total revenue during 2021, to four customers that accounted for between 5% and 7% of total revenue during 2020, and to four customers that accounted for between 5% and 9% of total revenue during 2019.</w:t>
      </w:r>
    </w:p>
    <w:p>
      <w:pPr>
        <w:spacing w:after="0" w:line="121"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17:</w:t>
        <w:tab/>
        <w:t>FINANCING INCOME (EXPENSE), NET</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Financing income (expense), net consists of the following for the years ended December 31, 2021, 2020 and 2019: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60" w:type="dxa"/>
            <w:vAlign w:val="bottom"/>
            <w:gridSpan w:val="2"/>
          </w:tcPr>
          <w:p>
            <w:pPr>
              <w:ind w:left="980"/>
              <w:spacing w:after="0"/>
              <w:rPr>
                <w:sz w:val="20"/>
                <w:szCs w:val="20"/>
                <w:color w:val="auto"/>
              </w:rPr>
            </w:pPr>
            <w:r>
              <w:rPr>
                <w:rFonts w:ascii="Arial" w:cs="Arial" w:eastAsia="Arial" w:hAnsi="Arial"/>
                <w:sz w:val="16"/>
                <w:szCs w:val="16"/>
                <w:color w:val="auto"/>
              </w:rPr>
              <w:t>Details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(7,312)</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(6,755)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(6,823)</w:t>
            </w:r>
          </w:p>
        </w:tc>
        <w:tc>
          <w:tcPr>
            <w:tcW w:w="0" w:type="dxa"/>
            <w:vAlign w:val="bottom"/>
          </w:tcPr>
          <w:p>
            <w:pPr>
              <w:spacing w:after="0"/>
              <w:rPr>
                <w:sz w:val="1"/>
                <w:szCs w:val="1"/>
                <w:color w:val="auto"/>
              </w:rPr>
            </w:pPr>
          </w:p>
        </w:tc>
      </w:tr>
      <w:tr>
        <w:trPr>
          <w:trHeight w:val="221"/>
        </w:trPr>
        <w:tc>
          <w:tcPr>
            <w:tcW w:w="7360" w:type="dxa"/>
            <w:vAlign w:val="bottom"/>
            <w:gridSpan w:val="2"/>
          </w:tcPr>
          <w:p>
            <w:pPr>
              <w:ind w:left="98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5,368</w:t>
            </w: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8,484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12,949</w:t>
            </w:r>
          </w:p>
        </w:tc>
        <w:tc>
          <w:tcPr>
            <w:tcW w:w="0" w:type="dxa"/>
            <w:vAlign w:val="bottom"/>
          </w:tcPr>
          <w:p>
            <w:pPr>
              <w:spacing w:after="0"/>
              <w:rPr>
                <w:sz w:val="1"/>
                <w:szCs w:val="1"/>
                <w:color w:val="auto"/>
              </w:rPr>
            </w:pPr>
          </w:p>
        </w:tc>
      </w:tr>
      <w:tr>
        <w:trPr>
          <w:trHeight w:val="222"/>
        </w:trPr>
        <w:tc>
          <w:tcPr>
            <w:tcW w:w="98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Series G Debentures amortization, related rate differences and hedging results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(1,773)</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(3,299)</w:t>
            </w:r>
          </w:p>
        </w:tc>
        <w:tc>
          <w:tcPr>
            <w:tcW w:w="0" w:type="dxa"/>
            <w:vAlign w:val="bottom"/>
          </w:tcPr>
          <w:p>
            <w:pPr>
              <w:spacing w:after="0"/>
              <w:rPr>
                <w:sz w:val="1"/>
                <w:szCs w:val="1"/>
                <w:color w:val="auto"/>
              </w:rPr>
            </w:pPr>
          </w:p>
        </w:tc>
      </w:tr>
      <w:tr>
        <w:trPr>
          <w:trHeight w:val="221"/>
        </w:trPr>
        <w:tc>
          <w:tcPr>
            <w:tcW w:w="7360" w:type="dxa"/>
            <w:vAlign w:val="bottom"/>
            <w:gridSpan w:val="2"/>
          </w:tcPr>
          <w:p>
            <w:pPr>
              <w:ind w:left="980"/>
              <w:spacing w:after="0"/>
              <w:rPr>
                <w:sz w:val="20"/>
                <w:szCs w:val="20"/>
                <w:color w:val="auto"/>
              </w:rPr>
            </w:pPr>
            <w:r>
              <w:rPr>
                <w:rFonts w:ascii="Arial" w:cs="Arial" w:eastAsia="Arial" w:hAnsi="Arial"/>
                <w:sz w:val="16"/>
                <w:szCs w:val="16"/>
                <w:color w:val="auto"/>
              </w:rPr>
              <w:t>Exchange rate differences and related hedging results</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(7,092)</w:t>
            </w: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5,509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(1,271)</w:t>
            </w:r>
          </w:p>
        </w:tc>
        <w:tc>
          <w:tcPr>
            <w:tcW w:w="0" w:type="dxa"/>
            <w:vAlign w:val="bottom"/>
          </w:tcPr>
          <w:p>
            <w:pPr>
              <w:spacing w:after="0"/>
              <w:rPr>
                <w:sz w:val="1"/>
                <w:szCs w:val="1"/>
                <w:color w:val="auto"/>
              </w:rPr>
            </w:pPr>
          </w:p>
        </w:tc>
      </w:tr>
      <w:tr>
        <w:trPr>
          <w:trHeight w:val="222"/>
        </w:trPr>
        <w:tc>
          <w:tcPr>
            <w:tcW w:w="98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Bank fees and others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(2,064)</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(1,544)</w:t>
            </w:r>
          </w:p>
        </w:tc>
        <w:tc>
          <w:tcPr>
            <w:tcW w:w="0" w:type="dxa"/>
            <w:vAlign w:val="bottom"/>
          </w:tcPr>
          <w:p>
            <w:pPr>
              <w:spacing w:after="0"/>
              <w:rPr>
                <w:sz w:val="1"/>
                <w:szCs w:val="1"/>
                <w:color w:val="auto"/>
              </w:rPr>
            </w:pPr>
          </w:p>
        </w:tc>
      </w:tr>
      <w:tr>
        <w:trPr>
          <w:trHeight w:val="25"/>
        </w:trPr>
        <w:tc>
          <w:tcPr>
            <w:tcW w:w="980" w:type="dxa"/>
            <w:vAlign w:val="bottom"/>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98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(12,873)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2,870</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380" w:type="dxa"/>
            <w:vAlign w:val="bottom"/>
            <w:vMerge w:val="restart"/>
          </w:tcPr>
          <w:p>
            <w:pPr>
              <w:ind w:left="4440"/>
              <w:spacing w:after="0"/>
              <w:rPr>
                <w:sz w:val="20"/>
                <w:szCs w:val="20"/>
                <w:color w:val="auto"/>
              </w:rPr>
            </w:pPr>
            <w:r>
              <w:rPr>
                <w:rFonts w:ascii="Arial" w:cs="Arial" w:eastAsia="Arial" w:hAnsi="Arial"/>
                <w:sz w:val="16"/>
                <w:szCs w:val="16"/>
                <w:color w:val="auto"/>
              </w:rPr>
              <w:t>F - 43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80" w:type="dxa"/>
            <w:vAlign w:val="bottom"/>
          </w:tcPr>
          <w:p>
            <w:pPr>
              <w:spacing w:after="0"/>
              <w:rPr>
                <w:sz w:val="24"/>
                <w:szCs w:val="24"/>
                <w:color w:val="auto"/>
              </w:rPr>
            </w:pPr>
          </w:p>
        </w:tc>
        <w:tc>
          <w:tcPr>
            <w:tcW w:w="63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Borders>
              <w:bottom w:val="single" w:sz="8" w:color="EEEEEE"/>
            </w:tcBorders>
          </w:tcPr>
          <w:p>
            <w:pPr>
              <w:spacing w:after="0"/>
              <w:rPr>
                <w:sz w:val="19"/>
                <w:szCs w:val="19"/>
                <w:color w:val="auto"/>
              </w:rPr>
            </w:pPr>
          </w:p>
        </w:tc>
        <w:tc>
          <w:tcPr>
            <w:tcW w:w="638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90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88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88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-35560</wp:posOffset>
            </wp:positionV>
            <wp:extent cx="7169785" cy="488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80" w:type="dxa"/>
            <w:vAlign w:val="bottom"/>
            <w:gridSpan w:val="4"/>
          </w:tcPr>
          <w:p>
            <w:pPr>
              <w:spacing w:after="0"/>
              <w:rPr>
                <w:sz w:val="20"/>
                <w:szCs w:val="20"/>
                <w:color w:val="auto"/>
              </w:rPr>
            </w:pPr>
            <w:r>
              <w:rPr>
                <w:rFonts w:ascii="Arial" w:cs="Arial" w:eastAsia="Arial" w:hAnsi="Arial"/>
                <w:sz w:val="16"/>
                <w:szCs w:val="16"/>
                <w:b w:val="1"/>
                <w:bCs w:val="1"/>
                <w:color w:val="auto"/>
              </w:rPr>
              <w:t>NOTE 18:   RELATED PARTIES BALANCES AND TRANSACTIONS</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9"/>
        </w:trPr>
        <w:tc>
          <w:tcPr>
            <w:tcW w:w="1220" w:type="dxa"/>
            <w:vAlign w:val="bottom"/>
          </w:tcPr>
          <w:p>
            <w:pPr>
              <w:ind w:left="980"/>
              <w:spacing w:after="0"/>
              <w:rPr>
                <w:sz w:val="20"/>
                <w:szCs w:val="20"/>
                <w:color w:val="auto"/>
              </w:rPr>
            </w:pPr>
            <w:r>
              <w:rPr>
                <w:rFonts w:ascii="Arial" w:cs="Arial" w:eastAsia="Arial" w:hAnsi="Arial"/>
                <w:sz w:val="16"/>
                <w:szCs w:val="16"/>
                <w:b w:val="1"/>
                <w:bCs w:val="1"/>
                <w:color w:val="auto"/>
              </w:rPr>
              <w:t>A.</w:t>
            </w:r>
          </w:p>
        </w:tc>
        <w:tc>
          <w:tcPr>
            <w:tcW w:w="2360" w:type="dxa"/>
            <w:vAlign w:val="bottom"/>
            <w:gridSpan w:val="2"/>
          </w:tcPr>
          <w:p>
            <w:pPr>
              <w:ind w:left="80"/>
              <w:spacing w:after="0"/>
              <w:rPr>
                <w:sz w:val="20"/>
                <w:szCs w:val="20"/>
                <w:color w:val="auto"/>
              </w:rPr>
            </w:pPr>
            <w:r>
              <w:rPr>
                <w:rFonts w:ascii="Arial" w:cs="Arial" w:eastAsia="Arial" w:hAnsi="Arial"/>
                <w:sz w:val="16"/>
                <w:szCs w:val="16"/>
                <w:b w:val="1"/>
                <w:bCs w:val="1"/>
                <w:color w:val="auto"/>
              </w:rPr>
              <w:t>Balance</w:t>
            </w:r>
          </w:p>
        </w:tc>
        <w:tc>
          <w:tcPr>
            <w:tcW w:w="4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1220" w:type="dxa"/>
            <w:vAlign w:val="bottom"/>
          </w:tcPr>
          <w:p>
            <w:pPr>
              <w:spacing w:after="0"/>
              <w:rPr>
                <w:sz w:val="24"/>
                <w:szCs w:val="24"/>
                <w:color w:val="auto"/>
              </w:rPr>
            </w:pPr>
          </w:p>
        </w:tc>
        <w:tc>
          <w:tcPr>
            <w:tcW w:w="6760" w:type="dxa"/>
            <w:vAlign w:val="bottom"/>
            <w:gridSpan w:val="3"/>
          </w:tcPr>
          <w:p>
            <w:pPr>
              <w:ind w:left="60"/>
              <w:spacing w:after="0"/>
              <w:rPr>
                <w:sz w:val="20"/>
                <w:szCs w:val="20"/>
                <w:color w:val="auto"/>
              </w:rPr>
            </w:pPr>
            <w:r>
              <w:rPr>
                <w:rFonts w:ascii="Arial" w:cs="Arial" w:eastAsia="Arial" w:hAnsi="Arial"/>
                <w:sz w:val="16"/>
                <w:szCs w:val="16"/>
                <w:color w:val="auto"/>
              </w:rPr>
              <w:t>The nature of the relationship involved as of December 31, 2021 and 2020:</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0"/>
        </w:trPr>
        <w:tc>
          <w:tcPr>
            <w:tcW w:w="1220" w:type="dxa"/>
            <w:vAlign w:val="bottom"/>
          </w:tcPr>
          <w:p>
            <w:pPr>
              <w:spacing w:after="0"/>
              <w:rPr>
                <w:sz w:val="24"/>
                <w:szCs w:val="24"/>
                <w:color w:val="auto"/>
              </w:rPr>
            </w:pPr>
          </w:p>
        </w:tc>
        <w:tc>
          <w:tcPr>
            <w:tcW w:w="2360" w:type="dxa"/>
            <w:vAlign w:val="bottom"/>
            <w:gridSpan w:val="2"/>
          </w:tcPr>
          <w:p>
            <w:pPr>
              <w:ind w:left="80"/>
              <w:spacing w:after="0"/>
              <w:rPr>
                <w:sz w:val="20"/>
                <w:szCs w:val="20"/>
                <w:color w:val="auto"/>
              </w:rPr>
            </w:pPr>
            <w:r>
              <w:rPr>
                <w:rFonts w:ascii="Arial" w:cs="Arial" w:eastAsia="Arial" w:hAnsi="Arial"/>
                <w:sz w:val="16"/>
                <w:szCs w:val="16"/>
                <w:color w:val="auto"/>
              </w:rPr>
              <w:t>Details</w:t>
            </w:r>
          </w:p>
        </w:tc>
        <w:tc>
          <w:tcPr>
            <w:tcW w:w="4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4"/>
                <w:szCs w:val="24"/>
                <w:color w:val="auto"/>
              </w:rPr>
            </w:pPr>
          </w:p>
        </w:tc>
      </w:tr>
      <w:tr>
        <w:trPr>
          <w:trHeight w:val="221"/>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Long-term investment</w:t>
            </w:r>
          </w:p>
        </w:tc>
        <w:tc>
          <w:tcPr>
            <w:tcW w:w="4400" w:type="dxa"/>
            <w:vAlign w:val="bottom"/>
            <w:shd w:val="clear" w:color="auto" w:fill="CCEEFF"/>
          </w:tcPr>
          <w:p>
            <w:pPr>
              <w:ind w:left="820"/>
              <w:spacing w:after="0"/>
              <w:rPr>
                <w:sz w:val="20"/>
                <w:szCs w:val="20"/>
                <w:color w:val="auto"/>
              </w:rPr>
            </w:pPr>
            <w:r>
              <w:rPr>
                <w:rFonts w:ascii="Arial" w:cs="Arial" w:eastAsia="Arial" w:hAnsi="Arial"/>
                <w:sz w:val="16"/>
                <w:szCs w:val="16"/>
                <w:color w:val="auto"/>
              </w:rPr>
              <w:t>Equity investment in a limited partnership</w:t>
            </w:r>
          </w:p>
        </w:tc>
        <w:tc>
          <w:tcPr>
            <w:tcW w:w="1600" w:type="dxa"/>
            <w:vAlign w:val="bottom"/>
            <w:gridSpan w:val="2"/>
            <w:shd w:val="clear" w:color="auto" w:fill="CCEEFF"/>
          </w:tcPr>
          <w:p>
            <w:pPr>
              <w:jc w:val="right"/>
              <w:ind w:right="63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r>
      <w:tr>
        <w:trPr>
          <w:trHeight w:val="368"/>
        </w:trPr>
        <w:tc>
          <w:tcPr>
            <w:tcW w:w="1220" w:type="dxa"/>
            <w:vAlign w:val="bottom"/>
          </w:tcPr>
          <w:p>
            <w:pPr>
              <w:ind w:left="980"/>
              <w:spacing w:after="0"/>
              <w:rPr>
                <w:sz w:val="20"/>
                <w:szCs w:val="20"/>
                <w:color w:val="auto"/>
              </w:rPr>
            </w:pPr>
            <w:r>
              <w:rPr>
                <w:rFonts w:ascii="Arial" w:cs="Arial" w:eastAsia="Arial" w:hAnsi="Arial"/>
                <w:sz w:val="16"/>
                <w:szCs w:val="16"/>
                <w:b w:val="1"/>
                <w:bCs w:val="1"/>
                <w:color w:val="auto"/>
              </w:rPr>
              <w:t>B.</w:t>
            </w:r>
          </w:p>
        </w:tc>
        <w:tc>
          <w:tcPr>
            <w:tcW w:w="2360" w:type="dxa"/>
            <w:vAlign w:val="bottom"/>
            <w:gridSpan w:val="2"/>
          </w:tcPr>
          <w:p>
            <w:pPr>
              <w:ind w:left="80"/>
              <w:spacing w:after="0"/>
              <w:rPr>
                <w:sz w:val="20"/>
                <w:szCs w:val="20"/>
                <w:color w:val="auto"/>
              </w:rPr>
            </w:pPr>
            <w:r>
              <w:rPr>
                <w:rFonts w:ascii="Arial" w:cs="Arial" w:eastAsia="Arial" w:hAnsi="Arial"/>
                <w:sz w:val="16"/>
                <w:szCs w:val="16"/>
                <w:b w:val="1"/>
                <w:bCs w:val="1"/>
                <w:color w:val="auto"/>
              </w:rPr>
              <w:t>Transactions</w:t>
            </w:r>
          </w:p>
        </w:tc>
        <w:tc>
          <w:tcPr>
            <w:tcW w:w="4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6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Description of the transactions for the years ended December 31, 2021, 2020 and 2019:</w:t>
      </w:r>
    </w:p>
    <w:p>
      <w:pPr>
        <w:sectPr>
          <w:pgSz w:w="11900" w:h="16838" w:orient="portrait"/>
          <w:cols w:equalWidth="0" w:num="1">
            <w:col w:w="11240"/>
          </w:cols>
          <w:pgMar w:left="320" w:top="271" w:right="339" w:bottom="1440" w:gutter="0" w:footer="0" w:header="0"/>
        </w:sectPr>
      </w:pP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Details</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General and administrative expense</w:t>
      </w:r>
    </w:p>
    <w:p>
      <w:pPr>
        <w:spacing w:after="0" w:line="232" w:lineRule="exact"/>
        <w:rPr>
          <w:sz w:val="20"/>
          <w:szCs w:val="20"/>
          <w:color w:val="auto"/>
        </w:rPr>
      </w:pPr>
    </w:p>
    <w:p>
      <w:pPr>
        <w:jc w:val="center"/>
        <w:ind w:left="780"/>
        <w:spacing w:after="0"/>
        <w:rPr>
          <w:sz w:val="20"/>
          <w:szCs w:val="20"/>
          <w:color w:val="auto"/>
        </w:rPr>
      </w:pPr>
      <w:r>
        <w:rPr>
          <w:rFonts w:ascii="Arial" w:cs="Arial" w:eastAsia="Arial" w:hAnsi="Arial"/>
          <w:sz w:val="14"/>
          <w:szCs w:val="14"/>
          <w:color w:val="auto"/>
        </w:rPr>
        <w:t>Other income (expense), net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3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Description of the transactions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000" w:type="dxa"/>
            <w:vAlign w:val="bottom"/>
          </w:tcPr>
          <w:p>
            <w:pPr>
              <w:spacing w:after="0"/>
              <w:rPr>
                <w:sz w:val="20"/>
                <w:szCs w:val="20"/>
                <w:color w:val="auto"/>
              </w:rPr>
            </w:pPr>
            <w:r>
              <w:rPr>
                <w:rFonts w:ascii="Arial" w:cs="Arial" w:eastAsia="Arial" w:hAnsi="Arial"/>
                <w:sz w:val="16"/>
                <w:szCs w:val="16"/>
                <w:color w:val="auto"/>
              </w:rPr>
              <w:t>Directors’ fees and reimbursement to</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00" w:type="dxa"/>
            <w:vAlign w:val="bottom"/>
          </w:tcPr>
          <w:p>
            <w:pPr>
              <w:spacing w:after="0"/>
              <w:rPr>
                <w:sz w:val="20"/>
                <w:szCs w:val="20"/>
                <w:color w:val="auto"/>
              </w:rPr>
            </w:pPr>
            <w:r>
              <w:rPr>
                <w:rFonts w:ascii="Arial" w:cs="Arial" w:eastAsia="Arial" w:hAnsi="Arial"/>
                <w:sz w:val="16"/>
                <w:szCs w:val="16"/>
                <w:color w:val="auto"/>
              </w:rPr>
              <w:t>directors</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771</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787</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0" w:type="dxa"/>
            <w:vAlign w:val="bottom"/>
          </w:tcPr>
          <w:p>
            <w:pPr>
              <w:spacing w:after="0"/>
              <w:rPr>
                <w:sz w:val="20"/>
                <w:szCs w:val="20"/>
                <w:color w:val="auto"/>
              </w:rPr>
            </w:pPr>
            <w:r>
              <w:rPr>
                <w:rFonts w:ascii="Arial" w:cs="Arial" w:eastAsia="Arial" w:hAnsi="Arial"/>
                <w:sz w:val="16"/>
                <w:szCs w:val="16"/>
                <w:color w:val="auto"/>
                <w:w w:val="94"/>
              </w:rPr>
              <w:t>Non-controlling interest income (loss) from a</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(55</w:t>
            </w: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8"/>
        </w:trPr>
        <w:tc>
          <w:tcPr>
            <w:tcW w:w="3000" w:type="dxa"/>
            <w:vAlign w:val="bottom"/>
          </w:tcPr>
          <w:p>
            <w:pPr>
              <w:spacing w:after="0"/>
              <w:rPr>
                <w:sz w:val="20"/>
                <w:szCs w:val="20"/>
                <w:color w:val="auto"/>
              </w:rPr>
            </w:pPr>
            <w:r>
              <w:rPr>
                <w:rFonts w:ascii="Arial" w:cs="Arial" w:eastAsia="Arial" w:hAnsi="Arial"/>
                <w:sz w:val="16"/>
                <w:szCs w:val="16"/>
                <w:color w:val="auto"/>
              </w:rPr>
              <w:t>limited partnership</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3000" w:type="dxa"/>
            <w:vAlign w:val="bottom"/>
          </w:tcPr>
          <w:p>
            <w:pPr>
              <w:ind w:left="1020"/>
              <w:spacing w:after="0"/>
              <w:rPr>
                <w:sz w:val="20"/>
                <w:szCs w:val="20"/>
                <w:color w:val="auto"/>
              </w:rPr>
            </w:pPr>
            <w:r>
              <w:rPr>
                <w:rFonts w:ascii="Arial" w:cs="Arial" w:eastAsia="Arial" w:hAnsi="Arial"/>
                <w:sz w:val="16"/>
                <w:szCs w:val="16"/>
                <w:color w:val="auto"/>
              </w:rPr>
              <w:t>F - 44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-724535</wp:posOffset>
            </wp:positionV>
            <wp:extent cx="6309360" cy="2495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309360" cy="24955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113030</wp:posOffset>
            </wp:positionV>
            <wp:extent cx="7169785" cy="488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2">
            <w:col w:w="3680" w:space="720"/>
            <w:col w:w="6840"/>
          </w:cols>
          <w:pgMar w:left="320" w:top="271" w:right="3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19:</w:t>
        <w:tab/>
        <w:t>INCOME TAXES</w:t>
      </w:r>
    </w:p>
    <w:p>
      <w:pPr>
        <w:spacing w:after="0" w:line="185" w:lineRule="exact"/>
        <w:rPr>
          <w:sz w:val="20"/>
          <w:szCs w:val="20"/>
          <w:color w:val="auto"/>
        </w:rPr>
      </w:pPr>
    </w:p>
    <w:p>
      <w:pPr>
        <w:ind w:left="1300" w:hanging="318"/>
        <w:spacing w:after="0"/>
        <w:tabs>
          <w:tab w:leader="none" w:pos="130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Tower Statutory Income Rates</w:t>
      </w:r>
    </w:p>
    <w:p>
      <w:pPr>
        <w:spacing w:after="0" w:line="201" w:lineRule="exact"/>
        <w:rPr>
          <w:rFonts w:ascii="Arial" w:cs="Arial" w:eastAsia="Arial" w:hAnsi="Arial"/>
          <w:sz w:val="16"/>
          <w:szCs w:val="16"/>
          <w:b w:val="1"/>
          <w:bCs w:val="1"/>
          <w:color w:val="auto"/>
        </w:rPr>
      </w:pPr>
    </w:p>
    <w:p>
      <w:pPr>
        <w:ind w:left="130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Substantially all of Tower’s existing facilities and other capital investments made through 2012 have been granted approved enterprise status, as provided by the Law for the Encouragement of Capital Investment in Israel (“Investments Law”).</w:t>
      </w:r>
    </w:p>
    <w:p>
      <w:pPr>
        <w:spacing w:after="0" w:line="136" w:lineRule="exact"/>
        <w:rPr>
          <w:rFonts w:ascii="Arial" w:cs="Arial" w:eastAsia="Arial" w:hAnsi="Arial"/>
          <w:sz w:val="16"/>
          <w:szCs w:val="16"/>
          <w:b w:val="1"/>
          <w:bCs w:val="1"/>
          <w:color w:val="auto"/>
        </w:rPr>
      </w:pPr>
    </w:p>
    <w:p>
      <w:pPr>
        <w:ind w:left="130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Tower, as an Israeli industrial company located in Migdal Ha’emek, may elect the Preferred Enterprise regime to apply to it under the Investment Law. The election is irrevocable.</w:t>
      </w:r>
    </w:p>
    <w:p>
      <w:pPr>
        <w:spacing w:after="0" w:line="124" w:lineRule="exact"/>
        <w:rPr>
          <w:rFonts w:ascii="Arial" w:cs="Arial" w:eastAsia="Arial" w:hAnsi="Arial"/>
          <w:sz w:val="16"/>
          <w:szCs w:val="16"/>
          <w:b w:val="1"/>
          <w:bCs w:val="1"/>
          <w:color w:val="auto"/>
        </w:rPr>
      </w:pPr>
    </w:p>
    <w:p>
      <w:pPr>
        <w:ind w:left="130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Under the Preferred Enterprise regime, Tower’s entire preferred income is subject to the tax rate of 7.5%. Any portion of Tower’s Israeli taxable income that is not eligible for Preferred Enterprise benefits, if at all, shall be taxed at the regular corporate tax rate of 23%.</w:t>
      </w:r>
    </w:p>
    <w:p>
      <w:pPr>
        <w:spacing w:after="0" w:line="132" w:lineRule="exact"/>
        <w:rPr>
          <w:rFonts w:ascii="Arial" w:cs="Arial" w:eastAsia="Arial" w:hAnsi="Arial"/>
          <w:sz w:val="16"/>
          <w:szCs w:val="16"/>
          <w:b w:val="1"/>
          <w:bCs w:val="1"/>
          <w:color w:val="auto"/>
        </w:rPr>
      </w:pPr>
    </w:p>
    <w:p>
      <w:pPr>
        <w:ind w:left="1300" w:hanging="318"/>
        <w:spacing w:after="0"/>
        <w:tabs>
          <w:tab w:leader="none" w:pos="130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 Provision</w:t>
      </w:r>
    </w:p>
    <w:p>
      <w:pPr>
        <w:spacing w:after="0" w:line="201" w:lineRule="exact"/>
        <w:rPr>
          <w:rFonts w:ascii="Arial" w:cs="Arial" w:eastAsia="Arial" w:hAnsi="Arial"/>
          <w:sz w:val="16"/>
          <w:szCs w:val="16"/>
          <w:b w:val="1"/>
          <w:bCs w:val="1"/>
          <w:color w:val="auto"/>
        </w:rPr>
      </w:pPr>
    </w:p>
    <w:p>
      <w:pPr>
        <w:jc w:val="both"/>
        <w:ind w:left="1300"/>
        <w:spacing w:after="0" w:line="267" w:lineRule="auto"/>
        <w:rPr>
          <w:rFonts w:ascii="Arial" w:cs="Arial" w:eastAsia="Arial" w:hAnsi="Arial"/>
          <w:sz w:val="16"/>
          <w:szCs w:val="16"/>
          <w:b w:val="1"/>
          <w:bCs w:val="1"/>
          <w:color w:val="auto"/>
        </w:rPr>
      </w:pPr>
      <w:r>
        <w:rPr>
          <w:rFonts w:ascii="Arial" w:cs="Arial" w:eastAsia="Arial" w:hAnsi="Arial"/>
          <w:sz w:val="16"/>
          <w:szCs w:val="16"/>
          <w:color w:val="auto"/>
        </w:rPr>
        <w:t>The Company's provision for income taxes is affected by income taxes in a multinational tax environment. The income tax provision is an estimate determined based on current enacted tax laws and tax rates at each of its geographic locations, with the use of acceptable allocation methodologies based upon the Company’s organizational structure, operations and business mode of work, and result in applicable local taxable income attributable to those locations.</w:t>
      </w:r>
    </w:p>
    <w:p>
      <w:pPr>
        <w:spacing w:after="0" w:line="140"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6"/>
          <w:szCs w:val="16"/>
          <w:color w:val="auto"/>
        </w:rPr>
        <w:t>The Company’s income tax provision is consisted of the following for the years ended December 31, 2021, 2020 and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00" w:type="dxa"/>
            <w:vAlign w:val="bottom"/>
            <w:gridSpan w:val="2"/>
          </w:tcPr>
          <w:p>
            <w:pPr>
              <w:ind w:left="1300"/>
              <w:spacing w:after="0"/>
              <w:rPr>
                <w:sz w:val="20"/>
                <w:szCs w:val="20"/>
                <w:color w:val="auto"/>
              </w:rPr>
            </w:pPr>
            <w:r>
              <w:rPr>
                <w:rFonts w:ascii="Arial" w:cs="Arial" w:eastAsia="Arial" w:hAnsi="Arial"/>
                <w:sz w:val="16"/>
                <w:szCs w:val="16"/>
                <w:color w:val="auto"/>
              </w:rPr>
              <w:t>Details</w:t>
            </w:r>
          </w:p>
        </w:tc>
        <w:tc>
          <w:tcPr>
            <w:tcW w:w="3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r>
      <w:tr>
        <w:trPr>
          <w:trHeight w:val="221"/>
        </w:trPr>
        <w:tc>
          <w:tcPr>
            <w:tcW w:w="132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Current tax expense:</w:t>
            </w:r>
          </w:p>
        </w:tc>
        <w:tc>
          <w:tcPr>
            <w:tcW w:w="3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1"/>
        </w:trPr>
        <w:tc>
          <w:tcPr>
            <w:tcW w:w="1320" w:type="dxa"/>
            <w:vAlign w:val="bottom"/>
          </w:tcPr>
          <w:p>
            <w:pPr>
              <w:spacing w:after="0"/>
              <w:rPr>
                <w:sz w:val="19"/>
                <w:szCs w:val="19"/>
                <w:color w:val="auto"/>
              </w:rPr>
            </w:pPr>
          </w:p>
        </w:tc>
        <w:tc>
          <w:tcPr>
            <w:tcW w:w="3080" w:type="dxa"/>
            <w:vAlign w:val="bottom"/>
          </w:tcPr>
          <w:p>
            <w:pPr>
              <w:ind w:left="120"/>
              <w:spacing w:after="0"/>
              <w:rPr>
                <w:sz w:val="20"/>
                <w:szCs w:val="20"/>
                <w:color w:val="auto"/>
              </w:rPr>
            </w:pPr>
            <w:r>
              <w:rPr>
                <w:rFonts w:ascii="Arial" w:cs="Arial" w:eastAsia="Arial" w:hAnsi="Arial"/>
                <w:sz w:val="16"/>
                <w:szCs w:val="16"/>
                <w:color w:val="auto"/>
              </w:rPr>
              <w:t>Foreign</w:t>
            </w:r>
          </w:p>
        </w:tc>
        <w:tc>
          <w:tcPr>
            <w:tcW w:w="332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13,504</w:t>
            </w:r>
          </w:p>
        </w:tc>
        <w:tc>
          <w:tcPr>
            <w:tcW w:w="1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2,232</w:t>
            </w:r>
          </w:p>
        </w:tc>
        <w:tc>
          <w:tcPr>
            <w:tcW w:w="1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19"/>
                <w:szCs w:val="19"/>
                <w:color w:val="auto"/>
              </w:rPr>
            </w:pPr>
          </w:p>
        </w:tc>
      </w:tr>
      <w:tr>
        <w:trPr>
          <w:trHeight w:val="222"/>
        </w:trPr>
        <w:tc>
          <w:tcPr>
            <w:tcW w:w="132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Deferred tax expense (benefit):</w:t>
            </w:r>
          </w:p>
        </w:tc>
        <w:tc>
          <w:tcPr>
            <w:tcW w:w="3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1"/>
        </w:trPr>
        <w:tc>
          <w:tcPr>
            <w:tcW w:w="1320" w:type="dxa"/>
            <w:vAlign w:val="bottom"/>
          </w:tcPr>
          <w:p>
            <w:pPr>
              <w:spacing w:after="0"/>
              <w:rPr>
                <w:sz w:val="19"/>
                <w:szCs w:val="19"/>
                <w:color w:val="auto"/>
              </w:rPr>
            </w:pPr>
          </w:p>
        </w:tc>
        <w:tc>
          <w:tcPr>
            <w:tcW w:w="3080" w:type="dxa"/>
            <w:vAlign w:val="bottom"/>
          </w:tcPr>
          <w:p>
            <w:pPr>
              <w:ind w:left="120"/>
              <w:spacing w:after="0"/>
              <w:rPr>
                <w:sz w:val="20"/>
                <w:szCs w:val="20"/>
                <w:color w:val="auto"/>
              </w:rPr>
            </w:pPr>
            <w:r>
              <w:rPr>
                <w:rFonts w:ascii="Arial" w:cs="Arial" w:eastAsia="Arial" w:hAnsi="Arial"/>
                <w:sz w:val="16"/>
                <w:szCs w:val="16"/>
                <w:color w:val="auto"/>
              </w:rPr>
              <w:t>Local</w:t>
            </w: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7,098</w:t>
            </w:r>
          </w:p>
        </w:tc>
        <w:tc>
          <w:tcPr>
            <w:tcW w:w="100" w:type="dxa"/>
            <w:vAlign w:val="bottom"/>
          </w:tcPr>
          <w:p>
            <w:pPr>
              <w:spacing w:after="0"/>
              <w:rPr>
                <w:sz w:val="19"/>
                <w:szCs w:val="19"/>
                <w:color w:val="auto"/>
              </w:rPr>
            </w:pPr>
          </w:p>
        </w:tc>
      </w:tr>
      <w:tr>
        <w:trPr>
          <w:trHeight w:val="222"/>
        </w:trPr>
        <w:tc>
          <w:tcPr>
            <w:tcW w:w="1320" w:type="dxa"/>
            <w:vAlign w:val="bottom"/>
          </w:tcPr>
          <w:p>
            <w:pPr>
              <w:spacing w:after="0"/>
              <w:rPr>
                <w:sz w:val="19"/>
                <w:szCs w:val="19"/>
                <w:color w:val="auto"/>
              </w:rPr>
            </w:pPr>
          </w:p>
        </w:tc>
        <w:tc>
          <w:tcPr>
            <w:tcW w:w="3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w:t>
            </w:r>
          </w:p>
        </w:tc>
        <w:tc>
          <w:tcPr>
            <w:tcW w:w="3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(14,998)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(5,163)</w:t>
            </w:r>
          </w:p>
        </w:tc>
      </w:tr>
      <w:tr>
        <w:trPr>
          <w:trHeight w:val="25"/>
        </w:trPr>
        <w:tc>
          <w:tcPr>
            <w:tcW w:w="1320" w:type="dxa"/>
            <w:vAlign w:val="bottom"/>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7"/>
        </w:trPr>
        <w:tc>
          <w:tcPr>
            <w:tcW w:w="4400" w:type="dxa"/>
            <w:vAlign w:val="bottom"/>
            <w:gridSpan w:val="2"/>
          </w:tcPr>
          <w:p>
            <w:pPr>
              <w:ind w:left="1300"/>
              <w:spacing w:after="0"/>
              <w:rPr>
                <w:sz w:val="20"/>
                <w:szCs w:val="20"/>
                <w:color w:val="auto"/>
              </w:rPr>
            </w:pPr>
            <w:r>
              <w:rPr>
                <w:rFonts w:ascii="Arial" w:cs="Arial" w:eastAsia="Arial" w:hAnsi="Arial"/>
                <w:sz w:val="16"/>
                <w:szCs w:val="16"/>
                <w:color w:val="auto"/>
              </w:rPr>
              <w:t>Income tax expense:</w:t>
            </w:r>
          </w:p>
        </w:tc>
        <w:tc>
          <w:tcPr>
            <w:tcW w:w="332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1,024</w:t>
            </w:r>
          </w:p>
        </w:tc>
        <w:tc>
          <w:tcPr>
            <w:tcW w:w="1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5,399</w:t>
            </w:r>
          </w:p>
        </w:tc>
        <w:tc>
          <w:tcPr>
            <w:tcW w:w="1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2,948</w:t>
            </w:r>
          </w:p>
        </w:tc>
        <w:tc>
          <w:tcPr>
            <w:tcW w:w="100" w:type="dxa"/>
            <w:vAlign w:val="bottom"/>
          </w:tcPr>
          <w:p>
            <w:pPr>
              <w:spacing w:after="0"/>
              <w:rPr>
                <w:sz w:val="17"/>
                <w:szCs w:val="17"/>
                <w:color w:val="auto"/>
              </w:rPr>
            </w:pPr>
          </w:p>
        </w:tc>
      </w:tr>
      <w:tr>
        <w:trPr>
          <w:trHeight w:val="20"/>
        </w:trPr>
        <w:tc>
          <w:tcPr>
            <w:tcW w:w="44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8"/>
        </w:trPr>
        <w:tc>
          <w:tcPr>
            <w:tcW w:w="4400" w:type="dxa"/>
            <w:vAlign w:val="bottom"/>
            <w:gridSpan w:val="2"/>
          </w:tcPr>
          <w:p>
            <w:pPr>
              <w:ind w:left="1300"/>
              <w:spacing w:after="0"/>
              <w:rPr>
                <w:sz w:val="20"/>
                <w:szCs w:val="20"/>
                <w:color w:val="auto"/>
              </w:rPr>
            </w:pPr>
            <w:r>
              <w:rPr>
                <w:rFonts w:ascii="Arial" w:cs="Arial" w:eastAsia="Arial" w:hAnsi="Arial"/>
                <w:sz w:val="16"/>
                <w:szCs w:val="16"/>
                <w:color w:val="auto"/>
              </w:rPr>
              <w:t>Details</w:t>
            </w:r>
          </w:p>
        </w:tc>
        <w:tc>
          <w:tcPr>
            <w:tcW w:w="3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4"/>
                <w:szCs w:val="24"/>
                <w:color w:val="auto"/>
              </w:rPr>
            </w:pPr>
          </w:p>
        </w:tc>
      </w:tr>
      <w:tr>
        <w:trPr>
          <w:trHeight w:val="221"/>
        </w:trPr>
        <w:tc>
          <w:tcPr>
            <w:tcW w:w="132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Profit (loss) before taxes:</w:t>
            </w:r>
          </w:p>
        </w:tc>
        <w:tc>
          <w:tcPr>
            <w:tcW w:w="3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1"/>
        </w:trPr>
        <w:tc>
          <w:tcPr>
            <w:tcW w:w="1320" w:type="dxa"/>
            <w:vAlign w:val="bottom"/>
          </w:tcPr>
          <w:p>
            <w:pPr>
              <w:spacing w:after="0"/>
              <w:rPr>
                <w:sz w:val="19"/>
                <w:szCs w:val="19"/>
                <w:color w:val="auto"/>
              </w:rPr>
            </w:pPr>
          </w:p>
        </w:tc>
        <w:tc>
          <w:tcPr>
            <w:tcW w:w="3080" w:type="dxa"/>
            <w:vAlign w:val="bottom"/>
          </w:tcPr>
          <w:p>
            <w:pPr>
              <w:ind w:left="120"/>
              <w:spacing w:after="0"/>
              <w:rPr>
                <w:sz w:val="20"/>
                <w:szCs w:val="20"/>
                <w:color w:val="auto"/>
              </w:rPr>
            </w:pPr>
            <w:r>
              <w:rPr>
                <w:rFonts w:ascii="Arial" w:cs="Arial" w:eastAsia="Arial" w:hAnsi="Arial"/>
                <w:sz w:val="16"/>
                <w:szCs w:val="16"/>
                <w:color w:val="auto"/>
              </w:rPr>
              <w:t>Domestic</w:t>
            </w:r>
          </w:p>
        </w:tc>
        <w:tc>
          <w:tcPr>
            <w:tcW w:w="332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166,273</w:t>
            </w:r>
          </w:p>
        </w:tc>
        <w:tc>
          <w:tcPr>
            <w:tcW w:w="1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100,145</w:t>
            </w:r>
          </w:p>
        </w:tc>
        <w:tc>
          <w:tcPr>
            <w:tcW w:w="1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103,432</w:t>
            </w:r>
          </w:p>
        </w:tc>
        <w:tc>
          <w:tcPr>
            <w:tcW w:w="100" w:type="dxa"/>
            <w:vAlign w:val="bottom"/>
          </w:tcPr>
          <w:p>
            <w:pPr>
              <w:spacing w:after="0"/>
              <w:rPr>
                <w:sz w:val="19"/>
                <w:szCs w:val="19"/>
                <w:color w:val="auto"/>
              </w:rPr>
            </w:pPr>
          </w:p>
        </w:tc>
      </w:tr>
      <w:tr>
        <w:trPr>
          <w:trHeight w:val="222"/>
        </w:trPr>
        <w:tc>
          <w:tcPr>
            <w:tcW w:w="1320" w:type="dxa"/>
            <w:vAlign w:val="bottom"/>
          </w:tcPr>
          <w:p>
            <w:pPr>
              <w:spacing w:after="0"/>
              <w:rPr>
                <w:sz w:val="19"/>
                <w:szCs w:val="19"/>
                <w:color w:val="auto"/>
              </w:rPr>
            </w:pPr>
          </w:p>
        </w:tc>
        <w:tc>
          <w:tcPr>
            <w:tcW w:w="3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w:t>
            </w:r>
          </w:p>
        </w:tc>
        <w:tc>
          <w:tcPr>
            <w:tcW w:w="3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(11,174)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(11,457)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(12,411)</w:t>
            </w:r>
          </w:p>
        </w:tc>
      </w:tr>
      <w:tr>
        <w:trPr>
          <w:trHeight w:val="25"/>
        </w:trPr>
        <w:tc>
          <w:tcPr>
            <w:tcW w:w="1320" w:type="dxa"/>
            <w:vAlign w:val="bottom"/>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7"/>
        </w:trPr>
        <w:tc>
          <w:tcPr>
            <w:tcW w:w="4400" w:type="dxa"/>
            <w:vAlign w:val="bottom"/>
            <w:gridSpan w:val="2"/>
          </w:tcPr>
          <w:p>
            <w:pPr>
              <w:ind w:left="1300"/>
              <w:spacing w:after="0"/>
              <w:rPr>
                <w:sz w:val="20"/>
                <w:szCs w:val="20"/>
                <w:color w:val="auto"/>
              </w:rPr>
            </w:pPr>
            <w:r>
              <w:rPr>
                <w:rFonts w:ascii="Arial" w:cs="Arial" w:eastAsia="Arial" w:hAnsi="Arial"/>
                <w:sz w:val="16"/>
                <w:szCs w:val="16"/>
                <w:color w:val="auto"/>
              </w:rPr>
              <w:t>Total profit before taxes</w:t>
            </w:r>
          </w:p>
        </w:tc>
        <w:tc>
          <w:tcPr>
            <w:tcW w:w="308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155,099</w:t>
            </w:r>
          </w:p>
        </w:tc>
        <w:tc>
          <w:tcPr>
            <w:tcW w:w="1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88,688</w:t>
            </w:r>
          </w:p>
        </w:tc>
        <w:tc>
          <w:tcPr>
            <w:tcW w:w="1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91,021</w:t>
            </w:r>
          </w:p>
        </w:tc>
        <w:tc>
          <w:tcPr>
            <w:tcW w:w="10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1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320" w:type="dxa"/>
            <w:vAlign w:val="bottom"/>
            <w:gridSpan w:val="2"/>
          </w:tcPr>
          <w:p>
            <w:pPr>
              <w:jc w:val="right"/>
              <w:ind w:right="1823"/>
              <w:spacing w:after="0"/>
              <w:rPr>
                <w:sz w:val="20"/>
                <w:szCs w:val="20"/>
                <w:color w:val="auto"/>
              </w:rPr>
            </w:pPr>
            <w:r>
              <w:rPr>
                <w:rFonts w:ascii="Arial" w:cs="Arial" w:eastAsia="Arial" w:hAnsi="Arial"/>
                <w:sz w:val="16"/>
                <w:szCs w:val="16"/>
                <w:color w:val="auto"/>
              </w:rPr>
              <w:t>F - 45</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320" w:type="dxa"/>
            <w:vAlign w:val="bottom"/>
            <w:tcBorders>
              <w:bottom w:val="single" w:sz="8" w:color="EEEEEE"/>
            </w:tcBorders>
          </w:tcPr>
          <w:p>
            <w:pPr>
              <w:spacing w:after="0"/>
              <w:rPr>
                <w:sz w:val="19"/>
                <w:szCs w:val="19"/>
                <w:color w:val="auto"/>
              </w:rPr>
            </w:pPr>
          </w:p>
        </w:tc>
        <w:tc>
          <w:tcPr>
            <w:tcW w:w="3080" w:type="dxa"/>
            <w:vAlign w:val="bottom"/>
            <w:tcBorders>
              <w:bottom w:val="single" w:sz="8" w:color="EEEEEE"/>
            </w:tcBorders>
          </w:tcPr>
          <w:p>
            <w:pPr>
              <w:spacing w:after="0"/>
              <w:rPr>
                <w:sz w:val="19"/>
                <w:szCs w:val="19"/>
                <w:color w:val="auto"/>
              </w:rPr>
            </w:pPr>
          </w:p>
        </w:tc>
        <w:tc>
          <w:tcPr>
            <w:tcW w:w="308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86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86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86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-35560</wp:posOffset>
            </wp:positionV>
            <wp:extent cx="7169785" cy="488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NOTE 19:</w:t>
      </w:r>
      <w:r>
        <w:rPr>
          <w:sz w:val="20"/>
          <w:szCs w:val="20"/>
          <w:color w:val="auto"/>
        </w:rPr>
        <w:tab/>
      </w:r>
      <w:r>
        <w:rPr>
          <w:rFonts w:ascii="Arial" w:cs="Arial" w:eastAsia="Arial" w:hAnsi="Arial"/>
          <w:sz w:val="15"/>
          <w:szCs w:val="15"/>
          <w:b w:val="1"/>
          <w:bCs w:val="1"/>
          <w:color w:val="auto"/>
        </w:rPr>
        <w:t>INCOME TAXES (Continued)</w:t>
      </w:r>
    </w:p>
    <w:p>
      <w:pPr>
        <w:spacing w:after="0" w:line="185"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6"/>
          <w:szCs w:val="16"/>
          <w:b w:val="1"/>
          <w:bCs w:val="1"/>
          <w:color w:val="auto"/>
        </w:rPr>
        <w:t>C.</w:t>
      </w:r>
      <w:r>
        <w:rPr>
          <w:sz w:val="20"/>
          <w:szCs w:val="20"/>
          <w:color w:val="auto"/>
        </w:rPr>
        <w:tab/>
      </w:r>
      <w:r>
        <w:rPr>
          <w:rFonts w:ascii="Arial" w:cs="Arial" w:eastAsia="Arial" w:hAnsi="Arial"/>
          <w:sz w:val="14"/>
          <w:szCs w:val="14"/>
          <w:b w:val="1"/>
          <w:bCs w:val="1"/>
          <w:color w:val="auto"/>
        </w:rPr>
        <w:t>Components of Deferred Tax Asset/Liability</w:t>
      </w:r>
    </w:p>
    <w:p>
      <w:pPr>
        <w:spacing w:after="0" w:line="201" w:lineRule="exact"/>
        <w:rPr>
          <w:sz w:val="20"/>
          <w:szCs w:val="20"/>
          <w:color w:val="auto"/>
        </w:rPr>
      </w:pPr>
    </w:p>
    <w:p>
      <w:pPr>
        <w:ind w:left="1300"/>
        <w:spacing w:after="0" w:line="288" w:lineRule="auto"/>
        <w:rPr>
          <w:sz w:val="20"/>
          <w:szCs w:val="20"/>
          <w:color w:val="auto"/>
        </w:rPr>
      </w:pPr>
      <w:r>
        <w:rPr>
          <w:rFonts w:ascii="Arial" w:cs="Arial" w:eastAsia="Arial" w:hAnsi="Arial"/>
          <w:sz w:val="16"/>
          <w:szCs w:val="16"/>
          <w:color w:val="auto"/>
        </w:rPr>
        <w:t>The following is a summary of the components of the deferred tax assets and liabilities reflected in the balance sheets as of the respective dates (*), as of December 31, 2021 and 2020:</w:t>
      </w:r>
    </w:p>
    <w:p>
      <w:pPr>
        <w:spacing w:after="0" w:line="112" w:lineRule="exact"/>
        <w:rPr>
          <w:sz w:val="20"/>
          <w:szCs w:val="20"/>
          <w:color w:val="auto"/>
        </w:rPr>
      </w:pPr>
    </w:p>
    <w:tbl>
      <w:tblPr>
        <w:tblLayout w:type="fixed"/>
        <w:tblInd w:w="1300" w:type="dxa"/>
        <w:tblCellMar>
          <w:top w:w="0" w:type="dxa"/>
          <w:left w:w="0" w:type="dxa"/>
          <w:bottom w:w="0" w:type="dxa"/>
          <w:right w:w="0" w:type="dxa"/>
        </w:tblCellMar>
      </w:tblPr>
      <w:tr>
        <w:trPr>
          <w:trHeight w:val="214"/>
        </w:trPr>
        <w:tc>
          <w:tcPr>
            <w:tcW w:w="5220" w:type="dxa"/>
            <w:vAlign w:val="bottom"/>
            <w:gridSpan w:val="2"/>
          </w:tcPr>
          <w:p>
            <w:pPr>
              <w:spacing w:after="0"/>
              <w:rPr>
                <w:sz w:val="20"/>
                <w:szCs w:val="20"/>
                <w:color w:val="auto"/>
              </w:rPr>
            </w:pPr>
            <w:r>
              <w:rPr>
                <w:rFonts w:ascii="Arial" w:cs="Arial" w:eastAsia="Arial" w:hAnsi="Arial"/>
                <w:sz w:val="16"/>
                <w:szCs w:val="16"/>
                <w:color w:val="auto"/>
              </w:rPr>
              <w:t>Details</w:t>
            </w:r>
          </w:p>
        </w:tc>
        <w:tc>
          <w:tcPr>
            <w:tcW w:w="2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 and liability - long-term:</w:t>
            </w:r>
          </w:p>
        </w:tc>
        <w:tc>
          <w:tcPr>
            <w:tcW w:w="2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5200" w:type="dxa"/>
            <w:vAlign w:val="bottom"/>
          </w:tcPr>
          <w:p>
            <w:pPr>
              <w:ind w:left="260"/>
              <w:spacing w:after="0"/>
              <w:rPr>
                <w:sz w:val="20"/>
                <w:szCs w:val="20"/>
                <w:color w:val="auto"/>
              </w:rPr>
            </w:pPr>
            <w:r>
              <w:rPr>
                <w:rFonts w:ascii="Arial" w:cs="Arial" w:eastAsia="Arial" w:hAnsi="Arial"/>
                <w:sz w:val="16"/>
                <w:szCs w:val="16"/>
                <w:color w:val="auto"/>
              </w:rPr>
              <w:t>Deferred tax assets:</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Net operating loss carryforward</w:t>
            </w:r>
          </w:p>
        </w:tc>
        <w:tc>
          <w:tcPr>
            <w:tcW w:w="2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77,586</w:t>
            </w:r>
          </w:p>
        </w:tc>
        <w:tc>
          <w:tcPr>
            <w:tcW w:w="1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72,658</w:t>
            </w:r>
          </w:p>
        </w:tc>
        <w:tc>
          <w:tcPr>
            <w:tcW w:w="80" w:type="dxa"/>
            <w:vAlign w:val="bottom"/>
            <w:shd w:val="clear" w:color="auto" w:fill="CCEEFF"/>
          </w:tcPr>
          <w:p>
            <w:pPr>
              <w:spacing w:after="0"/>
              <w:rPr>
                <w:sz w:val="19"/>
                <w:szCs w:val="19"/>
                <w:color w:val="auto"/>
              </w:rPr>
            </w:pPr>
          </w:p>
        </w:tc>
      </w:tr>
      <w:tr>
        <w:trPr>
          <w:trHeight w:val="221"/>
        </w:trPr>
        <w:tc>
          <w:tcPr>
            <w:tcW w:w="5220" w:type="dxa"/>
            <w:vAlign w:val="bottom"/>
            <w:gridSpan w:val="2"/>
          </w:tcPr>
          <w:p>
            <w:pPr>
              <w:spacing w:after="0"/>
              <w:rPr>
                <w:sz w:val="20"/>
                <w:szCs w:val="20"/>
                <w:color w:val="auto"/>
              </w:rPr>
            </w:pPr>
            <w:r>
              <w:rPr>
                <w:rFonts w:ascii="Arial" w:cs="Arial" w:eastAsia="Arial" w:hAnsi="Arial"/>
                <w:sz w:val="16"/>
                <w:szCs w:val="16"/>
                <w:color w:val="auto"/>
              </w:rPr>
              <w:t>Employees benefits and compensation</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5,366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6,813</w:t>
            </w:r>
          </w:p>
        </w:tc>
        <w:tc>
          <w:tcPr>
            <w:tcW w:w="8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Accruals and reserves</w:t>
            </w:r>
          </w:p>
        </w:tc>
        <w:tc>
          <w:tcPr>
            <w:tcW w:w="2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7,863</w:t>
            </w:r>
          </w:p>
        </w:tc>
        <w:tc>
          <w:tcPr>
            <w:tcW w:w="1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3,312</w:t>
            </w:r>
          </w:p>
        </w:tc>
        <w:tc>
          <w:tcPr>
            <w:tcW w:w="80" w:type="dxa"/>
            <w:vAlign w:val="bottom"/>
            <w:shd w:val="clear" w:color="auto" w:fill="CCEEFF"/>
          </w:tcPr>
          <w:p>
            <w:pPr>
              <w:spacing w:after="0"/>
              <w:rPr>
                <w:sz w:val="19"/>
                <w:szCs w:val="19"/>
                <w:color w:val="auto"/>
              </w:rPr>
            </w:pPr>
          </w:p>
        </w:tc>
      </w:tr>
      <w:tr>
        <w:trPr>
          <w:trHeight w:val="221"/>
        </w:trPr>
        <w:tc>
          <w:tcPr>
            <w:tcW w:w="5220" w:type="dxa"/>
            <w:vAlign w:val="bottom"/>
            <w:gridSpan w:val="2"/>
          </w:tcPr>
          <w:p>
            <w:pPr>
              <w:spacing w:after="0"/>
              <w:rPr>
                <w:sz w:val="20"/>
                <w:szCs w:val="20"/>
                <w:color w:val="auto"/>
              </w:rPr>
            </w:pPr>
            <w:r>
              <w:rPr>
                <w:rFonts w:ascii="Arial" w:cs="Arial" w:eastAsia="Arial" w:hAnsi="Arial"/>
                <w:sz w:val="16"/>
                <w:szCs w:val="16"/>
                <w:color w:val="auto"/>
              </w:rPr>
              <w:t>Research and development</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20,633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18,179</w:t>
            </w:r>
          </w:p>
        </w:tc>
        <w:tc>
          <w:tcPr>
            <w:tcW w:w="8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Others</w:t>
            </w:r>
          </w:p>
        </w:tc>
        <w:tc>
          <w:tcPr>
            <w:tcW w:w="2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3,737</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115,185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104,415</w:t>
            </w:r>
          </w:p>
        </w:tc>
        <w:tc>
          <w:tcPr>
            <w:tcW w:w="8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Valuation allowance, see Note 19F below</w:t>
            </w:r>
          </w:p>
        </w:tc>
        <w:tc>
          <w:tcPr>
            <w:tcW w:w="2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(11,644)</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(10,745)</w:t>
            </w:r>
          </w:p>
        </w:tc>
      </w:tr>
      <w:tr>
        <w:trPr>
          <w:trHeight w:val="25"/>
        </w:trPr>
        <w:tc>
          <w:tcPr>
            <w:tcW w:w="20" w:type="dxa"/>
            <w:vAlign w:val="bottom"/>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97"/>
        </w:trPr>
        <w:tc>
          <w:tcPr>
            <w:tcW w:w="5220" w:type="dxa"/>
            <w:vAlign w:val="bottom"/>
            <w:gridSpan w:val="2"/>
          </w:tcPr>
          <w:p>
            <w:pPr>
              <w:spacing w:after="0"/>
              <w:rPr>
                <w:sz w:val="20"/>
                <w:szCs w:val="20"/>
                <w:color w:val="auto"/>
              </w:rPr>
            </w:pPr>
            <w:r>
              <w:rPr>
                <w:rFonts w:ascii="Arial" w:cs="Arial" w:eastAsia="Arial" w:hAnsi="Arial"/>
                <w:sz w:val="16"/>
                <w:szCs w:val="16"/>
                <w:color w:val="auto"/>
              </w:rPr>
              <w:t>Deferred tax assets</w:t>
            </w:r>
          </w:p>
        </w:tc>
        <w:tc>
          <w:tcPr>
            <w:tcW w:w="2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103,541</w:t>
            </w:r>
          </w:p>
        </w:tc>
        <w:tc>
          <w:tcPr>
            <w:tcW w:w="18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93,670</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Deferred tax liabilities - long-term:</w:t>
            </w:r>
          </w:p>
        </w:tc>
        <w:tc>
          <w:tcPr>
            <w:tcW w:w="2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1"/>
        </w:trPr>
        <w:tc>
          <w:tcPr>
            <w:tcW w:w="522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(72,678)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(76,136)</w:t>
            </w:r>
          </w:p>
        </w:tc>
      </w:tr>
      <w:tr>
        <w:trPr>
          <w:trHeight w:val="222"/>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2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(1,114)</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(1,018)</w:t>
            </w:r>
          </w:p>
        </w:tc>
      </w:tr>
      <w:tr>
        <w:trPr>
          <w:trHeight w:val="25"/>
        </w:trPr>
        <w:tc>
          <w:tcPr>
            <w:tcW w:w="20" w:type="dxa"/>
            <w:vAlign w:val="bottom"/>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97"/>
        </w:trPr>
        <w:tc>
          <w:tcPr>
            <w:tcW w:w="5220" w:type="dxa"/>
            <w:vAlign w:val="bottom"/>
            <w:gridSpan w:val="2"/>
          </w:tcPr>
          <w:p>
            <w:pPr>
              <w:spacing w:after="0"/>
              <w:rPr>
                <w:sz w:val="20"/>
                <w:szCs w:val="20"/>
                <w:color w:val="auto"/>
              </w:rPr>
            </w:pPr>
            <w:r>
              <w:rPr>
                <w:rFonts w:ascii="Arial" w:cs="Arial" w:eastAsia="Arial" w:hAnsi="Arial"/>
                <w:sz w:val="16"/>
                <w:szCs w:val="16"/>
                <w:color w:val="auto"/>
              </w:rPr>
              <w:t>Deferred tax liabilities</w:t>
            </w:r>
          </w:p>
        </w:tc>
        <w:tc>
          <w:tcPr>
            <w:tcW w:w="2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(73,792)</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(77,154)</w:t>
            </w: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7"/>
        </w:trPr>
        <w:tc>
          <w:tcPr>
            <w:tcW w:w="5220" w:type="dxa"/>
            <w:vAlign w:val="bottom"/>
            <w:gridSpan w:val="2"/>
          </w:tcPr>
          <w:p>
            <w:pPr>
              <w:spacing w:after="0"/>
              <w:rPr>
                <w:sz w:val="20"/>
                <w:szCs w:val="20"/>
                <w:color w:val="auto"/>
              </w:rPr>
            </w:pPr>
            <w:r>
              <w:rPr>
                <w:rFonts w:ascii="Arial" w:cs="Arial" w:eastAsia="Arial" w:hAnsi="Arial"/>
                <w:sz w:val="16"/>
                <w:szCs w:val="16"/>
                <w:color w:val="auto"/>
              </w:rPr>
              <w:t>Presented in long term deferred tax assets</w:t>
            </w:r>
          </w:p>
        </w:tc>
        <w:tc>
          <w:tcPr>
            <w:tcW w:w="2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53,526</w:t>
            </w:r>
          </w:p>
        </w:tc>
        <w:tc>
          <w:tcPr>
            <w:tcW w:w="18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57,802</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200" w:type="dxa"/>
            <w:vAlign w:val="bottom"/>
            <w:shd w:val="clear" w:color="auto" w:fill="CCEEFF"/>
          </w:tcPr>
          <w:p>
            <w:pPr>
              <w:spacing w:after="0" w:line="174" w:lineRule="exact"/>
              <w:rPr>
                <w:sz w:val="20"/>
                <w:szCs w:val="20"/>
                <w:color w:val="auto"/>
              </w:rPr>
            </w:pPr>
            <w:r>
              <w:rPr>
                <w:rFonts w:ascii="Arial" w:cs="Arial" w:eastAsia="Arial" w:hAnsi="Arial"/>
                <w:sz w:val="16"/>
                <w:szCs w:val="16"/>
                <w:color w:val="auto"/>
              </w:rPr>
              <w:t>Presented in long term deferred tax liabilities</w:t>
            </w:r>
          </w:p>
        </w:tc>
        <w:tc>
          <w:tcPr>
            <w:tcW w:w="2480" w:type="dxa"/>
            <w:vAlign w:val="bottom"/>
            <w:gridSpan w:val="2"/>
            <w:shd w:val="clear" w:color="auto" w:fill="CCEEFF"/>
          </w:tcPr>
          <w:p>
            <w:pPr>
              <w:jc w:val="right"/>
              <w:ind w:right="140"/>
              <w:spacing w:after="0" w:line="174" w:lineRule="exact"/>
              <w:rPr>
                <w:sz w:val="20"/>
                <w:szCs w:val="20"/>
                <w:color w:val="auto"/>
              </w:rPr>
            </w:pPr>
            <w:r>
              <w:rPr>
                <w:rFonts w:ascii="Arial" w:cs="Arial" w:eastAsia="Arial" w:hAnsi="Arial"/>
                <w:sz w:val="16"/>
                <w:szCs w:val="16"/>
                <w:color w:val="auto"/>
              </w:rPr>
              <w:t>$</w:t>
            </w:r>
          </w:p>
        </w:tc>
        <w:tc>
          <w:tcPr>
            <w:tcW w:w="1060" w:type="dxa"/>
            <w:vAlign w:val="bottom"/>
            <w:tcBorders>
              <w:right w:val="single" w:sz="8" w:color="CCEEFF"/>
            </w:tcBorders>
            <w:gridSpan w:val="2"/>
            <w:shd w:val="clear" w:color="auto" w:fill="CCEEFF"/>
          </w:tcPr>
          <w:p>
            <w:pPr>
              <w:jc w:val="right"/>
              <w:ind w:right="140"/>
              <w:spacing w:after="0" w:line="174" w:lineRule="exact"/>
              <w:rPr>
                <w:sz w:val="20"/>
                <w:szCs w:val="20"/>
                <w:color w:val="auto"/>
              </w:rPr>
            </w:pPr>
            <w:r>
              <w:rPr>
                <w:rFonts w:ascii="Arial" w:cs="Arial" w:eastAsia="Arial" w:hAnsi="Arial"/>
                <w:sz w:val="16"/>
                <w:szCs w:val="16"/>
                <w:color w:val="auto"/>
              </w:rPr>
              <w:t>(23,777)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line="174" w:lineRule="exact"/>
              <w:rPr>
                <w:sz w:val="20"/>
                <w:szCs w:val="20"/>
                <w:color w:val="auto"/>
              </w:rPr>
            </w:pPr>
            <w:r>
              <w:rPr>
                <w:rFonts w:ascii="Arial" w:cs="Arial" w:eastAsia="Arial" w:hAnsi="Arial"/>
                <w:sz w:val="16"/>
                <w:szCs w:val="16"/>
                <w:color w:val="auto"/>
              </w:rPr>
              <w:t>(41,286)</w:t>
            </w: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72" w:lineRule="exact"/>
        <w:rPr>
          <w:sz w:val="20"/>
          <w:szCs w:val="20"/>
          <w:color w:val="auto"/>
        </w:rPr>
      </w:pPr>
    </w:p>
    <w:p>
      <w:pPr>
        <w:ind w:left="1300" w:firstLine="10"/>
        <w:spacing w:after="0" w:line="288" w:lineRule="auto"/>
        <w:tabs>
          <w:tab w:leader="none" w:pos="1532"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Deferred tax assets and liabilities relating to Tower for the years 2021 and 2020 are computed based on the Israeli Preferred Enterprise tax rate of 7.5%.</w:t>
      </w:r>
    </w:p>
    <w:p>
      <w:pPr>
        <w:sectPr>
          <w:pgSz w:w="11900" w:h="16838" w:orient="portrait"/>
          <w:cols w:equalWidth="0" w:num="1">
            <w:col w:w="11240"/>
          </w:cols>
          <w:pgMar w:left="320" w:top="271" w:right="339" w:bottom="1440" w:gutter="0" w:footer="0" w:header="0"/>
        </w:sectPr>
      </w:pPr>
    </w:p>
    <w:p>
      <w:pPr>
        <w:spacing w:after="0" w:line="132" w:lineRule="exact"/>
        <w:rPr>
          <w:sz w:val="20"/>
          <w:szCs w:val="20"/>
          <w:color w:val="auto"/>
        </w:rPr>
      </w:pPr>
    </w:p>
    <w:p>
      <w:pPr>
        <w:ind w:left="1300" w:hanging="318"/>
        <w:spacing w:after="0"/>
        <w:tabs>
          <w:tab w:leader="none" w:pos="130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Unrecognized Tax Benefit</w:t>
      </w:r>
    </w:p>
    <w:p>
      <w:pPr>
        <w:spacing w:after="0" w:line="188"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5"/>
          <w:szCs w:val="15"/>
          <w:color w:val="auto"/>
        </w:rPr>
        <w:t>A reconciliation of the beginning and ending amount of unrecognized tax benefits is as follows:</w:t>
      </w:r>
    </w:p>
    <w:p>
      <w:pPr>
        <w:spacing w:after="0" w:line="200" w:lineRule="exact"/>
        <w:rPr>
          <w:rFonts w:ascii="Arial" w:cs="Arial" w:eastAsia="Arial" w:hAnsi="Arial"/>
          <w:sz w:val="16"/>
          <w:szCs w:val="16"/>
          <w:b w:val="1"/>
          <w:bCs w:val="1"/>
          <w:color w:val="auto"/>
        </w:rPr>
      </w:pPr>
    </w:p>
    <w:p>
      <w:pPr>
        <w:spacing w:after="0" w:line="217"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6"/>
          <w:szCs w:val="16"/>
          <w:color w:val="auto"/>
        </w:rPr>
        <w:t>Details</w:t>
      </w:r>
    </w:p>
    <w:p>
      <w:pPr>
        <w:spacing w:after="0" w:line="37"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6"/>
          <w:szCs w:val="16"/>
          <w:color w:val="auto"/>
        </w:rPr>
        <w:t>Balance as of January 1, 2021</w:t>
      </w:r>
    </w:p>
    <w:p>
      <w:pPr>
        <w:spacing w:after="0" w:line="37" w:lineRule="exact"/>
        <w:rPr>
          <w:rFonts w:ascii="Arial" w:cs="Arial" w:eastAsia="Arial" w:hAnsi="Arial"/>
          <w:sz w:val="16"/>
          <w:szCs w:val="16"/>
          <w:b w:val="1"/>
          <w:bCs w:val="1"/>
          <w:color w:val="auto"/>
        </w:rPr>
      </w:pPr>
    </w:p>
    <w:p>
      <w:pPr>
        <w:ind w:left="1300" w:right="4240"/>
        <w:spacing w:after="0" w:line="328" w:lineRule="auto"/>
        <w:rPr>
          <w:rFonts w:ascii="Arial" w:cs="Arial" w:eastAsia="Arial" w:hAnsi="Arial"/>
          <w:sz w:val="16"/>
          <w:szCs w:val="16"/>
          <w:b w:val="1"/>
          <w:bCs w:val="1"/>
          <w:color w:val="auto"/>
        </w:rPr>
      </w:pPr>
      <w:r>
        <w:rPr>
          <w:rFonts w:ascii="Arial" w:cs="Arial" w:eastAsia="Arial" w:hAnsi="Arial"/>
          <w:sz w:val="16"/>
          <w:szCs w:val="16"/>
          <w:color w:val="auto"/>
        </w:rPr>
        <w:t>Additions for tax positions of current year Reduction due to statute of limitation of prior years 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-626745</wp:posOffset>
            </wp:positionV>
            <wp:extent cx="6309360" cy="140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309360" cy="140335"/>
                    </a:xfrm>
                    <a:prstGeom prst="rect">
                      <a:avLst/>
                    </a:prstGeom>
                    <a:noFill/>
                  </pic:spPr>
                </pic:pic>
              </a:graphicData>
            </a:graphic>
          </wp:anchor>
        </w:drawing>
        <w:drawing>
          <wp:anchor simplePos="0" relativeHeight="251657728" behindDoc="1" locked="0" layoutInCell="0" allowOverlap="1">
            <wp:simplePos x="0" y="0"/>
            <wp:positionH relativeFrom="column">
              <wp:posOffset>834390</wp:posOffset>
            </wp:positionH>
            <wp:positionV relativeFrom="paragraph">
              <wp:posOffset>-345440</wp:posOffset>
            </wp:positionV>
            <wp:extent cx="6309360" cy="1562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309360" cy="156210"/>
                    </a:xfrm>
                    <a:prstGeom prst="rect">
                      <a:avLst/>
                    </a:prstGeom>
                    <a:noFill/>
                  </pic:spPr>
                </pic:pic>
              </a:graphicData>
            </a:graphic>
          </wp:anchor>
        </w:drawing>
      </w:r>
    </w:p>
    <w:p>
      <w:pPr>
        <w:spacing w:after="0" w:line="6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F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Unrecognized tax</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944880"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944880" cy="15875"/>
                    </a:xfrm>
                    <a:prstGeom prst="rect">
                      <a:avLst/>
                    </a:prstGeom>
                    <a:noFill/>
                  </pic:spPr>
                </pic:pic>
              </a:graphicData>
            </a:graphic>
          </wp:anchor>
        </w:drawing>
      </w:r>
    </w:p>
    <w:p>
      <w:pPr>
        <w:spacing w:after="0" w:line="31" w:lineRule="exact"/>
        <w:rPr>
          <w:sz w:val="20"/>
          <w:szCs w:val="20"/>
          <w:color w:val="auto"/>
        </w:rPr>
      </w:pPr>
    </w:p>
    <w:p>
      <w:pPr>
        <w:ind w:left="1040" w:hanging="1033"/>
        <w:spacing w:after="0"/>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15,314</w:t>
      </w:r>
    </w:p>
    <w:p>
      <w:pPr>
        <w:spacing w:after="0" w:line="37" w:lineRule="exact"/>
        <w:rPr>
          <w:rFonts w:ascii="Arial" w:cs="Arial" w:eastAsia="Arial" w:hAnsi="Arial"/>
          <w:sz w:val="16"/>
          <w:szCs w:val="16"/>
          <w:color w:val="auto"/>
        </w:rPr>
      </w:pPr>
    </w:p>
    <w:p>
      <w:pPr>
        <w:ind w:left="1240"/>
        <w:spacing w:after="0"/>
        <w:rPr>
          <w:rFonts w:ascii="Arial" w:cs="Arial" w:eastAsia="Arial" w:hAnsi="Arial"/>
          <w:sz w:val="16"/>
          <w:szCs w:val="16"/>
          <w:color w:val="auto"/>
        </w:rPr>
      </w:pPr>
      <w:r>
        <w:rPr>
          <w:rFonts w:ascii="Arial" w:cs="Arial" w:eastAsia="Arial" w:hAnsi="Arial"/>
          <w:sz w:val="16"/>
          <w:szCs w:val="16"/>
          <w:color w:val="auto"/>
        </w:rPr>
        <w:t>624</w:t>
      </w:r>
    </w:p>
    <w:p>
      <w:pPr>
        <w:spacing w:after="0" w:line="37"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(8,175)</w:t>
      </w:r>
    </w:p>
    <w:p>
      <w:pPr>
        <w:spacing w:after="0" w:line="37" w:lineRule="exact"/>
        <w:rPr>
          <w:sz w:val="20"/>
          <w:szCs w:val="20"/>
          <w:color w:val="auto"/>
        </w:rPr>
      </w:pPr>
    </w:p>
    <w:p>
      <w:pPr>
        <w:ind w:left="1120" w:hanging="1113"/>
        <w:spacing w:after="0"/>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7,763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94488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94488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94488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944880" cy="7620"/>
                    </a:xfrm>
                    <a:prstGeom prst="rect">
                      <a:avLst/>
                    </a:prstGeom>
                    <a:noFill/>
                  </pic:spPr>
                </pic:pic>
              </a:graphicData>
            </a:graphic>
          </wp:anchor>
        </w:drawing>
      </w:r>
    </w:p>
    <w:p>
      <w:pPr>
        <w:sectPr>
          <w:pgSz w:w="11900" w:h="16838" w:orient="portrait"/>
          <w:cols w:equalWidth="0" w:num="2">
            <w:col w:w="8920" w:space="720"/>
            <w:col w:w="1600"/>
          </w:cols>
          <w:pgMar w:left="320" w:top="271" w:right="339" w:bottom="1440" w:gutter="0" w:footer="0" w:header="0"/>
          <w:type w:val="continuous"/>
        </w:sectPr>
      </w:pPr>
    </w:p>
    <w:bookmarkStart w:id="51" w:name="page52"/>
    <w:bookmarkEnd w:id="51"/>
    <w:p>
      <w:pPr>
        <w:jc w:val="center"/>
        <w:ind w:left="1900"/>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ind w:left="190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left="1900"/>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ind w:left="1900"/>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NOTE 19:</w:t>
      </w:r>
      <w:r>
        <w:rPr>
          <w:sz w:val="20"/>
          <w:szCs w:val="20"/>
          <w:color w:val="auto"/>
        </w:rPr>
        <w:tab/>
      </w:r>
      <w:r>
        <w:rPr>
          <w:rFonts w:ascii="Arial" w:cs="Arial" w:eastAsia="Arial" w:hAnsi="Arial"/>
          <w:sz w:val="15"/>
          <w:szCs w:val="15"/>
          <w:b w:val="1"/>
          <w:bCs w:val="1"/>
          <w:color w:val="auto"/>
        </w:rPr>
        <w:t>INCOME TAXES (Continued)</w:t>
      </w:r>
    </w:p>
    <w:p>
      <w:pPr>
        <w:spacing w:after="0" w:line="39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15875</wp:posOffset>
            </wp:positionV>
            <wp:extent cx="6309360" cy="1403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309360" cy="140335"/>
                    </a:xfrm>
                    <a:prstGeom prst="rect">
                      <a:avLst/>
                    </a:prstGeom>
                    <a:noFill/>
                  </pic:spPr>
                </pic:pic>
              </a:graphicData>
            </a:graphic>
          </wp:anchor>
        </w:drawing>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Balance as of January 1, 2020</w:t>
      </w:r>
    </w:p>
    <w:p>
      <w:pPr>
        <w:spacing w:after="0" w:line="3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Additions for tax positions of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15875</wp:posOffset>
            </wp:positionV>
            <wp:extent cx="6309360" cy="1562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309360" cy="156210"/>
                    </a:xfrm>
                    <a:prstGeom prst="rect">
                      <a:avLst/>
                    </a:prstGeom>
                    <a:noFill/>
                  </pic:spPr>
                </pic:pic>
              </a:graphicData>
            </a:graphic>
          </wp:anchor>
        </w:drawing>
      </w:r>
    </w:p>
    <w:p>
      <w:pPr>
        <w:spacing w:after="0" w:line="4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Reduction due to statute of limitation of prior years</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Balance as of December 31, 2020</w:t>
      </w:r>
    </w:p>
    <w:p>
      <w:pPr>
        <w:spacing w:after="0" w:line="39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15875</wp:posOffset>
            </wp:positionV>
            <wp:extent cx="6309360" cy="140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309360" cy="140335"/>
                    </a:xfrm>
                    <a:prstGeom prst="rect">
                      <a:avLst/>
                    </a:prstGeom>
                    <a:noFill/>
                  </pic:spPr>
                </pic:pic>
              </a:graphicData>
            </a:graphic>
          </wp:anchor>
        </w:drawing>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Balance as of January 1, 2019</w:t>
      </w:r>
    </w:p>
    <w:p>
      <w:pPr>
        <w:spacing w:after="0" w:line="3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Additions for tax positions of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15875</wp:posOffset>
            </wp:positionV>
            <wp:extent cx="6309360" cy="1562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309360" cy="156210"/>
                    </a:xfrm>
                    <a:prstGeom prst="rect">
                      <a:avLst/>
                    </a:prstGeom>
                    <a:noFill/>
                  </pic:spPr>
                </pic:pic>
              </a:graphicData>
            </a:graphic>
          </wp:anchor>
        </w:drawing>
      </w:r>
    </w:p>
    <w:p>
      <w:pPr>
        <w:spacing w:after="0" w:line="4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Reduction due to statute of limitation of prior years</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Balance as of December 31, 2019</w:t>
      </w:r>
    </w:p>
    <w:p>
      <w:pPr>
        <w:spacing w:after="0" w:line="193" w:lineRule="exact"/>
        <w:rPr>
          <w:sz w:val="20"/>
          <w:szCs w:val="20"/>
          <w:color w:val="auto"/>
        </w:rPr>
      </w:pPr>
    </w:p>
    <w:p>
      <w:pPr>
        <w:ind w:left="1300" w:hanging="318"/>
        <w:spacing w:after="0"/>
        <w:tabs>
          <w:tab w:leader="none" w:pos="130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Effective Income Tax</w:t>
      </w:r>
    </w:p>
    <w:p>
      <w:pPr>
        <w:spacing w:after="0" w:line="201"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4"/>
          <w:szCs w:val="14"/>
          <w:color w:val="auto"/>
        </w:rPr>
        <w:t>The reconciliation of the statutory tax rate to the effective tax rate for the years ended December 31, 2021, 2020 and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Unrecognized tax</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944880"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944880" cy="15875"/>
                    </a:xfrm>
                    <a:prstGeom prst="rect">
                      <a:avLst/>
                    </a:prstGeom>
                    <a:noFill/>
                  </pic:spPr>
                </pic:pic>
              </a:graphicData>
            </a:graphic>
          </wp:anchor>
        </w:drawing>
      </w:r>
    </w:p>
    <w:p>
      <w:pPr>
        <w:spacing w:after="0" w:line="31" w:lineRule="exact"/>
        <w:rPr>
          <w:sz w:val="20"/>
          <w:szCs w:val="20"/>
          <w:color w:val="auto"/>
        </w:rPr>
      </w:pPr>
    </w:p>
    <w:p>
      <w:pPr>
        <w:ind w:left="1060" w:hanging="1053"/>
        <w:spacing w:after="0"/>
        <w:tabs>
          <w:tab w:leader="none" w:pos="10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15,113</w:t>
      </w:r>
    </w:p>
    <w:p>
      <w:pPr>
        <w:spacing w:after="0" w:line="48" w:lineRule="exact"/>
        <w:rPr>
          <w:rFonts w:ascii="Arial" w:cs="Arial" w:eastAsia="Arial" w:hAnsi="Arial"/>
          <w:sz w:val="15"/>
          <w:szCs w:val="15"/>
          <w:color w:val="auto"/>
        </w:rPr>
      </w:pPr>
    </w:p>
    <w:p>
      <w:pPr>
        <w:ind w:left="1240"/>
        <w:spacing w:after="0"/>
        <w:rPr>
          <w:rFonts w:ascii="Arial" w:cs="Arial" w:eastAsia="Arial" w:hAnsi="Arial"/>
          <w:sz w:val="15"/>
          <w:szCs w:val="15"/>
          <w:color w:val="auto"/>
        </w:rPr>
      </w:pPr>
      <w:r>
        <w:rPr>
          <w:rFonts w:ascii="Arial" w:cs="Arial" w:eastAsia="Arial" w:hAnsi="Arial"/>
          <w:sz w:val="16"/>
          <w:szCs w:val="16"/>
          <w:color w:val="auto"/>
        </w:rPr>
        <w:t>624</w:t>
      </w:r>
    </w:p>
    <w:p>
      <w:pPr>
        <w:spacing w:after="0" w:line="37"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(423)</w:t>
      </w:r>
    </w:p>
    <w:p>
      <w:pPr>
        <w:spacing w:after="0" w:line="37" w:lineRule="exact"/>
        <w:rPr>
          <w:sz w:val="20"/>
          <w:szCs w:val="20"/>
          <w:color w:val="auto"/>
        </w:rPr>
      </w:pPr>
    </w:p>
    <w:p>
      <w:pPr>
        <w:ind w:left="1040" w:hanging="1033"/>
        <w:spacing w:after="0"/>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15,314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94488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94488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94488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944880" cy="7620"/>
                    </a:xfrm>
                    <a:prstGeom prst="rect">
                      <a:avLst/>
                    </a:prstGeom>
                    <a:noFill/>
                  </pic:spPr>
                </pic:pic>
              </a:graphicData>
            </a:graphic>
          </wp:anchor>
        </w:drawing>
      </w:r>
    </w:p>
    <w:p>
      <w:pPr>
        <w:spacing w:after="0" w:line="190"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Unrecognized tax</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944880"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944880" cy="15875"/>
                    </a:xfrm>
                    <a:prstGeom prst="rect">
                      <a:avLst/>
                    </a:prstGeom>
                    <a:noFill/>
                  </pic:spPr>
                </pic:pic>
              </a:graphicData>
            </a:graphic>
          </wp:anchor>
        </w:drawing>
      </w:r>
    </w:p>
    <w:p>
      <w:pPr>
        <w:spacing w:after="0" w:line="31" w:lineRule="exact"/>
        <w:rPr>
          <w:sz w:val="20"/>
          <w:szCs w:val="20"/>
          <w:color w:val="auto"/>
        </w:rPr>
      </w:pPr>
    </w:p>
    <w:p>
      <w:pPr>
        <w:ind w:left="1040" w:hanging="1033"/>
        <w:spacing w:after="0"/>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14,783</w:t>
      </w:r>
    </w:p>
    <w:p>
      <w:pPr>
        <w:spacing w:after="0" w:line="37" w:lineRule="exact"/>
        <w:rPr>
          <w:rFonts w:ascii="Arial" w:cs="Arial" w:eastAsia="Arial" w:hAnsi="Arial"/>
          <w:sz w:val="16"/>
          <w:szCs w:val="16"/>
          <w:color w:val="auto"/>
        </w:rPr>
      </w:pPr>
    </w:p>
    <w:p>
      <w:pPr>
        <w:ind w:left="1240"/>
        <w:spacing w:after="0"/>
        <w:rPr>
          <w:rFonts w:ascii="Arial" w:cs="Arial" w:eastAsia="Arial" w:hAnsi="Arial"/>
          <w:sz w:val="16"/>
          <w:szCs w:val="16"/>
          <w:color w:val="auto"/>
        </w:rPr>
      </w:pPr>
      <w:r>
        <w:rPr>
          <w:rFonts w:ascii="Arial" w:cs="Arial" w:eastAsia="Arial" w:hAnsi="Arial"/>
          <w:sz w:val="16"/>
          <w:szCs w:val="16"/>
          <w:color w:val="auto"/>
        </w:rPr>
        <w:t>778</w:t>
      </w:r>
    </w:p>
    <w:p>
      <w:pPr>
        <w:spacing w:after="0" w:line="37"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(448)</w:t>
      </w:r>
    </w:p>
    <w:p>
      <w:pPr>
        <w:spacing w:after="0" w:line="37" w:lineRule="exact"/>
        <w:rPr>
          <w:sz w:val="20"/>
          <w:szCs w:val="20"/>
          <w:color w:val="auto"/>
        </w:rPr>
      </w:pPr>
    </w:p>
    <w:p>
      <w:pPr>
        <w:ind w:left="1060" w:hanging="1053"/>
        <w:spacing w:after="0"/>
        <w:tabs>
          <w:tab w:leader="none" w:pos="10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15,113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94488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94488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38735</wp:posOffset>
            </wp:positionV>
            <wp:extent cx="94488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944880" cy="7620"/>
                    </a:xfrm>
                    <a:prstGeom prst="rect">
                      <a:avLst/>
                    </a:prstGeom>
                    <a:noFill/>
                  </pic:spPr>
                </pic:pic>
              </a:graphicData>
            </a:graphic>
          </wp:anchor>
        </w:drawing>
      </w:r>
    </w:p>
    <w:p>
      <w:pPr>
        <w:spacing w:after="0" w:line="983" w:lineRule="exact"/>
        <w:rPr>
          <w:sz w:val="20"/>
          <w:szCs w:val="20"/>
          <w:color w:val="auto"/>
        </w:rPr>
      </w:pPr>
    </w:p>
    <w:p>
      <w:pPr>
        <w:sectPr>
          <w:pgSz w:w="11900" w:h="16838" w:orient="portrait"/>
          <w:cols w:equalWidth="0" w:num="2">
            <w:col w:w="9340" w:space="300"/>
            <w:col w:w="1600"/>
          </w:cols>
          <w:pgMar w:left="320" w:top="271" w:right="339" w:bottom="1440" w:gutter="0" w:footer="0" w:header="0"/>
        </w:sectPr>
      </w:pPr>
    </w:p>
    <w:tbl>
      <w:tblPr>
        <w:tblLayout w:type="fixed"/>
        <w:tblInd w:w="1300" w:type="dxa"/>
        <w:tblCellMar>
          <w:top w:w="0" w:type="dxa"/>
          <w:left w:w="0" w:type="dxa"/>
          <w:bottom w:w="0" w:type="dxa"/>
          <w:right w:w="0" w:type="dxa"/>
        </w:tblCellMar>
      </w:tblPr>
      <w:tr>
        <w:trPr>
          <w:trHeight w:val="214"/>
        </w:trPr>
        <w:tc>
          <w:tcPr>
            <w:tcW w:w="5880" w:type="dxa"/>
            <w:vAlign w:val="bottom"/>
            <w:gridSpan w:val="2"/>
          </w:tcPr>
          <w:p>
            <w:pPr>
              <w:spacing w:after="0"/>
              <w:rPr>
                <w:sz w:val="20"/>
                <w:szCs w:val="20"/>
                <w:color w:val="auto"/>
              </w:rPr>
            </w:pPr>
            <w:r>
              <w:rPr>
                <w:rFonts w:ascii="Arial" w:cs="Arial" w:eastAsia="Arial" w:hAnsi="Arial"/>
                <w:sz w:val="16"/>
                <w:szCs w:val="16"/>
                <w:color w:val="auto"/>
              </w:rPr>
              <w:t>Details</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Tax expense computed at statutory rates, see (*) below</w:t>
            </w:r>
          </w:p>
        </w:tc>
        <w:tc>
          <w:tcPr>
            <w:tcW w:w="54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35,673</w:t>
            </w: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20,398</w:t>
            </w: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20,935</w:t>
            </w:r>
          </w:p>
        </w:tc>
        <w:tc>
          <w:tcPr>
            <w:tcW w:w="100" w:type="dxa"/>
            <w:vAlign w:val="bottom"/>
            <w:shd w:val="clear" w:color="auto" w:fill="CCEEFF"/>
          </w:tcPr>
          <w:p>
            <w:pPr>
              <w:spacing w:after="0"/>
              <w:rPr>
                <w:sz w:val="19"/>
                <w:szCs w:val="19"/>
                <w:color w:val="auto"/>
              </w:rPr>
            </w:pPr>
          </w:p>
        </w:tc>
      </w:tr>
      <w:tr>
        <w:trPr>
          <w:trHeight w:val="221"/>
        </w:trPr>
        <w:tc>
          <w:tcPr>
            <w:tcW w:w="5880" w:type="dxa"/>
            <w:vAlign w:val="bottom"/>
            <w:gridSpan w:val="2"/>
          </w:tcPr>
          <w:p>
            <w:pPr>
              <w:spacing w:after="0"/>
              <w:rPr>
                <w:sz w:val="20"/>
                <w:szCs w:val="20"/>
                <w:color w:val="auto"/>
              </w:rPr>
            </w:pPr>
            <w:r>
              <w:rPr>
                <w:rFonts w:ascii="Arial" w:cs="Arial" w:eastAsia="Arial" w:hAnsi="Arial"/>
                <w:sz w:val="16"/>
                <w:szCs w:val="16"/>
                <w:color w:val="auto"/>
                <w:w w:val="99"/>
              </w:rPr>
              <w:t>Effect of different tax rates in different jurisdictions and Preferred Enterprise Benefit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(24,683)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(15,046)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(16,396)</w:t>
            </w:r>
          </w:p>
        </w:tc>
      </w:tr>
      <w:tr>
        <w:trPr>
          <w:trHeight w:val="222"/>
        </w:trPr>
        <w:tc>
          <w:tcPr>
            <w:tcW w:w="20" w:type="dxa"/>
            <w:vAlign w:val="bottom"/>
          </w:tcPr>
          <w:p>
            <w:pPr>
              <w:spacing w:after="0"/>
              <w:rPr>
                <w:sz w:val="19"/>
                <w:szCs w:val="19"/>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Change in valuation allowance, see Note 19F below</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100" w:type="dxa"/>
            <w:vAlign w:val="bottom"/>
            <w:shd w:val="clear" w:color="auto" w:fill="CCEEFF"/>
          </w:tcPr>
          <w:p>
            <w:pPr>
              <w:spacing w:after="0"/>
              <w:rPr>
                <w:sz w:val="19"/>
                <w:szCs w:val="19"/>
                <w:color w:val="auto"/>
              </w:rPr>
            </w:pPr>
          </w:p>
        </w:tc>
      </w:tr>
      <w:tr>
        <w:trPr>
          <w:trHeight w:val="221"/>
        </w:trPr>
        <w:tc>
          <w:tcPr>
            <w:tcW w:w="5880" w:type="dxa"/>
            <w:vAlign w:val="bottom"/>
            <w:gridSpan w:val="2"/>
          </w:tcPr>
          <w:p>
            <w:pPr>
              <w:spacing w:after="0"/>
              <w:rPr>
                <w:sz w:val="20"/>
                <w:szCs w:val="20"/>
                <w:color w:val="auto"/>
              </w:rPr>
            </w:pPr>
            <w:r>
              <w:rPr>
                <w:rFonts w:ascii="Arial" w:cs="Arial" w:eastAsia="Arial" w:hAnsi="Arial"/>
                <w:sz w:val="16"/>
                <w:szCs w:val="16"/>
                <w:color w:val="auto"/>
              </w:rPr>
              <w:t>Permanent differences and other, net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(10,865)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(3,432)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(3,023)</w:t>
            </w:r>
          </w:p>
        </w:tc>
      </w:tr>
      <w:tr>
        <w:trPr>
          <w:trHeight w:val="25"/>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5,399</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The tax expense was computed based on regular Israeli corporate tax rate of 23%.</w:t>
      </w:r>
    </w:p>
    <w:p>
      <w:pPr>
        <w:spacing w:after="0" w:line="180" w:lineRule="exact"/>
        <w:rPr>
          <w:sz w:val="20"/>
          <w:szCs w:val="20"/>
          <w:color w:val="auto"/>
        </w:rPr>
      </w:pPr>
    </w:p>
    <w:p>
      <w:pPr>
        <w:ind w:left="1300" w:hanging="318"/>
        <w:spacing w:after="0"/>
        <w:tabs>
          <w:tab w:leader="none" w:pos="130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Net Operating Loss Carryforward</w:t>
      </w:r>
    </w:p>
    <w:p>
      <w:pPr>
        <w:spacing w:after="0" w:line="177" w:lineRule="exact"/>
        <w:rPr>
          <w:sz w:val="20"/>
          <w:szCs w:val="20"/>
          <w:color w:val="auto"/>
        </w:rPr>
      </w:pPr>
    </w:p>
    <w:p>
      <w:pPr>
        <w:ind w:left="1280" w:firstLine="5"/>
        <w:spacing w:after="0" w:line="288" w:lineRule="auto"/>
        <w:rPr>
          <w:sz w:val="20"/>
          <w:szCs w:val="20"/>
          <w:color w:val="auto"/>
        </w:rPr>
      </w:pPr>
      <w:r>
        <w:rPr>
          <w:rFonts w:ascii="Arial" w:cs="Arial" w:eastAsia="Arial" w:hAnsi="Arial"/>
          <w:sz w:val="16"/>
          <w:szCs w:val="16"/>
          <w:color w:val="auto"/>
        </w:rPr>
        <w:t>As of December 31, 2021, Tower had net operating loss carryforward for tax purposes of approximately $800,000 which may be carried forward indefinitely.</w:t>
      </w:r>
    </w:p>
    <w:p>
      <w:pPr>
        <w:spacing w:after="0" w:line="87" w:lineRule="exact"/>
        <w:rPr>
          <w:sz w:val="20"/>
          <w:szCs w:val="20"/>
          <w:color w:val="auto"/>
        </w:rPr>
      </w:pPr>
    </w:p>
    <w:p>
      <w:pPr>
        <w:ind w:left="1280" w:firstLine="5"/>
        <w:spacing w:after="0" w:line="323" w:lineRule="auto"/>
        <w:rPr>
          <w:sz w:val="20"/>
          <w:szCs w:val="20"/>
          <w:color w:val="auto"/>
        </w:rPr>
      </w:pPr>
      <w:r>
        <w:rPr>
          <w:rFonts w:ascii="Arial" w:cs="Arial" w:eastAsia="Arial" w:hAnsi="Arial"/>
          <w:sz w:val="15"/>
          <w:szCs w:val="15"/>
          <w:color w:val="auto"/>
        </w:rPr>
        <w:t>The future utilization of Tower US Holdings’ federal net operating loss carryforward to offset future federal taxable income is subject to an annual limitation as a result of ownership changes that have occurred. Additional limitations could apply if ownership changes occur in the future.</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NOTE 19:</w:t>
      </w:r>
      <w:r>
        <w:rPr>
          <w:sz w:val="20"/>
          <w:szCs w:val="20"/>
          <w:color w:val="auto"/>
        </w:rPr>
        <w:tab/>
      </w:r>
      <w:r>
        <w:rPr>
          <w:rFonts w:ascii="Arial" w:cs="Arial" w:eastAsia="Arial" w:hAnsi="Arial"/>
          <w:sz w:val="15"/>
          <w:szCs w:val="15"/>
          <w:b w:val="1"/>
          <w:bCs w:val="1"/>
          <w:color w:val="auto"/>
        </w:rPr>
        <w:t>INCOME TAXES (Continued)</w:t>
      </w:r>
    </w:p>
    <w:p>
      <w:pPr>
        <w:spacing w:after="0" w:line="189" w:lineRule="exact"/>
        <w:rPr>
          <w:sz w:val="20"/>
          <w:szCs w:val="20"/>
          <w:color w:val="auto"/>
        </w:rPr>
      </w:pPr>
    </w:p>
    <w:p>
      <w:pPr>
        <w:jc w:val="both"/>
        <w:ind w:left="1300"/>
        <w:spacing w:after="0" w:line="267" w:lineRule="auto"/>
        <w:rPr>
          <w:sz w:val="20"/>
          <w:szCs w:val="20"/>
          <w:color w:val="auto"/>
        </w:rPr>
      </w:pPr>
      <w:r>
        <w:rPr>
          <w:rFonts w:ascii="Arial" w:cs="Arial" w:eastAsia="Arial" w:hAnsi="Arial"/>
          <w:sz w:val="16"/>
          <w:szCs w:val="16"/>
          <w:color w:val="auto"/>
        </w:rPr>
        <w:t>TSNB had two “change in ownership” events that limit the utilization of net operating loss carryforward. The first “change in ownership” event occurred in February 2007 upon Jazz Technologies’ acquisition of TSNB. The second “change in ownership” event occurred in September 2008, upon Tower’s acquisition of TSNB. TSNB concluded that the net operating loss limitation for the change in ownership which occurred in September 2008 will be an annual utilization of approximately $2,000 in its tax return.</w:t>
      </w:r>
    </w:p>
    <w:p>
      <w:pPr>
        <w:spacing w:after="0" w:line="202" w:lineRule="exact"/>
        <w:rPr>
          <w:sz w:val="20"/>
          <w:szCs w:val="20"/>
          <w:color w:val="auto"/>
        </w:rPr>
      </w:pPr>
    </w:p>
    <w:p>
      <w:pPr>
        <w:jc w:val="both"/>
        <w:ind w:left="1280" w:firstLine="5"/>
        <w:spacing w:after="0" w:line="272" w:lineRule="auto"/>
        <w:rPr>
          <w:sz w:val="20"/>
          <w:szCs w:val="20"/>
          <w:color w:val="auto"/>
        </w:rPr>
      </w:pPr>
      <w:r>
        <w:rPr>
          <w:rFonts w:ascii="Arial" w:cs="Arial" w:eastAsia="Arial" w:hAnsi="Arial"/>
          <w:sz w:val="16"/>
          <w:szCs w:val="16"/>
          <w:color w:val="auto"/>
        </w:rPr>
        <w:t>As of December 31, 2021, Tower US Holdings has federal net operating loss carryforward of approximately $83,000 of which approximately $66,000 does not expire and is subject to a taxable income limitation of 80%, and the remaining federal tax loss carryforward of $17,000 will begin to expire in 2022, unless previously utilized.</w:t>
      </w:r>
    </w:p>
    <w:p>
      <w:pPr>
        <w:spacing w:after="0" w:line="100" w:lineRule="exact"/>
        <w:rPr>
          <w:sz w:val="20"/>
          <w:szCs w:val="20"/>
          <w:color w:val="auto"/>
        </w:rPr>
      </w:pPr>
    </w:p>
    <w:p>
      <w:pPr>
        <w:jc w:val="both"/>
        <w:ind w:left="1280" w:firstLine="5"/>
        <w:spacing w:after="0" w:line="288" w:lineRule="auto"/>
        <w:rPr>
          <w:sz w:val="20"/>
          <w:szCs w:val="20"/>
          <w:color w:val="auto"/>
        </w:rPr>
      </w:pPr>
      <w:r>
        <w:rPr>
          <w:rFonts w:ascii="Arial" w:cs="Arial" w:eastAsia="Arial" w:hAnsi="Arial"/>
          <w:sz w:val="16"/>
          <w:szCs w:val="16"/>
          <w:color w:val="auto"/>
        </w:rPr>
        <w:t>As of December 31, 2021, Tower US Holdings had California state net operating loss carryforward of approximately $11,000. The state tax loss carryforward will begin to expire in 2029, unless previously utilized.</w:t>
      </w:r>
    </w:p>
    <w:p>
      <w:pPr>
        <w:spacing w:after="0" w:line="87"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Tower US Holdings recorded a valuation allowance against the deferred tax asset balances for its federal and state net operating loss carryforward.</w:t>
      </w:r>
    </w:p>
    <w:p>
      <w:pPr>
        <w:spacing w:after="0" w:line="160"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As of December 31, 2021, and 2020, TPSCo had no net operating loss carryforward.</w:t>
      </w:r>
    </w:p>
    <w:p>
      <w:pPr>
        <w:spacing w:after="0" w:line="193" w:lineRule="exact"/>
        <w:rPr>
          <w:sz w:val="20"/>
          <w:szCs w:val="20"/>
          <w:color w:val="auto"/>
        </w:rPr>
      </w:pPr>
    </w:p>
    <w:p>
      <w:pPr>
        <w:ind w:left="1300" w:hanging="318"/>
        <w:spacing w:after="0"/>
        <w:tabs>
          <w:tab w:leader="none" w:pos="130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Final Tax Assessments</w:t>
      </w:r>
    </w:p>
    <w:p>
      <w:pPr>
        <w:spacing w:after="0" w:line="176" w:lineRule="exact"/>
        <w:rPr>
          <w:rFonts w:ascii="Arial" w:cs="Arial" w:eastAsia="Arial" w:hAnsi="Arial"/>
          <w:sz w:val="16"/>
          <w:szCs w:val="16"/>
          <w:b w:val="1"/>
          <w:bCs w:val="1"/>
          <w:color w:val="auto"/>
        </w:rPr>
      </w:pPr>
    </w:p>
    <w:p>
      <w:pPr>
        <w:ind w:left="1280"/>
        <w:spacing w:after="0"/>
        <w:rPr>
          <w:rFonts w:ascii="Arial" w:cs="Arial" w:eastAsia="Arial" w:hAnsi="Arial"/>
          <w:sz w:val="16"/>
          <w:szCs w:val="16"/>
          <w:b w:val="1"/>
          <w:bCs w:val="1"/>
          <w:color w:val="auto"/>
        </w:rPr>
      </w:pPr>
      <w:r>
        <w:rPr>
          <w:rFonts w:ascii="Arial" w:cs="Arial" w:eastAsia="Arial" w:hAnsi="Arial"/>
          <w:sz w:val="16"/>
          <w:szCs w:val="16"/>
          <w:color w:val="auto"/>
        </w:rPr>
        <w:t>Tower possesses final tax assessments through the year 1998. In addition, the tax assessments for the years 1999-2016 are deemed final.</w:t>
      </w:r>
    </w:p>
    <w:p>
      <w:pPr>
        <w:spacing w:after="0" w:line="148" w:lineRule="exact"/>
        <w:rPr>
          <w:rFonts w:ascii="Arial" w:cs="Arial" w:eastAsia="Arial" w:hAnsi="Arial"/>
          <w:sz w:val="16"/>
          <w:szCs w:val="16"/>
          <w:b w:val="1"/>
          <w:bCs w:val="1"/>
          <w:color w:val="auto"/>
        </w:rPr>
      </w:pPr>
    </w:p>
    <w:p>
      <w:pPr>
        <w:ind w:left="1280" w:firstLine="5"/>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Tower US Holdings files a consolidated tax return including TSNB and TSSA. Tower US Holdings and its subsidiaries are subject to U.S. federal income tax as well as income tax in multiple states.</w:t>
      </w:r>
    </w:p>
    <w:p>
      <w:pPr>
        <w:spacing w:after="0" w:line="87" w:lineRule="exact"/>
        <w:rPr>
          <w:rFonts w:ascii="Arial" w:cs="Arial" w:eastAsia="Arial" w:hAnsi="Arial"/>
          <w:sz w:val="16"/>
          <w:szCs w:val="16"/>
          <w:b w:val="1"/>
          <w:bCs w:val="1"/>
          <w:color w:val="auto"/>
        </w:rPr>
      </w:pPr>
    </w:p>
    <w:p>
      <w:pPr>
        <w:jc w:val="both"/>
        <w:ind w:left="1280" w:firstLine="5"/>
        <w:spacing w:after="0" w:line="298" w:lineRule="auto"/>
        <w:rPr>
          <w:rFonts w:ascii="Arial" w:cs="Arial" w:eastAsia="Arial" w:hAnsi="Arial"/>
          <w:sz w:val="16"/>
          <w:szCs w:val="16"/>
          <w:b w:val="1"/>
          <w:bCs w:val="1"/>
          <w:color w:val="auto"/>
        </w:rPr>
      </w:pPr>
      <w:r>
        <w:rPr>
          <w:rFonts w:ascii="Arial" w:cs="Arial" w:eastAsia="Arial" w:hAnsi="Arial"/>
          <w:sz w:val="15"/>
          <w:szCs w:val="15"/>
          <w:color w:val="auto"/>
        </w:rPr>
        <w:t>In general, Tower US Holdings is no longer subject to U.S. federal income tax examinations before 2018 and state and local income tax examinations before 2017. However, to the extent allowed by law, the tax authorities may have the right to examine prior periods where net operating losses were generated and carried forward, and make adjustments up to the amount of the net operating loss carryforward amount.</w:t>
      </w:r>
    </w:p>
    <w:p>
      <w:pPr>
        <w:spacing w:after="0" w:line="83" w:lineRule="exact"/>
        <w:rPr>
          <w:sz w:val="20"/>
          <w:szCs w:val="20"/>
          <w:color w:val="auto"/>
        </w:rPr>
      </w:pPr>
    </w:p>
    <w:p>
      <w:pPr>
        <w:jc w:val="both"/>
        <w:ind w:left="1280" w:firstLine="5"/>
        <w:spacing w:after="0" w:line="298" w:lineRule="auto"/>
        <w:rPr>
          <w:sz w:val="20"/>
          <w:szCs w:val="20"/>
          <w:color w:val="auto"/>
        </w:rPr>
      </w:pPr>
      <w:r>
        <w:rPr>
          <w:rFonts w:ascii="Arial" w:cs="Arial" w:eastAsia="Arial" w:hAnsi="Arial"/>
          <w:sz w:val="15"/>
          <w:szCs w:val="15"/>
          <w:color w:val="auto"/>
        </w:rPr>
        <w:t>On March 27, 2020, the CARES Act was signed. The CARES Act provided numerous tax provisions and other stimulus measures, including but not limited to temporary changes regarding the prior and future utilization of net operating losses. Under the provisions of the CARES Act, Tower US Holdings received in 2020 a $2,100 income tax refund from carrying back federal net operating losses and a $1,100 refund of its minimum tax credits.</w:t>
      </w:r>
    </w:p>
    <w:p>
      <w:pPr>
        <w:spacing w:after="0" w:line="8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TPSCo possesses final tax assessments through the year 2020.</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20: SUBSEQUENT EVENTS</w:t>
      </w:r>
    </w:p>
    <w:p>
      <w:pPr>
        <w:spacing w:after="0" w:line="263" w:lineRule="exact"/>
        <w:rPr>
          <w:sz w:val="20"/>
          <w:szCs w:val="20"/>
          <w:color w:val="auto"/>
        </w:rPr>
      </w:pPr>
    </w:p>
    <w:p>
      <w:pPr>
        <w:jc w:val="both"/>
        <w:ind w:left="1280" w:firstLine="5"/>
        <w:spacing w:after="0" w:line="267" w:lineRule="auto"/>
        <w:rPr>
          <w:sz w:val="20"/>
          <w:szCs w:val="20"/>
          <w:color w:val="auto"/>
        </w:rPr>
      </w:pPr>
      <w:r>
        <w:rPr>
          <w:rFonts w:ascii="Arial" w:cs="Arial" w:eastAsia="Arial" w:hAnsi="Arial"/>
          <w:sz w:val="16"/>
          <w:szCs w:val="16"/>
          <w:color w:val="auto"/>
        </w:rPr>
        <w:t>On February 15, 2022, Intel Corporation (“Intel”) and Tower announced the signing of a definitive agreement under which Intel will acquire all of Tower’s approximately 109 million outstanding Ordinary Shares for cash consideration of $53 per share. The transaction was approved by the boards of directors of both Intel and Tower and is subject to certain regulatory approvals and customary closing conditions, including the approval of Tower’s shareholders.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7169785" cy="488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69785" cy="4889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144385" cy="311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44385" cy="31115"/>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198120</wp:posOffset>
            </wp:positionV>
            <wp:extent cx="714438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44385" cy="7620"/>
                    </a:xfrm>
                    <a:prstGeom prst="rect">
                      <a:avLst/>
                    </a:prstGeom>
                    <a:noFill/>
                  </pic:spPr>
                </pic:pic>
              </a:graphicData>
            </a:graphic>
          </wp:anchor>
        </w:drawing>
        <w:t>Exhibit 99.3</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68"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We consent to the incorporation by reference in Registration Statements Nos. 333-85090, 333-171912 and 333-187858 on Form F-3, and Nos. 33-80947, 333-06482, 333-11720, 333-83204, 333-138837, 333-147071, 333-153710, 333-166428, 333-174276, 333-178167, and 333-204173 on Form S-8, of our report dated February 28, 2022, relating to the consolidated financial statements of Tower Semiconductor Ltd. appearing in the Report on Form 6-K of Tower Semiconductor Ltd.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291465</wp:posOffset>
            </wp:positionV>
            <wp:extent cx="1881505" cy="3905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881505"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Brightman Almagor Zohar &amp;Co.</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Certified Public Accountants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 Firm in the Deloitte Global Network</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Tel Aviv, Israel</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March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144385" cy="1452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44385" cy="1452245"/>
                    </a:xfrm>
                    <a:prstGeom prst="rect">
                      <a:avLst/>
                    </a:prstGeom>
                    <a:noFill/>
                  </pic:spPr>
                </pic:pic>
              </a:graphicData>
            </a:graphic>
          </wp:anchor>
        </w:drawing>
      </w:r>
    </w:p>
    <w:sectPr>
      <w:pgSz w:w="11900" w:h="16838" w:orient="portrait"/>
      <w:cols w:equalWidth="0" w:num="1">
        <w:col w:w="11240"/>
      </w:cols>
      <w:pgMar w:left="320" w:top="3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lvl w:ilvl="1">
      <w:lvlJc w:val="left"/>
      <w:lvlText w:val="•"/>
      <w:numFmt w:val="bullet"/>
      <w:start w:val="1"/>
    </w:lvl>
  </w:abstractNum>
  <w:abstractNum w:abstractNumId="1">
    <w:nsid w:val="2D1D5AE9"/>
    <w:multiLevelType w:val="hybridMultilevel"/>
    <w:lvl w:ilvl="0">
      <w:lvlJc w:val="left"/>
      <w:lvlText w:val="%1."/>
      <w:numFmt w:val="upperLetter"/>
      <w:start w:val="1"/>
    </w:lvl>
  </w:abstractNum>
  <w:abstractNum w:abstractNumId="2">
    <w:nsid w:val="6763845E"/>
    <w:multiLevelType w:val="hybridMultilevel"/>
    <w:lvl w:ilvl="0">
      <w:lvlJc w:val="left"/>
      <w:lvlText w:val="%1."/>
      <w:numFmt w:val="upperLetter"/>
      <w:start w:val="7"/>
    </w:lvl>
  </w:abstractNum>
  <w:abstractNum w:abstractNumId="3">
    <w:nsid w:val="75A2A8D4"/>
    <w:multiLevelType w:val="hybridMultilevel"/>
    <w:lvl w:ilvl="0">
      <w:lvlJc w:val="left"/>
      <w:lvlText w:val="%1."/>
      <w:numFmt w:val="upperLetter"/>
      <w:start w:val="9"/>
    </w:lvl>
  </w:abstractNum>
  <w:abstractNum w:abstractNumId="4">
    <w:nsid w:val="8EDBDAB"/>
    <w:multiLevelType w:val="hybridMultilevel"/>
    <w:lvl w:ilvl="0">
      <w:lvlJc w:val="left"/>
      <w:lvlText w:val="%1."/>
      <w:numFmt w:val="upperLetter"/>
      <w:start w:val="12"/>
    </w:lvl>
  </w:abstractNum>
  <w:abstractNum w:abstractNumId="5">
    <w:nsid w:val="79838CB2"/>
    <w:multiLevelType w:val="hybridMultilevel"/>
    <w:lvl w:ilvl="0">
      <w:lvlJc w:val="left"/>
      <w:lvlText w:val="%1."/>
      <w:numFmt w:val="upperLetter"/>
      <w:start w:val="14"/>
    </w:lvl>
  </w:abstractNum>
  <w:abstractNum w:abstractNumId="6">
    <w:nsid w:val="4353D0CD"/>
    <w:multiLevelType w:val="hybridMultilevel"/>
    <w:lvl w:ilvl="0">
      <w:lvlJc w:val="left"/>
      <w:lvlText w:val="%1."/>
      <w:numFmt w:val="upperLetter"/>
      <w:start w:val="15"/>
    </w:lvl>
  </w:abstractNum>
  <w:abstractNum w:abstractNumId="7">
    <w:nsid w:val="B03E0C6"/>
    <w:multiLevelType w:val="hybridMultilevel"/>
    <w:lvl w:ilvl="0">
      <w:lvlJc w:val="left"/>
      <w:lvlText w:val="%1."/>
      <w:numFmt w:val="upperLetter"/>
      <w:start w:val="17"/>
    </w:lvl>
  </w:abstractNum>
  <w:abstractNum w:abstractNumId="8">
    <w:nsid w:val="189A769B"/>
    <w:multiLevelType w:val="hybridMultilevel"/>
    <w:lvl w:ilvl="0">
      <w:lvlJc w:val="left"/>
      <w:lvlText w:val="%1."/>
      <w:numFmt w:val="upperLetter"/>
      <w:start w:val="21"/>
    </w:lvl>
  </w:abstractNum>
  <w:abstractNum w:abstractNumId="9">
    <w:nsid w:val="54E49EB4"/>
    <w:multiLevelType w:val="hybridMultilevel"/>
    <w:lvl w:ilvl="0">
      <w:lvlJc w:val="left"/>
      <w:lvlText w:val="%1."/>
      <w:numFmt w:val="upperLetter"/>
      <w:start w:val="22"/>
    </w:lvl>
  </w:abstractNum>
  <w:abstractNum w:abstractNumId="10">
    <w:nsid w:val="71F32454"/>
    <w:multiLevelType w:val="hybridMultilevel"/>
    <w:lvl w:ilvl="0">
      <w:lvlJc w:val="left"/>
      <w:lvlText w:val="%1."/>
      <w:numFmt w:val="upperLetter"/>
      <w:start w:val="23"/>
    </w:lvl>
    <w:lvl w:ilvl="1">
      <w:lvlJc w:val="left"/>
      <w:lvlText w:val="(%2)"/>
      <w:numFmt w:val="lowerRoman"/>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upperLetter"/>
      <w:start w:val="1"/>
    </w:lvl>
  </w:abstractNum>
  <w:abstractNum w:abstractNumId="13">
    <w:nsid w:val="2901D82"/>
    <w:multiLevelType w:val="hybridMultilevel"/>
    <w:lvl w:ilvl="0">
      <w:lvlJc w:val="left"/>
      <w:lvlText w:val="%1."/>
      <w:numFmt w:val="upperLetter"/>
      <w:start w:val="3"/>
    </w:lvl>
  </w:abstractNum>
  <w:abstractNum w:abstractNumId="14">
    <w:nsid w:val="3A95F874"/>
    <w:multiLevelType w:val="hybridMultilevel"/>
    <w:lvl w:ilvl="0">
      <w:lvlJc w:val="left"/>
      <w:lvlText w:val="%1."/>
      <w:numFmt w:val="upperLetter"/>
      <w:start w:val="5"/>
    </w:lvl>
  </w:abstractNum>
  <w:abstractNum w:abstractNumId="15">
    <w:nsid w:val="8138641"/>
    <w:multiLevelType w:val="hybridMultilevel"/>
    <w:lvl w:ilvl="0">
      <w:lvlJc w:val="left"/>
      <w:lvlText w:val="%1."/>
      <w:numFmt w:val="upperLetter"/>
      <w:start w:val="6"/>
    </w:lvl>
  </w:abstractNum>
  <w:abstractNum w:abstractNumId="16">
    <w:nsid w:val="1E7FF521"/>
    <w:multiLevelType w:val="hybridMultilevel"/>
    <w:lvl w:ilvl="0">
      <w:lvlJc w:val="left"/>
      <w:lvlText w:val="%1."/>
      <w:numFmt w:val="upperLetter"/>
      <w:start w:val="1"/>
    </w:lvl>
  </w:abstractNum>
  <w:abstractNum w:abstractNumId="17">
    <w:nsid w:val="7C3DBD3D"/>
    <w:multiLevelType w:val="hybridMultilevel"/>
    <w:lvl w:ilvl="0">
      <w:lvlJc w:val="left"/>
      <w:lvlText w:val="%1."/>
      <w:numFmt w:val="upperLetter"/>
      <w:start w:val="3"/>
    </w:lvl>
  </w:abstractNum>
  <w:abstractNum w:abstractNumId="18">
    <w:nsid w:val="737B8DDC"/>
    <w:multiLevelType w:val="hybridMultilevel"/>
    <w:lvl w:ilvl="0">
      <w:lvlJc w:val="left"/>
      <w:lvlText w:val="%1."/>
      <w:numFmt w:val="upperLetter"/>
      <w:start w:val="6"/>
    </w:lvl>
  </w:abstractNum>
  <w:abstractNum w:abstractNumId="19">
    <w:nsid w:val="6CEAF087"/>
    <w:multiLevelType w:val="hybridMultilevel"/>
    <w:lvl w:ilvl="0">
      <w:lvlJc w:val="left"/>
      <w:lvlText w:val="%1."/>
      <w:numFmt w:val="upperLetter"/>
      <w:start w:val="1"/>
    </w:lvl>
  </w:abstractNum>
  <w:abstractNum w:abstractNumId="20">
    <w:nsid w:val="22221A70"/>
    <w:multiLevelType w:val="hybridMultilevel"/>
    <w:lvl w:ilvl="0">
      <w:lvlJc w:val="left"/>
      <w:lvlText w:val="%1."/>
      <w:numFmt w:val="upperLetter"/>
      <w:start w:val="2"/>
    </w:lvl>
  </w:abstractNum>
  <w:abstractNum w:abstractNumId="21">
    <w:nsid w:val="4516DDE9"/>
    <w:multiLevelType w:val="hybridMultilevel"/>
    <w:lvl w:ilvl="0">
      <w:lvlJc w:val="left"/>
      <w:lvlText w:val="%1."/>
      <w:numFmt w:val="upperLetter"/>
      <w:start w:val="1"/>
    </w:lvl>
    <w:lvl w:ilvl="1">
      <w:lvlJc w:val="left"/>
      <w:lvlText w:val="(%2)"/>
      <w:numFmt w:val="decimal"/>
      <w:start w:val="1"/>
    </w:lvl>
  </w:abstractNum>
  <w:abstractNum w:abstractNumId="22">
    <w:nsid w:val="3006C83E"/>
    <w:multiLevelType w:val="hybridMultilevel"/>
    <w:lvl w:ilvl="0">
      <w:lvlJc w:val="left"/>
      <w:lvlText w:val="%1."/>
      <w:numFmt w:val="upperLetter"/>
      <w:start w:val="2"/>
    </w:lvl>
  </w:abstractNum>
  <w:abstractNum w:abstractNumId="23">
    <w:nsid w:val="614FD4A1"/>
    <w:multiLevelType w:val="hybridMultilevel"/>
    <w:lvl w:ilvl="0">
      <w:lvlJc w:val="left"/>
      <w:lvlText w:val="%1."/>
      <w:numFmt w:val="upperLetter"/>
      <w:start w:val="6"/>
    </w:lvl>
    <w:lvl w:ilvl="1">
      <w:lvlJc w:val="left"/>
      <w:lvlText w:val="%2"/>
      <w:numFmt w:val="lowerLetter"/>
      <w:start w:val="1"/>
    </w:lvl>
  </w:abstractNum>
  <w:abstractNum w:abstractNumId="24">
    <w:nsid w:val="419AC241"/>
    <w:multiLevelType w:val="hybridMultilevel"/>
    <w:lvl w:ilvl="0">
      <w:lvlJc w:val="left"/>
      <w:lvlText w:val="%1."/>
      <w:numFmt w:val="upperLetter"/>
      <w:start w:val="1"/>
    </w:lvl>
  </w:abstractNum>
  <w:abstractNum w:abstractNumId="25">
    <w:nsid w:val="5577F8E1"/>
    <w:multiLevelType w:val="hybridMultilevel"/>
    <w:lvl w:ilvl="0">
      <w:lvlJc w:val="left"/>
      <w:lvlText w:val="%1."/>
      <w:numFmt w:val="upperLetter"/>
      <w:start w:val="2"/>
    </w:lvl>
    <w:lvl w:ilvl="1">
      <w:lvlJc w:val="left"/>
      <w:lvlText w:val="(%2)"/>
      <w:numFmt w:val="decimal"/>
      <w:start w:val="1"/>
    </w:lvl>
  </w:abstractNum>
  <w:abstractNum w:abstractNumId="26">
    <w:nsid w:val="440BADFC"/>
    <w:multiLevelType w:val="hybridMultilevel"/>
    <w:lvl w:ilvl="0">
      <w:lvlJc w:val="left"/>
      <w:lvlText w:val="(%1)"/>
      <w:numFmt w:val="lowerRoman"/>
      <w:start w:val="1"/>
    </w:lvl>
  </w:abstractNum>
  <w:abstractNum w:abstractNumId="27">
    <w:nsid w:val="5072367"/>
    <w:multiLevelType w:val="hybridMultilevel"/>
    <w:lvl w:ilvl="0">
      <w:lvlJc w:val="left"/>
      <w:lvlText w:val="(%1)"/>
      <w:numFmt w:val="decimal"/>
      <w:start w:val="3"/>
    </w:lvl>
  </w:abstractNum>
  <w:abstractNum w:abstractNumId="28">
    <w:nsid w:val="3804823E"/>
    <w:multiLevelType w:val="hybridMultilevel"/>
    <w:lvl w:ilvl="0">
      <w:lvlJc w:val="left"/>
      <w:lvlText w:val="%1."/>
      <w:numFmt w:val="upperLetter"/>
      <w:start w:val="3"/>
    </w:lvl>
  </w:abstractNum>
  <w:abstractNum w:abstractNumId="29">
    <w:nsid w:val="77465F01"/>
    <w:multiLevelType w:val="hybridMultilevel"/>
    <w:lvl w:ilvl="0">
      <w:lvlJc w:val="left"/>
      <w:lvlText w:val="%1."/>
      <w:numFmt w:val="upperLetter"/>
      <w:start w:val="1"/>
    </w:lvl>
  </w:abstractNum>
  <w:abstractNum w:abstractNumId="30">
    <w:nsid w:val="7724C67E"/>
    <w:multiLevelType w:val="hybridMultilevel"/>
    <w:lvl w:ilvl="0">
      <w:lvlJc w:val="left"/>
      <w:lvlText w:val="%1."/>
      <w:numFmt w:val="upperLetter"/>
      <w:start w:val="2"/>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upperLetter"/>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upperLetter"/>
      <w:start w:val="4"/>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upperLetter"/>
      <w:start w:val="5"/>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upperLetter"/>
      <w:start w:val="6"/>
    </w:lvl>
  </w:abstractNum>
  <w:abstractNum w:abstractNumId="43">
    <w:nsid w:val="725A06FB"/>
    <w:multiLevelType w:val="hybridMultilevel"/>
    <w:lvl w:ilvl="0">
      <w:lvlJc w:val="left"/>
      <w:lvlText w:val="%1."/>
      <w:numFmt w:val="upp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jpeg"/><Relationship Id="rId20" Type="http://schemas.openxmlformats.org/officeDocument/2006/relationships/image" Target="media/image12.pn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png"/><Relationship Id="rId11" Type="http://schemas.openxmlformats.org/officeDocument/2006/relationships/hyperlink" Target="https://www.sec.gov/Archives/edgar/data/928876/000117891322000858/exhibit_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2022-03-08T15:55:43Z</dcterms:created>
  <dcterms:modified xsi:type="dcterms:W3CDTF">2022-03-08T15:55:43Z</dcterms:modified>
</cp:coreProperties>
</file>